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65CAF">
      <w:pPr>
        <w:jc w:val="right"/>
      </w:pPr>
      <w:bookmarkStart w:id="14" w:name="_GoBack"/>
      <w:bookmarkEnd w:id="14"/>
    </w:p>
    <w:p w14:paraId="1CDE1B12">
      <w:pPr>
        <w:jc w:val="right"/>
      </w:pPr>
      <w:r>
        <w:drawing>
          <wp:inline distT="0" distB="0" distL="0" distR="0">
            <wp:extent cx="1189355" cy="389255"/>
            <wp:effectExtent l="0" t="0" r="1079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03" cy="39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E194B">
      <w:pPr>
        <w:jc w:val="right"/>
      </w:pPr>
    </w:p>
    <w:p w14:paraId="7EB77A0F">
      <w:pPr>
        <w:jc w:val="right"/>
      </w:pPr>
    </w:p>
    <w:p w14:paraId="0FEFBE21">
      <w:pPr>
        <w:jc w:val="center"/>
        <w:rPr>
          <w:rFonts w:ascii="Times New Roman" w:hAnsi="Times New Roman" w:eastAsiaTheme="majorEastAsia"/>
          <w:b/>
          <w:sz w:val="48"/>
          <w:szCs w:val="48"/>
        </w:rPr>
      </w:pPr>
      <w:r>
        <w:rPr>
          <w:rFonts w:hint="eastAsia" w:ascii="Times New Roman" w:hAnsi="Times New Roman" w:eastAsiaTheme="majorEastAsia"/>
          <w:b/>
          <w:sz w:val="48"/>
          <w:szCs w:val="48"/>
        </w:rPr>
        <w:t>XX项目</w:t>
      </w:r>
    </w:p>
    <w:p w14:paraId="2C736026">
      <w:pPr>
        <w:jc w:val="center"/>
        <w:rPr>
          <w:rFonts w:ascii="华文细黑" w:hAnsi="华文细黑" w:eastAsia="华文细黑"/>
          <w:sz w:val="36"/>
          <w:szCs w:val="36"/>
        </w:rPr>
      </w:pPr>
      <w:r>
        <w:rPr>
          <w:rFonts w:hint="eastAsia" w:ascii="华文细黑" w:hAnsi="华文细黑" w:eastAsia="华文细黑"/>
          <w:sz w:val="36"/>
          <w:szCs w:val="36"/>
        </w:rPr>
        <w:t>场地交通分析报告</w:t>
      </w:r>
    </w:p>
    <w:p w14:paraId="43FD227A">
      <w:pPr>
        <w:jc w:val="right"/>
      </w:pPr>
    </w:p>
    <w:p w14:paraId="7F30929C">
      <w:pPr>
        <w:jc w:val="right"/>
      </w:pPr>
    </w:p>
    <w:p w14:paraId="22FEC9F1">
      <w:pPr>
        <w:jc w:val="right"/>
      </w:pPr>
    </w:p>
    <w:p w14:paraId="1B8F8CB5">
      <w:pPr>
        <w:jc w:val="right"/>
      </w:pPr>
    </w:p>
    <w:p w14:paraId="0B622FA5">
      <w:pPr>
        <w:jc w:val="right"/>
      </w:pPr>
    </w:p>
    <w:p w14:paraId="64D41A08">
      <w:pPr>
        <w:jc w:val="right"/>
      </w:pPr>
    </w:p>
    <w:p w14:paraId="565EE015">
      <w:pPr>
        <w:jc w:val="right"/>
      </w:pPr>
    </w:p>
    <w:p w14:paraId="77F9CC45">
      <w:pPr>
        <w:jc w:val="right"/>
      </w:pPr>
    </w:p>
    <w:p w14:paraId="5F5C7990">
      <w:pPr>
        <w:jc w:val="right"/>
      </w:pPr>
    </w:p>
    <w:p w14:paraId="7E2D1A19">
      <w:pPr>
        <w:jc w:val="right"/>
      </w:pPr>
    </w:p>
    <w:p w14:paraId="432F9DCD">
      <w:pPr>
        <w:jc w:val="right"/>
      </w:pPr>
    </w:p>
    <w:p w14:paraId="5D0A59AC">
      <w:pPr>
        <w:jc w:val="right"/>
      </w:pPr>
    </w:p>
    <w:p w14:paraId="340262A2">
      <w:pPr>
        <w:jc w:val="right"/>
      </w:pPr>
    </w:p>
    <w:p w14:paraId="15477F69">
      <w:pPr>
        <w:ind w:firstLine="1261" w:firstLineChars="450"/>
        <w:rPr>
          <w:rFonts w:ascii="华文细黑" w:hAnsi="华文细黑" w:eastAsia="华文细黑"/>
          <w:b/>
          <w:sz w:val="28"/>
          <w:szCs w:val="28"/>
          <w:u w:val="single"/>
        </w:rPr>
      </w:pPr>
      <w:r>
        <w:rPr>
          <w:rFonts w:hint="eastAsia" w:ascii="华文细黑" w:hAnsi="华文细黑" w:eastAsia="华文细黑"/>
          <w:b/>
          <w:sz w:val="28"/>
          <w:szCs w:val="28"/>
        </w:rPr>
        <w:t>咨询单位：</w:t>
      </w:r>
      <w:r>
        <w:rPr>
          <w:rFonts w:hint="eastAsia" w:ascii="华文细黑" w:hAnsi="华文细黑" w:eastAsia="华文细黑"/>
          <w:b/>
          <w:sz w:val="28"/>
          <w:szCs w:val="28"/>
          <w:u w:val="single"/>
        </w:rPr>
        <w:t xml:space="preserve">  绿建之窗（北京）科技有限公司  </w:t>
      </w:r>
    </w:p>
    <w:p w14:paraId="2D9B6340">
      <w:pPr>
        <w:wordWrap w:val="0"/>
        <w:ind w:firstLine="1261" w:firstLineChars="450"/>
        <w:rPr>
          <w:rFonts w:ascii="华文细黑" w:hAnsi="华文细黑" w:eastAsia="华文细黑"/>
          <w:b/>
          <w:u w:val="single"/>
        </w:rPr>
      </w:pPr>
      <w:r>
        <w:rPr>
          <w:rFonts w:hint="eastAsia" w:ascii="华文细黑" w:hAnsi="华文细黑" w:eastAsia="华文细黑"/>
          <w:b/>
          <w:sz w:val="28"/>
          <w:szCs w:val="28"/>
        </w:rPr>
        <w:t>编写日期：</w:t>
      </w:r>
      <w:r>
        <w:rPr>
          <w:rFonts w:hint="eastAsia" w:ascii="华文细黑" w:hAnsi="华文细黑" w:eastAsia="华文细黑"/>
          <w:b/>
          <w:sz w:val="28"/>
          <w:szCs w:val="28"/>
          <w:u w:val="single"/>
        </w:rPr>
        <w:t xml:space="preserve">        2017年</w:t>
      </w:r>
      <w:r>
        <w:rPr>
          <w:rFonts w:ascii="华文细黑" w:hAnsi="华文细黑" w:eastAsia="华文细黑"/>
          <w:b/>
          <w:sz w:val="28"/>
          <w:szCs w:val="28"/>
          <w:u w:val="single"/>
        </w:rPr>
        <w:t>8</w:t>
      </w:r>
      <w:r>
        <w:rPr>
          <w:rFonts w:hint="eastAsia" w:ascii="华文细黑" w:hAnsi="华文细黑" w:eastAsia="华文细黑"/>
          <w:b/>
          <w:sz w:val="28"/>
          <w:szCs w:val="28"/>
          <w:u w:val="single"/>
        </w:rPr>
        <w:t xml:space="preserve">月             </w:t>
      </w:r>
    </w:p>
    <w:p w14:paraId="0DD04D0A">
      <w:pPr>
        <w:jc w:val="right"/>
      </w:pPr>
    </w:p>
    <w:p w14:paraId="25AC1E10">
      <w:pPr>
        <w:jc w:val="right"/>
      </w:pPr>
    </w:p>
    <w:sdt>
      <w:sdtPr>
        <w:rPr>
          <w:rFonts w:ascii="Calibri" w:hAnsi="Calibri" w:eastAsia="宋体" w:cs="Times New Roman"/>
          <w:b w:val="0"/>
          <w:bCs w:val="0"/>
          <w:color w:val="auto"/>
          <w:sz w:val="21"/>
          <w:szCs w:val="21"/>
          <w:lang w:val="zh-CN"/>
        </w:rPr>
        <w:id w:val="503165108"/>
      </w:sdtPr>
      <w:sdtEndPr>
        <w:rPr>
          <w:rFonts w:ascii="Calibri" w:hAnsi="Calibri" w:eastAsia="宋体" w:cs="Times New Roman"/>
          <w:b w:val="0"/>
          <w:bCs w:val="0"/>
          <w:color w:val="auto"/>
          <w:sz w:val="21"/>
          <w:szCs w:val="21"/>
          <w:lang w:val="zh-CN"/>
        </w:rPr>
      </w:sdtEndPr>
      <w:sdtContent>
        <w:p w14:paraId="2E5CA4EA">
          <w:pPr>
            <w:pStyle w:val="27"/>
            <w:spacing w:line="360" w:lineRule="auto"/>
            <w:jc w:val="center"/>
            <w:rPr>
              <w:lang w:val="zh-CN"/>
            </w:rPr>
          </w:pPr>
          <w:r>
            <w:rPr>
              <w:sz w:val="36"/>
              <w:szCs w:val="36"/>
              <w:lang w:val="zh-CN"/>
            </w:rPr>
            <w:t>目</w:t>
          </w:r>
          <w:r>
            <w:rPr>
              <w:rFonts w:hint="eastAsia"/>
              <w:sz w:val="36"/>
              <w:szCs w:val="36"/>
              <w:lang w:val="zh-CN"/>
            </w:rPr>
            <w:t xml:space="preserve">  </w:t>
          </w:r>
          <w:r>
            <w:rPr>
              <w:sz w:val="36"/>
              <w:szCs w:val="36"/>
              <w:lang w:val="zh-CN"/>
            </w:rPr>
            <w:t>录</w:t>
          </w:r>
        </w:p>
        <w:p w14:paraId="4805302E">
          <w:pPr>
            <w:rPr>
              <w:lang w:val="zh-CN"/>
            </w:rPr>
          </w:pPr>
        </w:p>
        <w:p w14:paraId="0AD3022E">
          <w:pPr>
            <w:pStyle w:val="13"/>
            <w:rPr>
              <w:sz w:val="32"/>
              <w:szCs w:val="3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"_Toc472600474" </w:instrText>
          </w:r>
          <w:r>
            <w:fldChar w:fldCharType="separate"/>
          </w:r>
          <w:r>
            <w:rPr>
              <w:rStyle w:val="17"/>
              <w:rFonts w:hint="eastAsia"/>
              <w:sz w:val="32"/>
              <w:szCs w:val="32"/>
            </w:rPr>
            <w:t>一、项目概况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_Toc472600474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355B6854"/>
        <w:p w14:paraId="2AE84AA3">
          <w:pPr>
            <w:pStyle w:val="13"/>
            <w:ind w:left="3" w:hanging="3"/>
            <w:rPr>
              <w:sz w:val="32"/>
              <w:szCs w:val="32"/>
            </w:rPr>
          </w:pPr>
          <w:r>
            <w:fldChar w:fldCharType="begin"/>
          </w:r>
          <w:r>
            <w:instrText xml:space="preserve"> HYPERLINK \l "_Toc472600475" </w:instrText>
          </w:r>
          <w:r>
            <w:fldChar w:fldCharType="separate"/>
          </w:r>
          <w:r>
            <w:rPr>
              <w:rStyle w:val="17"/>
              <w:rFonts w:hint="eastAsia"/>
              <w:sz w:val="32"/>
              <w:szCs w:val="32"/>
            </w:rPr>
            <w:t>二、计算条文概述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_Toc472600475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1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6B537A35"/>
        <w:p w14:paraId="5E6C79FE">
          <w:pPr>
            <w:pStyle w:val="13"/>
            <w:ind w:left="3" w:hanging="3"/>
            <w:rPr>
              <w:sz w:val="32"/>
              <w:szCs w:val="32"/>
            </w:rPr>
          </w:pPr>
          <w:r>
            <w:fldChar w:fldCharType="begin"/>
          </w:r>
          <w:r>
            <w:instrText xml:space="preserve"> HYPERLINK \l "_Toc472600476" </w:instrText>
          </w:r>
          <w:r>
            <w:fldChar w:fldCharType="separate"/>
          </w:r>
          <w:r>
            <w:rPr>
              <w:rStyle w:val="17"/>
              <w:rFonts w:hint="eastAsia"/>
              <w:sz w:val="32"/>
              <w:szCs w:val="32"/>
            </w:rPr>
            <w:t>三、公共汽车站位置及路线说明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_Toc472600476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01F5CE96"/>
        <w:p w14:paraId="4D3C39DD">
          <w:pPr>
            <w:pStyle w:val="13"/>
            <w:ind w:left="3" w:hanging="3"/>
            <w:rPr>
              <w:rFonts w:asciiTheme="minorHAnsi" w:hAnsiTheme="minorHAnsi" w:eastAsiaTheme="minorEastAsia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"_Toc472600477" </w:instrText>
          </w:r>
          <w:r>
            <w:fldChar w:fldCharType="separate"/>
          </w:r>
          <w:r>
            <w:rPr>
              <w:rStyle w:val="17"/>
              <w:rFonts w:hint="eastAsia"/>
              <w:sz w:val="32"/>
              <w:szCs w:val="32"/>
            </w:rPr>
            <w:t>四、结论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_Toc472600477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 w14:paraId="6F19246E">
          <w:r>
            <w:rPr>
              <w:b/>
              <w:bCs/>
              <w:lang w:val="zh-CN"/>
            </w:rPr>
            <w:fldChar w:fldCharType="end"/>
          </w:r>
        </w:p>
      </w:sdtContent>
    </w:sdt>
    <w:p w14:paraId="02E0556F">
      <w:pPr>
        <w:pStyle w:val="27"/>
      </w:pPr>
    </w:p>
    <w:p w14:paraId="5F6909F9">
      <w:pPr>
        <w:rPr>
          <w:rFonts w:ascii="宋体" w:hAnsi="Times New Roman" w:cs="宋体"/>
          <w:b/>
          <w:bCs/>
          <w:sz w:val="32"/>
          <w:szCs w:val="32"/>
        </w:rPr>
      </w:pPr>
    </w:p>
    <w:p w14:paraId="1F6E38BE">
      <w:pPr>
        <w:pStyle w:val="33"/>
        <w:sectPr>
          <w:footerReference r:id="rId5" w:type="default"/>
          <w:pgSz w:w="11906" w:h="16838"/>
          <w:pgMar w:top="1077" w:right="1797" w:bottom="1440" w:left="1644" w:header="454" w:footer="992" w:gutter="0"/>
          <w:cols w:space="425" w:num="1"/>
          <w:docGrid w:type="lines" w:linePitch="381" w:charSpace="0"/>
        </w:sectPr>
      </w:pPr>
      <w:bookmarkStart w:id="0" w:name="_Toc472500251"/>
      <w:bookmarkStart w:id="1" w:name="_Toc472501410"/>
      <w:bookmarkStart w:id="2" w:name="_Toc472499951"/>
    </w:p>
    <w:p w14:paraId="5D7A030D">
      <w:pPr>
        <w:pStyle w:val="33"/>
        <w:sectPr>
          <w:headerReference r:id="rId6" w:type="default"/>
          <w:type w:val="continuous"/>
          <w:pgSz w:w="11906" w:h="16838"/>
          <w:pgMar w:top="1077" w:right="1797" w:bottom="1440" w:left="1644" w:header="454" w:footer="992" w:gutter="0"/>
          <w:cols w:space="425" w:num="1"/>
          <w:docGrid w:type="lines" w:linePitch="381" w:charSpace="0"/>
        </w:sectPr>
      </w:pPr>
    </w:p>
    <w:p w14:paraId="2FD6ED74">
      <w:pPr>
        <w:pStyle w:val="43"/>
        <w:sectPr>
          <w:footerReference r:id="rId7" w:type="default"/>
          <w:type w:val="continuous"/>
          <w:pgSz w:w="11906" w:h="16838"/>
          <w:pgMar w:top="1077" w:right="1644" w:bottom="1077" w:left="1644" w:header="454" w:footer="454" w:gutter="0"/>
          <w:pgNumType w:start="1"/>
          <w:cols w:space="425" w:num="1"/>
          <w:docGrid w:type="lines" w:linePitch="381" w:charSpace="0"/>
        </w:sectPr>
      </w:pPr>
      <w:bookmarkStart w:id="3" w:name="_Toc472525176"/>
      <w:r>
        <w:br w:type="page"/>
      </w:r>
    </w:p>
    <w:p w14:paraId="22478E84">
      <w:pPr>
        <w:pStyle w:val="43"/>
      </w:pPr>
      <w:bookmarkStart w:id="4" w:name="_Toc472600474"/>
      <w:r>
        <w:rPr>
          <w:rFonts w:hint="eastAsia"/>
        </w:rPr>
        <w:t>一、项目概况</w:t>
      </w:r>
      <w:bookmarkEnd w:id="0"/>
      <w:bookmarkEnd w:id="1"/>
      <w:bookmarkEnd w:id="2"/>
      <w:bookmarkEnd w:id="3"/>
      <w:bookmarkEnd w:id="4"/>
    </w:p>
    <w:p w14:paraId="60AF63E8">
      <w:pPr>
        <w:pStyle w:val="8"/>
        <w:spacing w:line="360" w:lineRule="auto"/>
        <w:jc w:val="both"/>
        <w:rPr>
          <w:rFonts w:ascii="Times New Roman" w:hAnsi="Times New Roman" w:eastAsiaTheme="minorEastAsia"/>
          <w:color w:val="000000"/>
          <w:lang w:val="zh-CN"/>
        </w:rPr>
      </w:pPr>
      <w:bookmarkStart w:id="5" w:name="_Toc472501411"/>
      <w:bookmarkStart w:id="6" w:name="_Toc472500252"/>
      <w:bookmarkStart w:id="7" w:name="_Toc472525177"/>
      <w:bookmarkStart w:id="8" w:name="_Toc472499952"/>
      <w:bookmarkStart w:id="9" w:name="_Toc472600475"/>
      <w:r>
        <w:rPr>
          <w:rFonts w:ascii="Times New Roman" w:hAnsi="Times New Roman" w:eastAsiaTheme="minorEastAsia"/>
          <w:szCs w:val="24"/>
        </w:rPr>
        <w:t>本项目位于</w:t>
      </w:r>
      <w:r>
        <w:rPr>
          <w:rFonts w:hint="eastAsia" w:ascii="Times New Roman" w:hAnsi="Times New Roman" w:eastAsiaTheme="minorEastAsia"/>
          <w:szCs w:val="24"/>
        </w:rPr>
        <w:t>XX</w:t>
      </w:r>
      <w:r>
        <w:rPr>
          <w:rFonts w:ascii="Times New Roman" w:hAnsi="Times New Roman" w:eastAsiaTheme="minorEastAsia"/>
          <w:szCs w:val="24"/>
        </w:rPr>
        <w:t>市</w:t>
      </w:r>
      <w:r>
        <w:rPr>
          <w:rFonts w:hint="eastAsia" w:ascii="Times New Roman" w:hAnsi="Times New Roman" w:eastAsiaTheme="minorEastAsia"/>
          <w:szCs w:val="24"/>
        </w:rPr>
        <w:t>XX</w:t>
      </w:r>
      <w:r>
        <w:rPr>
          <w:rFonts w:ascii="Times New Roman" w:hAnsi="Times New Roman" w:eastAsiaTheme="minorEastAsia"/>
          <w:szCs w:val="24"/>
        </w:rPr>
        <w:t>区</w:t>
      </w:r>
      <w:r>
        <w:rPr>
          <w:rFonts w:hint="eastAsia" w:ascii="Times New Roman" w:hAnsi="Times New Roman" w:eastAsiaTheme="minorEastAsia"/>
          <w:szCs w:val="24"/>
        </w:rPr>
        <w:t>XX</w:t>
      </w:r>
      <w:r>
        <w:rPr>
          <w:rFonts w:ascii="Times New Roman" w:hAnsi="Times New Roman" w:eastAsiaTheme="minorEastAsia"/>
          <w:szCs w:val="24"/>
        </w:rPr>
        <w:t>路XX号，为住宅建筑，参评的建筑为二期E区1#、2#楼和底层的配套商业。本项目包含2栋住宅，地上分别为24层和26层，最高建筑高度为81米，地下3层，项目规划总用地面积为11827.70平方米，总建筑面积为65572.9平方米，其中地上面积为49888.53平方米，地下面积为15684.40平方米，绿地率30%，容积率为3.3。</w:t>
      </w:r>
    </w:p>
    <w:p w14:paraId="682B17D2">
      <w:pPr>
        <w:pStyle w:val="7"/>
        <w:spacing w:line="360" w:lineRule="auto"/>
        <w:ind w:firstLine="0" w:firstLineChars="0"/>
        <w:jc w:val="center"/>
      </w:pPr>
      <w:r>
        <w:drawing>
          <wp:inline distT="0" distB="0" distL="0" distR="0">
            <wp:extent cx="5460365" cy="3726815"/>
            <wp:effectExtent l="0" t="0" r="6985" b="6985"/>
            <wp:docPr id="2" name="图片 2" descr="C:\Users\Administrator\Desktop\海尔世纪公馆分配任务\效果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海尔世纪公馆分配任务\效果图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0365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CF986">
      <w:pPr>
        <w:pStyle w:val="7"/>
        <w:spacing w:line="360" w:lineRule="auto"/>
        <w:ind w:firstLine="0" w:firstLineChars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项目效果图</w:t>
      </w:r>
    </w:p>
    <w:p w14:paraId="6B38FC83">
      <w:pPr>
        <w:pStyle w:val="43"/>
      </w:pPr>
      <w:r>
        <w:rPr>
          <w:rFonts w:hint="eastAsia"/>
        </w:rPr>
        <w:t>二、</w:t>
      </w:r>
      <w:bookmarkEnd w:id="5"/>
      <w:bookmarkEnd w:id="6"/>
      <w:bookmarkEnd w:id="7"/>
      <w:bookmarkEnd w:id="8"/>
      <w:r>
        <w:rPr>
          <w:rFonts w:hint="eastAsia"/>
        </w:rPr>
        <w:t>计算条文概述</w:t>
      </w:r>
      <w:bookmarkEnd w:id="9"/>
    </w:p>
    <w:p w14:paraId="3D7F46C5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hint="eastAsia" w:ascii="Times New Roman" w:cs="Times New Roman"/>
          <w:sz w:val="24"/>
          <w:szCs w:val="24"/>
        </w:rPr>
        <w:t>《四川省绿色建筑评价标准》DBJ51/T009-2018</w:t>
      </w:r>
      <w:r>
        <w:rPr>
          <w:rFonts w:ascii="Times New Roman" w:cs="Times New Roman"/>
          <w:sz w:val="24"/>
          <w:szCs w:val="24"/>
        </w:rPr>
        <w:t>第5.2.8条对场地公共交通设施提出了明确的要求：</w:t>
      </w:r>
    </w:p>
    <w:p w14:paraId="010E8898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5.2.8 场地与公共交通设施具有便捷的联系，评价总分值为9分，并按下列规则分别评分并累计：</w:t>
      </w:r>
    </w:p>
    <w:p w14:paraId="423A9E8F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1 场地出入口到达公共汽车站的步行距离不大于500m，或到达轨道交通站的步行距离不大于800m，得3分；</w:t>
      </w:r>
    </w:p>
    <w:p w14:paraId="363DB7AC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2 场地出入口步行距离800m范围内设有2条及两条以上线路的公共交通站点（含公共汽车站和轨道交通站），得3分；</w:t>
      </w:r>
    </w:p>
    <w:p w14:paraId="5B36CC3F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3 有便捷的人行通道联系公共交通站点，得3分。</w:t>
      </w:r>
    </w:p>
    <w:p w14:paraId="1066BC15">
      <w:pPr>
        <w:pStyle w:val="43"/>
      </w:pPr>
      <w:bookmarkStart w:id="10" w:name="_Toc472525181"/>
      <w:bookmarkStart w:id="11" w:name="_Toc472600476"/>
      <w:r>
        <w:rPr>
          <w:rFonts w:hint="eastAsia"/>
        </w:rPr>
        <w:t>三、</w:t>
      </w:r>
      <w:bookmarkEnd w:id="10"/>
      <w:r>
        <w:rPr>
          <w:rFonts w:hint="eastAsia"/>
        </w:rPr>
        <w:t>公共汽车站位置及路线说明</w:t>
      </w:r>
      <w:bookmarkEnd w:id="11"/>
    </w:p>
    <w:p w14:paraId="34573500">
      <w:pPr>
        <w:pStyle w:val="7"/>
        <w:spacing w:line="360" w:lineRule="auto"/>
        <w:ind w:firstLine="480"/>
        <w:jc w:val="both"/>
        <w:rPr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本项目周边500m步行范围内至少有3条交通线路，图1将距离该项目主要人行出入口步行距离小于500m的公交汽车站点表明，公交站点的名称和公交路线图汇总如下表。</w:t>
      </w:r>
    </w:p>
    <w:p w14:paraId="4B872F26">
      <w:pPr>
        <w:pStyle w:val="7"/>
        <w:spacing w:line="360" w:lineRule="auto"/>
        <w:ind w:firstLine="0" w:firstLineChars="0"/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表 1 公交站点及路线图</w:t>
      </w:r>
    </w:p>
    <w:tbl>
      <w:tblPr>
        <w:tblStyle w:val="15"/>
        <w:tblW w:w="86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7"/>
        <w:gridCol w:w="6071"/>
      </w:tblGrid>
      <w:tr w14:paraId="5EEDF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  <w:jc w:val="center"/>
        </w:trPr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  <w:vAlign w:val="center"/>
          </w:tcPr>
          <w:p w14:paraId="23C0E76A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公交站点</w:t>
            </w:r>
          </w:p>
        </w:tc>
        <w:tc>
          <w:tcPr>
            <w:tcW w:w="6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  <w:vAlign w:val="center"/>
          </w:tcPr>
          <w:p w14:paraId="1B3625D1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公交路线</w:t>
            </w:r>
          </w:p>
        </w:tc>
      </w:tr>
      <w:tr w14:paraId="02E68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B280A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站点1</w:t>
            </w:r>
          </w:p>
        </w:tc>
        <w:tc>
          <w:tcPr>
            <w:tcW w:w="6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15B16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406路（</w:t>
            </w:r>
            <w:r>
              <w:rPr>
                <w:rFonts w:hint="eastAsia" w:asci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cs="Times New Roman"/>
                <w:sz w:val="24"/>
                <w:szCs w:val="24"/>
              </w:rPr>
              <w:t>站）</w:t>
            </w:r>
          </w:p>
        </w:tc>
      </w:tr>
      <w:tr w14:paraId="538B9C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  <w:jc w:val="center"/>
        </w:trPr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3089E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站点2</w:t>
            </w:r>
          </w:p>
        </w:tc>
        <w:tc>
          <w:tcPr>
            <w:tcW w:w="6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AB1EB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18路（</w:t>
            </w:r>
            <w:r>
              <w:rPr>
                <w:rFonts w:hint="eastAsia" w:asci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cs="Times New Roman"/>
                <w:sz w:val="24"/>
                <w:szCs w:val="24"/>
              </w:rPr>
              <w:t>站）</w:t>
            </w:r>
          </w:p>
        </w:tc>
      </w:tr>
      <w:tr w14:paraId="6EFA31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  <w:jc w:val="center"/>
        </w:trPr>
        <w:tc>
          <w:tcPr>
            <w:tcW w:w="2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8223E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站点3</w:t>
            </w:r>
          </w:p>
        </w:tc>
        <w:tc>
          <w:tcPr>
            <w:tcW w:w="6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C33A9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406路(</w:t>
            </w:r>
            <w:r>
              <w:rPr>
                <w:rFonts w:hint="eastAsia" w:asci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cs="Times New Roman"/>
                <w:sz w:val="24"/>
                <w:szCs w:val="24"/>
              </w:rPr>
              <w:t>站)</w:t>
            </w:r>
          </w:p>
        </w:tc>
      </w:tr>
    </w:tbl>
    <w:p w14:paraId="79486E5E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从图1中测量的距离来看，除从主出入口到1、2、3站点的步行距离不大于500m外，且该站点有至少2条公交线路。</w:t>
      </w:r>
    </w:p>
    <w:p w14:paraId="5FD7720B">
      <w:pPr>
        <w:pStyle w:val="7"/>
        <w:spacing w:line="360" w:lineRule="auto"/>
        <w:ind w:firstLine="0" w:firstLineChars="0"/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32385</wp:posOffset>
            </wp:positionH>
            <wp:positionV relativeFrom="page">
              <wp:posOffset>6680200</wp:posOffset>
            </wp:positionV>
            <wp:extent cx="5255895" cy="2906395"/>
            <wp:effectExtent l="0" t="0" r="1905" b="8255"/>
            <wp:wrapTopAndBottom/>
            <wp:docPr id="11" name="图片 11" descr="C:\Users\Administrator\Desktop\海尔世纪公馆分配任务\场地交通分析\捕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海尔世纪公馆分配任务\场地交通分析\捕获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/>
          <w:sz w:val="24"/>
          <w:szCs w:val="24"/>
        </w:rPr>
        <w:t>图1 公交车站位置及路线说明图</w:t>
      </w:r>
    </w:p>
    <w:p w14:paraId="29378AF9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测量在出入口到各个公交站点的步行距离，距离统计如下表：</w:t>
      </w:r>
    </w:p>
    <w:tbl>
      <w:tblPr>
        <w:tblStyle w:val="15"/>
        <w:tblW w:w="86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3"/>
        <w:gridCol w:w="5505"/>
      </w:tblGrid>
      <w:tr w14:paraId="4130AF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</w:trPr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  <w:vAlign w:val="center"/>
          </w:tcPr>
          <w:p w14:paraId="7A776A79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公交站点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6D9F0" w:themeFill="text2" w:themeFillTint="33"/>
          </w:tcPr>
          <w:p w14:paraId="355C4004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步行距离</w:t>
            </w:r>
          </w:p>
        </w:tc>
      </w:tr>
      <w:tr w14:paraId="37670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</w:trPr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76357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9AA93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44m</w:t>
            </w:r>
          </w:p>
        </w:tc>
      </w:tr>
      <w:tr w14:paraId="56493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exact"/>
        </w:trPr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25895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D580F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402m</w:t>
            </w:r>
          </w:p>
        </w:tc>
      </w:tr>
      <w:tr w14:paraId="51BB2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exact"/>
        </w:trPr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C5806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86130">
            <w:pPr>
              <w:pStyle w:val="7"/>
              <w:spacing w:line="360" w:lineRule="auto"/>
              <w:ind w:firstLine="0" w:firstLineChars="0"/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472m</w:t>
            </w:r>
          </w:p>
        </w:tc>
      </w:tr>
    </w:tbl>
    <w:p w14:paraId="6BA8FE4B">
      <w:pPr>
        <w:pStyle w:val="7"/>
        <w:spacing w:line="360" w:lineRule="auto"/>
        <w:ind w:firstLine="480"/>
        <w:rPr>
          <w:rFonts w:ascii="Times New Roman" w:cs="Times New Roman"/>
          <w:sz w:val="24"/>
          <w:szCs w:val="24"/>
        </w:rPr>
      </w:pPr>
      <w:bookmarkStart w:id="12" w:name="_Toc472600477"/>
      <w:r>
        <w:rPr>
          <w:rFonts w:ascii="Times New Roman" w:cs="Times New Roman"/>
          <w:sz w:val="24"/>
          <w:szCs w:val="24"/>
        </w:rPr>
        <w:t>目前项目主要出入口通往交通站点有便捷的人行通道。其中，项目通往站点1的过街人行通道见图</w:t>
      </w:r>
      <w:r>
        <w:rPr>
          <w:rFonts w:hint="eastAsia" w:ascii="Times New Roman" w:cs="Times New Roman"/>
          <w:sz w:val="24"/>
          <w:szCs w:val="24"/>
        </w:rPr>
        <w:t>2</w:t>
      </w:r>
      <w:r>
        <w:rPr>
          <w:rFonts w:ascii="Times New Roman" w:cs="Times New Roman"/>
          <w:sz w:val="24"/>
          <w:szCs w:val="24"/>
        </w:rPr>
        <w:t>。</w:t>
      </w:r>
    </w:p>
    <w:p w14:paraId="38224193">
      <w:pPr>
        <w:pStyle w:val="7"/>
        <w:ind w:firstLine="0" w:firstLineChars="0"/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1689100</wp:posOffset>
                </wp:positionV>
                <wp:extent cx="1003300" cy="688975"/>
                <wp:effectExtent l="12700" t="12700" r="12700" b="2222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465" cy="68876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2.05pt;margin-top:133pt;height:54.25pt;width:79pt;z-index:251661312;v-text-anchor:middle;mso-width-relative:page;mso-height-relative:page;" filled="f" stroked="t" coordsize="21600,21600" o:gfxdata="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Nv5Rl9oAAAALAQAADwAAAAAAAAABACAAAAAiAAAAZHJzL2Rvd25yZXYueG1sUEsB&#10;AhQAFAAAAAgAh07iQMK/JwplAgAAxAQAAA4AAAAAAAAAAQAgAAAAKQEAAGRycy9lMm9Eb2MueG1s&#10;UEsFBgAAAAAGAAYAWQEAAAAGAAAAAA==&#10;">
                <v:fill on="f" focussize="0,0"/>
                <v:stroke weight="2pt" color="#FF0000" joinstyle="round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4964430" cy="3813810"/>
            <wp:effectExtent l="0" t="0" r="762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4430" cy="381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499E">
      <w:pPr>
        <w:pStyle w:val="7"/>
        <w:ind w:firstLine="480"/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-1518920</wp:posOffset>
                </wp:positionH>
                <wp:positionV relativeFrom="paragraph">
                  <wp:posOffset>-1045845</wp:posOffset>
                </wp:positionV>
                <wp:extent cx="106680" cy="284480"/>
                <wp:effectExtent l="4445" t="1905" r="22225" b="1841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878" cy="28439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A7EBB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119.6pt;margin-top:-82.35pt;height:22.4pt;width:8.4pt;z-index:251663360;mso-width-relative:page;mso-height-relative:page;" filled="f" stroked="t" coordsize="21600,21600" o:gfxdata="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ygYSM90AAAAPAQAADwAAAAAAAAABACAA&#10;AAAiAAAAZHJzL2Rvd25yZXYueG1sUEsBAhQAFAAAAAgAh07iQBbkz3EIAgAA8QMAAA4AAAAAAAAA&#10;AQAgAAAALAEAAGRycy9lMm9Eb2MueG1sUEsFBgAAAAAGAAYAWQEAAKYFAAAAAA==&#10;">
                <v:fill on="f" focussize="0,0"/>
                <v:stroke color="#457BBA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-1626235</wp:posOffset>
                </wp:positionH>
                <wp:positionV relativeFrom="paragraph">
                  <wp:posOffset>-755015</wp:posOffset>
                </wp:positionV>
                <wp:extent cx="124460" cy="106680"/>
                <wp:effectExtent l="12700" t="12700" r="15240" b="13970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106878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28.05pt;margin-top:-59.45pt;height:8.4pt;width:9.8pt;z-index:251662336;v-text-anchor:middle;mso-width-relative:page;mso-height-relative:page;" fillcolor="#4F81BD" filled="t" stroked="t" coordsize="21600,21600" o:gfxdata="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82YU+3QAAAA8BAAAPAAAAAAAA&#10;AAEAIAAAACIAAABkcnMvZG93bnJldi54bWxQSwECFAAUAAAACACHTuJAq5lO+38CAAAQBQAADgAA&#10;AAAAAAABACAAAAAsAQAAZHJzL2Uyb0RvYy54bWxQSwUGAAAAAAYABgBZAQAAHQYAAAAA&#10;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cs="Times New Roman"/>
          <w:sz w:val="24"/>
          <w:szCs w:val="24"/>
        </w:rPr>
        <w:t>图2 人行过街通道</w:t>
      </w:r>
    </w:p>
    <w:p w14:paraId="491E2932">
      <w:pPr>
        <w:pStyle w:val="7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另外</w:t>
      </w:r>
      <w:r>
        <w:rPr>
          <w:sz w:val="24"/>
          <w:szCs w:val="24"/>
        </w:rPr>
        <w:t>，通往站点</w:t>
      </w:r>
      <w:r>
        <w:rPr>
          <w:rFonts w:hint="eastAsia"/>
          <w:sz w:val="24"/>
          <w:szCs w:val="24"/>
        </w:rPr>
        <w:t>2和3的东</w:t>
      </w:r>
      <w:r>
        <w:rPr>
          <w:sz w:val="24"/>
          <w:szCs w:val="24"/>
        </w:rPr>
        <w:t>南侧</w:t>
      </w:r>
      <w:r>
        <w:rPr>
          <w:rFonts w:hint="eastAsia"/>
          <w:sz w:val="24"/>
          <w:szCs w:val="24"/>
        </w:rPr>
        <w:t>十字路口目前</w:t>
      </w:r>
      <w:r>
        <w:rPr>
          <w:sz w:val="24"/>
          <w:szCs w:val="24"/>
        </w:rPr>
        <w:t>已设置了便利</w:t>
      </w:r>
      <w:r>
        <w:rPr>
          <w:rFonts w:hint="eastAsia"/>
          <w:sz w:val="24"/>
          <w:szCs w:val="24"/>
        </w:rPr>
        <w:t>安全</w:t>
      </w:r>
      <w:r>
        <w:rPr>
          <w:sz w:val="24"/>
          <w:szCs w:val="24"/>
        </w:rPr>
        <w:t>的人行通道</w:t>
      </w:r>
      <w:r>
        <w:rPr>
          <w:rFonts w:hint="eastAsia"/>
          <w:sz w:val="24"/>
          <w:szCs w:val="24"/>
        </w:rPr>
        <w:t>，如下图</w:t>
      </w:r>
      <w:r>
        <w:rPr>
          <w:sz w:val="24"/>
          <w:szCs w:val="24"/>
        </w:rPr>
        <w:t>：</w:t>
      </w:r>
    </w:p>
    <w:p w14:paraId="027F56EA">
      <w:pPr>
        <w:pStyle w:val="7"/>
        <w:ind w:firstLine="0" w:firstLineChars="0"/>
      </w:pPr>
      <w:r>
        <w:drawing>
          <wp:inline distT="0" distB="0" distL="0" distR="0">
            <wp:extent cx="5472430" cy="26257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6F2F3">
      <w:pPr>
        <w:pStyle w:val="7"/>
        <w:spacing w:line="360" w:lineRule="auto"/>
        <w:ind w:firstLine="0" w:firstLineChars="0"/>
        <w:jc w:val="center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-1518920</wp:posOffset>
                </wp:positionH>
                <wp:positionV relativeFrom="paragraph">
                  <wp:posOffset>-1045845</wp:posOffset>
                </wp:positionV>
                <wp:extent cx="106680" cy="284480"/>
                <wp:effectExtent l="4445" t="1905" r="22225" b="1841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878" cy="28439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A7EBB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119.6pt;margin-top:-82.35pt;height:22.4pt;width:8.4pt;z-index:251660288;mso-width-relative:page;mso-height-relative:page;" filled="f" stroked="t" coordsize="21600,21600" o:gfxdata="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oGEjPdAAAADwEAAA8AAAAAAAAAAQAgAAAA&#10;IgAAAGRycy9kb3ducmV2LnhtbFBLAQIUABQAAAAIAIdO4kCexixyBgIAAPEDAAAOAAAAAAAAAAEA&#10;IAAAACwBAABkcnMvZTJvRG9jLnhtbFBLBQYAAAAABgAGAFkBAACkBQAAAAA=&#10;">
                <v:fill on="f" focussize="0,0"/>
                <v:stroke color="#457BBA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-1626235</wp:posOffset>
                </wp:positionH>
                <wp:positionV relativeFrom="paragraph">
                  <wp:posOffset>-755015</wp:posOffset>
                </wp:positionV>
                <wp:extent cx="124460" cy="106680"/>
                <wp:effectExtent l="12700" t="12700" r="15240" b="1397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106878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128.05pt;margin-top:-59.45pt;height:8.4pt;width:9.8pt;z-index:251659264;v-text-anchor:middle;mso-width-relative:page;mso-height-relative:page;" fillcolor="#4F81BD" filled="t" stroked="t" coordsize="21600,21600" o:gfxdata="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DzZhT7dAAAADwEAAA8AAAAAAAAA&#10;AQAgAAAAIgAAAGRycy9kb3ducmV2LnhtbFBLAQIUABQAAAAIAIdO4kCtegusfgIAAA4FAAAOAAAA&#10;AAAAAAEAIAAAACwBAABkcnMvZTJvRG9jLnhtbFBLBQYAAAAABgAGAFkBAAAcBgAAAAA=&#10;">
                <v:fill on="t" focussize="0,0"/>
                <v:stroke weight="2pt" color="#264264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cs="Times New Roman"/>
          <w:sz w:val="24"/>
          <w:szCs w:val="24"/>
        </w:rPr>
        <w:t>图3 东南侧十字路口人行过街通道</w:t>
      </w:r>
    </w:p>
    <w:p w14:paraId="2D8A2791">
      <w:pPr>
        <w:pStyle w:val="43"/>
      </w:pPr>
      <w:r>
        <w:rPr>
          <w:rFonts w:hint="eastAsia"/>
        </w:rPr>
        <w:t>四、结论</w:t>
      </w:r>
      <w:bookmarkEnd w:id="12"/>
    </w:p>
    <w:p w14:paraId="5A88CF82">
      <w:pPr>
        <w:pStyle w:val="7"/>
        <w:spacing w:line="360" w:lineRule="auto"/>
        <w:ind w:firstLine="480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总得来说，场地的交通组织情况良好。有两座公交站点位于场地出入口500m范围内，而且场地出入口800m范</w:t>
      </w:r>
      <w:bookmarkStart w:id="13" w:name="OLE_LINK1"/>
      <w:r>
        <w:rPr>
          <w:rFonts w:ascii="Times New Roman" w:cs="Times New Roman"/>
          <w:sz w:val="24"/>
          <w:szCs w:val="24"/>
        </w:rPr>
        <w:t>围内的公交共有3个站点，能够提供2条公交线路，根据5.2.8条第一款得3分；场地出入口步行距离800m范围内有</w:t>
      </w:r>
      <w:bookmarkEnd w:id="13"/>
      <w:r>
        <w:rPr>
          <w:rFonts w:ascii="Times New Roman" w:cs="Times New Roman"/>
          <w:sz w:val="24"/>
          <w:szCs w:val="24"/>
        </w:rPr>
        <w:t>四条公共汽车线路，根据5.2.8条第二款得3分；场地出入口设有人行通道，根据5.2.8条第三款得3分。所以此条款总得分为9分。</w:t>
      </w:r>
    </w:p>
    <w:sectPr>
      <w:pgSz w:w="11906" w:h="16838"/>
      <w:pgMar w:top="1077" w:right="1644" w:bottom="1077" w:left="1644" w:header="454" w:footer="454" w:gutter="0"/>
      <w:pgNumType w:start="1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A270">
    <w:pPr>
      <w:pStyle w:val="11"/>
      <w:jc w:val="center"/>
    </w:pPr>
  </w:p>
  <w:p w14:paraId="0C477141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1542859"/>
    </w:sdtPr>
    <w:sdtContent>
      <w:p w14:paraId="01E5DD5F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0E4FCBA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BECE0">
    <w:pPr>
      <w:pStyle w:val="12"/>
      <w:spacing w:line="240" w:lineRule="auto"/>
      <w:jc w:val="left"/>
      <w:rPr>
        <w:rFonts w:ascii="Times New Roman" w:hAnsi="Times New Roman"/>
        <w:sz w:val="24"/>
        <w:szCs w:val="24"/>
      </w:rPr>
    </w:pPr>
    <w:r>
      <w:rPr>
        <w:rFonts w:hint="eastAsia" w:ascii="Times New Roman" w:hAnsi="Times New Roman"/>
        <w:sz w:val="24"/>
        <w:szCs w:val="24"/>
      </w:rPr>
      <w:t>XX</w:t>
    </w:r>
    <w:r>
      <w:rPr>
        <w:rFonts w:ascii="Times New Roman" w:hAnsi="Times New Roman"/>
        <w:sz w:val="24"/>
        <w:szCs w:val="24"/>
      </w:rPr>
      <w:t xml:space="preserve">项目                   </w:t>
    </w:r>
    <w:r>
      <w:rPr>
        <w:rFonts w:hint="eastAsia" w:ascii="Times New Roman" w:hAnsi="Times New Roman"/>
        <w:sz w:val="24"/>
        <w:szCs w:val="24"/>
      </w:rPr>
      <w:t xml:space="preserve">  </w:t>
    </w:r>
    <w:r>
      <w:rPr>
        <w:rFonts w:ascii="Times New Roman" w:hAnsi="Times New Roman"/>
        <w:sz w:val="24"/>
        <w:szCs w:val="24"/>
      </w:rPr>
      <w:t xml:space="preserve">                         </w:t>
    </w:r>
    <w:r>
      <w:rPr>
        <w:rFonts w:hint="eastAsia" w:ascii="Times New Roman" w:hAnsi="Times New Roman"/>
        <w:sz w:val="24"/>
        <w:szCs w:val="24"/>
      </w:rPr>
      <w:t xml:space="preserve">  </w:t>
    </w:r>
    <w:r>
      <w:rPr>
        <w:rFonts w:ascii="Times New Roman" w:hAnsi="Times New Roman"/>
        <w:sz w:val="24"/>
        <w:szCs w:val="24"/>
      </w:rPr>
      <w:t>场地交通</w:t>
    </w:r>
    <w:r>
      <w:rPr>
        <w:rFonts w:hint="eastAsia" w:ascii="Times New Roman" w:hAnsi="Times New Roman"/>
        <w:sz w:val="24"/>
        <w:szCs w:val="24"/>
      </w:rPr>
      <w:t>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381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47"/>
    <w:rsid w:val="00006D9E"/>
    <w:rsid w:val="0001019B"/>
    <w:rsid w:val="000441C3"/>
    <w:rsid w:val="00063953"/>
    <w:rsid w:val="00066BC7"/>
    <w:rsid w:val="00076543"/>
    <w:rsid w:val="000964FD"/>
    <w:rsid w:val="000D0DDF"/>
    <w:rsid w:val="000E7DF1"/>
    <w:rsid w:val="00101DFA"/>
    <w:rsid w:val="00111F33"/>
    <w:rsid w:val="00115422"/>
    <w:rsid w:val="00133EE5"/>
    <w:rsid w:val="00137B61"/>
    <w:rsid w:val="00142DC9"/>
    <w:rsid w:val="001649C7"/>
    <w:rsid w:val="0017653D"/>
    <w:rsid w:val="0018217A"/>
    <w:rsid w:val="001E098D"/>
    <w:rsid w:val="001E4596"/>
    <w:rsid w:val="00277A34"/>
    <w:rsid w:val="00280630"/>
    <w:rsid w:val="0028271C"/>
    <w:rsid w:val="002A36BD"/>
    <w:rsid w:val="002B767E"/>
    <w:rsid w:val="002C7F85"/>
    <w:rsid w:val="002F1AC3"/>
    <w:rsid w:val="0032626F"/>
    <w:rsid w:val="0038611B"/>
    <w:rsid w:val="003D2BFE"/>
    <w:rsid w:val="003E1F17"/>
    <w:rsid w:val="004237F0"/>
    <w:rsid w:val="00447C9F"/>
    <w:rsid w:val="004645DC"/>
    <w:rsid w:val="004831EC"/>
    <w:rsid w:val="004864B6"/>
    <w:rsid w:val="004F5D55"/>
    <w:rsid w:val="00501903"/>
    <w:rsid w:val="00510ED8"/>
    <w:rsid w:val="00525D7C"/>
    <w:rsid w:val="00560A47"/>
    <w:rsid w:val="005659AE"/>
    <w:rsid w:val="005727DC"/>
    <w:rsid w:val="00572B5C"/>
    <w:rsid w:val="005823C3"/>
    <w:rsid w:val="005A7A09"/>
    <w:rsid w:val="005B217F"/>
    <w:rsid w:val="005C0775"/>
    <w:rsid w:val="005D1464"/>
    <w:rsid w:val="005F515C"/>
    <w:rsid w:val="005F6792"/>
    <w:rsid w:val="005F70E8"/>
    <w:rsid w:val="00600203"/>
    <w:rsid w:val="00600DFF"/>
    <w:rsid w:val="00653037"/>
    <w:rsid w:val="0065765E"/>
    <w:rsid w:val="006A0896"/>
    <w:rsid w:val="006A46C9"/>
    <w:rsid w:val="006F64CA"/>
    <w:rsid w:val="00701362"/>
    <w:rsid w:val="00702FF0"/>
    <w:rsid w:val="00707B3F"/>
    <w:rsid w:val="00713DFE"/>
    <w:rsid w:val="007322E4"/>
    <w:rsid w:val="0074059B"/>
    <w:rsid w:val="00760A66"/>
    <w:rsid w:val="00762330"/>
    <w:rsid w:val="007B195B"/>
    <w:rsid w:val="00805079"/>
    <w:rsid w:val="008238A9"/>
    <w:rsid w:val="00847B5D"/>
    <w:rsid w:val="008513AF"/>
    <w:rsid w:val="0085362C"/>
    <w:rsid w:val="008D7186"/>
    <w:rsid w:val="00914DF6"/>
    <w:rsid w:val="00932375"/>
    <w:rsid w:val="009549FA"/>
    <w:rsid w:val="009C2DCF"/>
    <w:rsid w:val="00A051E3"/>
    <w:rsid w:val="00A44955"/>
    <w:rsid w:val="00A55242"/>
    <w:rsid w:val="00A56DC4"/>
    <w:rsid w:val="00A701EE"/>
    <w:rsid w:val="00A72D09"/>
    <w:rsid w:val="00AA0309"/>
    <w:rsid w:val="00AC2CBF"/>
    <w:rsid w:val="00AC3169"/>
    <w:rsid w:val="00AC6153"/>
    <w:rsid w:val="00AD2B83"/>
    <w:rsid w:val="00B066F4"/>
    <w:rsid w:val="00B14BD9"/>
    <w:rsid w:val="00B27430"/>
    <w:rsid w:val="00B400D3"/>
    <w:rsid w:val="00B4353E"/>
    <w:rsid w:val="00BC04E6"/>
    <w:rsid w:val="00BC668A"/>
    <w:rsid w:val="00BC73FF"/>
    <w:rsid w:val="00C143C8"/>
    <w:rsid w:val="00C2047A"/>
    <w:rsid w:val="00C2690C"/>
    <w:rsid w:val="00C31E02"/>
    <w:rsid w:val="00C31E14"/>
    <w:rsid w:val="00C357E9"/>
    <w:rsid w:val="00C46A24"/>
    <w:rsid w:val="00C47055"/>
    <w:rsid w:val="00C57F24"/>
    <w:rsid w:val="00C71B71"/>
    <w:rsid w:val="00C72544"/>
    <w:rsid w:val="00CA2536"/>
    <w:rsid w:val="00CB2896"/>
    <w:rsid w:val="00CB2C60"/>
    <w:rsid w:val="00CD16FE"/>
    <w:rsid w:val="00CD1DAC"/>
    <w:rsid w:val="00CE4DD5"/>
    <w:rsid w:val="00CF1CE1"/>
    <w:rsid w:val="00D04307"/>
    <w:rsid w:val="00D139B0"/>
    <w:rsid w:val="00D20DCA"/>
    <w:rsid w:val="00D760F6"/>
    <w:rsid w:val="00D772C8"/>
    <w:rsid w:val="00DB7089"/>
    <w:rsid w:val="00DC077A"/>
    <w:rsid w:val="00E57D0C"/>
    <w:rsid w:val="00E61C1D"/>
    <w:rsid w:val="00E64DDE"/>
    <w:rsid w:val="00E731D8"/>
    <w:rsid w:val="00E91F95"/>
    <w:rsid w:val="00EA06EA"/>
    <w:rsid w:val="00EC5DFD"/>
    <w:rsid w:val="00F07FB8"/>
    <w:rsid w:val="00F1441D"/>
    <w:rsid w:val="00F16C0D"/>
    <w:rsid w:val="00F23462"/>
    <w:rsid w:val="00F24D4E"/>
    <w:rsid w:val="00F440E7"/>
    <w:rsid w:val="00F53A1E"/>
    <w:rsid w:val="00F54DDF"/>
    <w:rsid w:val="00FB5CB3"/>
    <w:rsid w:val="00FC1976"/>
    <w:rsid w:val="00FF16A2"/>
    <w:rsid w:val="04F20BF8"/>
    <w:rsid w:val="0B465B28"/>
    <w:rsid w:val="0B7E40FC"/>
    <w:rsid w:val="0D01615C"/>
    <w:rsid w:val="17C152B2"/>
    <w:rsid w:val="18CC634A"/>
    <w:rsid w:val="1A7579CF"/>
    <w:rsid w:val="1D1522EA"/>
    <w:rsid w:val="20381A95"/>
    <w:rsid w:val="21C759E3"/>
    <w:rsid w:val="24435A49"/>
    <w:rsid w:val="28046CB3"/>
    <w:rsid w:val="2A7A671D"/>
    <w:rsid w:val="30697196"/>
    <w:rsid w:val="329C5542"/>
    <w:rsid w:val="3DC4113E"/>
    <w:rsid w:val="400F725A"/>
    <w:rsid w:val="44820DC1"/>
    <w:rsid w:val="459A53D6"/>
    <w:rsid w:val="47DE200B"/>
    <w:rsid w:val="55664BB1"/>
    <w:rsid w:val="5BC3006A"/>
    <w:rsid w:val="60DF7FC3"/>
    <w:rsid w:val="61C027A5"/>
    <w:rsid w:val="67AB3921"/>
    <w:rsid w:val="69D17679"/>
    <w:rsid w:val="6DE47777"/>
    <w:rsid w:val="6FE97FF9"/>
    <w:rsid w:val="70456426"/>
    <w:rsid w:val="7BDA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1"/>
    <w:pPr>
      <w:autoSpaceDE w:val="0"/>
      <w:autoSpaceDN w:val="0"/>
      <w:adjustRightInd w:val="0"/>
      <w:spacing w:beforeLines="100" w:afterLines="100"/>
      <w:outlineLvl w:val="1"/>
    </w:pPr>
    <w:rPr>
      <w:rFonts w:ascii="宋体" w:hAnsi="Times New Roman" w:cs="宋体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4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9"/>
    <w:qFormat/>
    <w:uiPriority w:val="1"/>
    <w:pPr>
      <w:autoSpaceDE w:val="0"/>
      <w:autoSpaceDN w:val="0"/>
      <w:adjustRightInd w:val="0"/>
      <w:spacing w:line="240" w:lineRule="auto"/>
      <w:ind w:firstLine="420" w:firstLineChars="200"/>
    </w:pPr>
    <w:rPr>
      <w:rFonts w:ascii="宋体" w:hAnsi="Times New Roman" w:cs="宋体"/>
    </w:rPr>
  </w:style>
  <w:style w:type="paragraph" w:styleId="8">
    <w:name w:val="Body Text Indent"/>
    <w:basedOn w:val="1"/>
    <w:unhideWhenUsed/>
    <w:qFormat/>
    <w:uiPriority w:val="99"/>
    <w:pPr>
      <w:spacing w:line="400" w:lineRule="exact"/>
      <w:ind w:firstLine="480" w:firstLineChars="200"/>
    </w:pPr>
    <w:rPr>
      <w:rFonts w:ascii="微软雅黑" w:hAnsi="微软雅黑" w:eastAsia="微软雅黑"/>
      <w:sz w:val="24"/>
    </w:rPr>
  </w:style>
  <w:style w:type="paragraph" w:styleId="9">
    <w:name w:val="toc 3"/>
    <w:basedOn w:val="1"/>
    <w:next w:val="1"/>
    <w:unhideWhenUsed/>
    <w:qFormat/>
    <w:uiPriority w:val="39"/>
    <w:pPr>
      <w:tabs>
        <w:tab w:val="right" w:leader="dot" w:pos="8455"/>
      </w:tabs>
      <w:ind w:left="141" w:leftChars="67" w:firstLine="1"/>
      <w:jc w:val="center"/>
    </w:pPr>
  </w:style>
  <w:style w:type="paragraph" w:styleId="10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tabs>
        <w:tab w:val="right" w:leader="dot" w:pos="8455"/>
      </w:tabs>
      <w:ind w:left="2" w:hanging="2" w:hangingChars="1"/>
    </w:pPr>
  </w:style>
  <w:style w:type="paragraph" w:styleId="14">
    <w:name w:val="toc 2"/>
    <w:basedOn w:val="1"/>
    <w:next w:val="1"/>
    <w:unhideWhenUsed/>
    <w:qFormat/>
    <w:uiPriority w:val="39"/>
    <w:pPr>
      <w:tabs>
        <w:tab w:val="right" w:leader="dot" w:pos="8455"/>
      </w:tabs>
      <w:ind w:firstLine="6"/>
    </w:p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</w:rPr>
  </w:style>
  <w:style w:type="character" w:customStyle="1" w:styleId="18">
    <w:name w:val="标题 2 Char"/>
    <w:link w:val="3"/>
    <w:qFormat/>
    <w:uiPriority w:val="1"/>
    <w:rPr>
      <w:rFonts w:ascii="宋体" w:hAnsi="Times New Roman" w:cs="宋体"/>
      <w:b/>
      <w:bCs/>
      <w:sz w:val="32"/>
      <w:szCs w:val="32"/>
    </w:rPr>
  </w:style>
  <w:style w:type="character" w:customStyle="1" w:styleId="19">
    <w:name w:val="正文文本 Char"/>
    <w:link w:val="7"/>
    <w:qFormat/>
    <w:uiPriority w:val="1"/>
    <w:rPr>
      <w:rFonts w:ascii="宋体" w:hAnsi="Times New Roman" w:cs="宋体"/>
    </w:rPr>
  </w:style>
  <w:style w:type="character" w:customStyle="1" w:styleId="20">
    <w:name w:val="页眉 Char"/>
    <w:basedOn w:val="16"/>
    <w:link w:val="12"/>
    <w:qFormat/>
    <w:uiPriority w:val="99"/>
    <w:rPr>
      <w:kern w:val="2"/>
      <w:sz w:val="18"/>
      <w:szCs w:val="18"/>
    </w:rPr>
  </w:style>
  <w:style w:type="character" w:customStyle="1" w:styleId="21">
    <w:name w:val="页脚 Char"/>
    <w:basedOn w:val="16"/>
    <w:link w:val="11"/>
    <w:qFormat/>
    <w:uiPriority w:val="99"/>
    <w:rPr>
      <w:kern w:val="2"/>
      <w:sz w:val="18"/>
      <w:szCs w:val="18"/>
    </w:rPr>
  </w:style>
  <w:style w:type="character" w:customStyle="1" w:styleId="22">
    <w:name w:val="批注框文本 Char"/>
    <w:basedOn w:val="16"/>
    <w:link w:val="10"/>
    <w:semiHidden/>
    <w:qFormat/>
    <w:uiPriority w:val="99"/>
    <w:rPr>
      <w:kern w:val="2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样式1"/>
    <w:basedOn w:val="3"/>
    <w:qFormat/>
    <w:uiPriority w:val="0"/>
  </w:style>
  <w:style w:type="paragraph" w:customStyle="1" w:styleId="25">
    <w:name w:val="样式2"/>
    <w:basedOn w:val="24"/>
    <w:qFormat/>
    <w:uiPriority w:val="0"/>
    <w:pPr>
      <w:spacing w:beforeLines="50" w:afterLines="50"/>
    </w:pPr>
  </w:style>
  <w:style w:type="character" w:customStyle="1" w:styleId="26">
    <w:name w:val="标题 1 Char"/>
    <w:basedOn w:val="16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7">
    <w:name w:val="TOC 标题1"/>
    <w:basedOn w:val="2"/>
    <w:next w:val="1"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28">
    <w:name w:val="标题 3 Char"/>
    <w:basedOn w:val="16"/>
    <w:link w:val="4"/>
    <w:qFormat/>
    <w:uiPriority w:val="9"/>
    <w:rPr>
      <w:b/>
      <w:bCs/>
      <w:kern w:val="2"/>
      <w:sz w:val="32"/>
      <w:szCs w:val="32"/>
    </w:rPr>
  </w:style>
  <w:style w:type="paragraph" w:customStyle="1" w:styleId="29">
    <w:name w:val="样式3"/>
    <w:basedOn w:val="9"/>
    <w:qFormat/>
    <w:uiPriority w:val="0"/>
    <w:pPr>
      <w:ind w:left="67" w:firstLine="0"/>
    </w:pPr>
  </w:style>
  <w:style w:type="paragraph" w:customStyle="1" w:styleId="30">
    <w:name w:val="样式4"/>
    <w:basedOn w:val="25"/>
    <w:qFormat/>
    <w:uiPriority w:val="0"/>
  </w:style>
  <w:style w:type="paragraph" w:customStyle="1" w:styleId="31">
    <w:name w:val="样式5"/>
    <w:basedOn w:val="9"/>
    <w:qFormat/>
    <w:uiPriority w:val="0"/>
    <w:pPr>
      <w:ind w:left="67" w:firstLine="0"/>
    </w:pPr>
  </w:style>
  <w:style w:type="paragraph" w:customStyle="1" w:styleId="32">
    <w:name w:val="样式6"/>
    <w:basedOn w:val="29"/>
    <w:qFormat/>
    <w:uiPriority w:val="0"/>
  </w:style>
  <w:style w:type="paragraph" w:customStyle="1" w:styleId="33">
    <w:name w:val="样式7"/>
    <w:basedOn w:val="4"/>
    <w:qFormat/>
    <w:uiPriority w:val="0"/>
    <w:pPr>
      <w:spacing w:before="120" w:after="120" w:line="240" w:lineRule="auto"/>
    </w:pPr>
  </w:style>
  <w:style w:type="character" w:customStyle="1" w:styleId="34">
    <w:name w:val="标题 4 Char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35">
    <w:name w:val="样式8"/>
    <w:basedOn w:val="5"/>
    <w:qFormat/>
    <w:uiPriority w:val="0"/>
    <w:pPr>
      <w:spacing w:line="240" w:lineRule="auto"/>
    </w:pPr>
  </w:style>
  <w:style w:type="paragraph" w:customStyle="1" w:styleId="36">
    <w:name w:val="样式9"/>
    <w:basedOn w:val="35"/>
    <w:qFormat/>
    <w:uiPriority w:val="0"/>
    <w:pPr>
      <w:spacing w:before="240" w:after="240"/>
    </w:pPr>
    <w:rPr>
      <w:rFonts w:ascii="宋体" w:hAnsi="宋体" w:eastAsia="宋体"/>
    </w:rPr>
  </w:style>
  <w:style w:type="paragraph" w:customStyle="1" w:styleId="37">
    <w:name w:val="Table Paragraph"/>
    <w:basedOn w:val="1"/>
    <w:qFormat/>
    <w:uiPriority w:val="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 w:eastAsiaTheme="minorEastAsia"/>
      <w:sz w:val="24"/>
      <w:szCs w:val="24"/>
    </w:rPr>
  </w:style>
  <w:style w:type="character" w:customStyle="1" w:styleId="38">
    <w:name w:val="标题 5 Char"/>
    <w:basedOn w:val="16"/>
    <w:link w:val="6"/>
    <w:qFormat/>
    <w:uiPriority w:val="9"/>
    <w:rPr>
      <w:b/>
      <w:bCs/>
      <w:sz w:val="28"/>
      <w:szCs w:val="28"/>
    </w:rPr>
  </w:style>
  <w:style w:type="paragraph" w:customStyle="1" w:styleId="39">
    <w:name w:val="样式10"/>
    <w:basedOn w:val="6"/>
    <w:qFormat/>
    <w:uiPriority w:val="0"/>
    <w:pPr>
      <w:spacing w:before="240" w:after="240" w:line="240" w:lineRule="auto"/>
    </w:pPr>
  </w:style>
  <w:style w:type="paragraph" w:customStyle="1" w:styleId="40">
    <w:name w:val="样式11"/>
    <w:basedOn w:val="39"/>
    <w:qFormat/>
    <w:uiPriority w:val="0"/>
    <w:pPr>
      <w:spacing w:after="120"/>
    </w:pPr>
  </w:style>
  <w:style w:type="paragraph" w:customStyle="1" w:styleId="41">
    <w:name w:val="样式12"/>
    <w:basedOn w:val="40"/>
    <w:qFormat/>
    <w:uiPriority w:val="0"/>
    <w:pPr>
      <w:spacing w:before="120"/>
    </w:pPr>
    <w:rPr>
      <w:sz w:val="24"/>
      <w:szCs w:val="24"/>
    </w:rPr>
  </w:style>
  <w:style w:type="paragraph" w:customStyle="1" w:styleId="42">
    <w:name w:val="样式13"/>
    <w:basedOn w:val="2"/>
    <w:qFormat/>
    <w:uiPriority w:val="0"/>
    <w:pPr>
      <w:spacing w:before="240" w:after="240" w:line="240" w:lineRule="auto"/>
    </w:pPr>
  </w:style>
  <w:style w:type="paragraph" w:customStyle="1" w:styleId="43">
    <w:name w:val="样式14"/>
    <w:basedOn w:val="42"/>
    <w:qFormat/>
    <w:uiPriority w:val="0"/>
    <w:pPr>
      <w:spacing w:before="120" w:after="120"/>
    </w:pPr>
  </w:style>
  <w:style w:type="paragraph" w:customStyle="1" w:styleId="44">
    <w:name w:val="样式15"/>
    <w:basedOn w:val="3"/>
    <w:qFormat/>
    <w:uiPriority w:val="0"/>
    <w:pPr>
      <w:spacing w:line="240" w:lineRule="auto"/>
    </w:pPr>
  </w:style>
  <w:style w:type="paragraph" w:customStyle="1" w:styleId="45">
    <w:name w:val="样式16"/>
    <w:basedOn w:val="44"/>
    <w:qFormat/>
    <w:uiPriority w:val="0"/>
    <w:pPr>
      <w:spacing w:beforeLines="50" w:afterLines="50"/>
    </w:pPr>
  </w:style>
  <w:style w:type="paragraph" w:customStyle="1" w:styleId="46">
    <w:name w:val="样式17"/>
    <w:basedOn w:val="45"/>
    <w:qFormat/>
    <w:uiPriority w:val="0"/>
    <w:pPr>
      <w:spacing w:beforeLines="30" w:afterLines="30"/>
    </w:pPr>
  </w:style>
  <w:style w:type="paragraph" w:customStyle="1" w:styleId="47">
    <w:name w:val="样式18"/>
    <w:basedOn w:val="4"/>
    <w:qFormat/>
    <w:uiPriority w:val="0"/>
    <w:pPr>
      <w:spacing w:before="120" w:after="12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jpe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97D6ED-8B60-42A3-9C4B-8B7AFE8D30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922</Words>
  <Characters>1044</Characters>
  <Lines>10</Lines>
  <Paragraphs>2</Paragraphs>
  <TotalTime>2</TotalTime>
  <ScaleCrop>false</ScaleCrop>
  <LinksUpToDate>false</LinksUpToDate>
  <CharactersWithSpaces>1092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2017-01-19T03:26:00Z</dcterms:created>
  <dc:creator>LT</dc:creator>
  <cp:lastModifiedBy>大兒童</cp:lastModifiedBy>
  <dcterms:modified xsi:type="dcterms:W3CDTF">2026-01-29T08:00:56Z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15626612BD1846509632C79DFB3601B9_13</vt:lpwstr>
  </property>
</Properties>
</file>