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BDCF" w14:textId="17F31A65" w:rsidR="00A51F60" w:rsidRDefault="00401456" w:rsidP="00B716B1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EC2288">
        <w:rPr>
          <w:rFonts w:ascii="Times New Roman" w:eastAsia="方正小标宋_GBK" w:hAnsi="Times New Roman" w:cs="Times New Roman"/>
          <w:sz w:val="44"/>
          <w:szCs w:val="44"/>
        </w:rPr>
        <w:t>绿色建筑专项核查内容</w:t>
      </w:r>
    </w:p>
    <w:p w14:paraId="64484ADD" w14:textId="77777777" w:rsidR="00B27FC4" w:rsidRPr="00EC2288" w:rsidRDefault="00B27FC4" w:rsidP="00B716B1">
      <w:pPr>
        <w:spacing w:line="560" w:lineRule="exact"/>
        <w:jc w:val="center"/>
        <w:rPr>
          <w:rFonts w:ascii="Times New Roman" w:eastAsia="方正小标宋_GBK" w:hAnsi="Times New Roman" w:cs="Times New Roman" w:hint="eastAsia"/>
          <w:sz w:val="44"/>
          <w:szCs w:val="44"/>
        </w:rPr>
      </w:pPr>
    </w:p>
    <w:p w14:paraId="2BC3F74D" w14:textId="446CE6A3" w:rsidR="00B27FC4" w:rsidRDefault="00401456" w:rsidP="00B27FC4">
      <w:pPr>
        <w:spacing w:line="560" w:lineRule="exact"/>
        <w:ind w:left="640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EC2288">
        <w:rPr>
          <w:rFonts w:ascii="Times New Roman" w:eastAsia="黑体" w:hAnsi="Times New Roman" w:cs="Times New Roman"/>
          <w:sz w:val="32"/>
          <w:szCs w:val="32"/>
        </w:rPr>
        <w:t>绿色建筑评价标准（</w:t>
      </w:r>
      <w:r w:rsidRPr="00EC2288">
        <w:rPr>
          <w:rFonts w:ascii="Times New Roman" w:eastAsia="黑体" w:hAnsi="Times New Roman" w:cs="Times New Roman"/>
          <w:sz w:val="32"/>
          <w:szCs w:val="32"/>
        </w:rPr>
        <w:t>GB/T 50378-2019</w:t>
      </w:r>
      <w:r w:rsidRPr="00EC2288">
        <w:rPr>
          <w:rFonts w:ascii="Times New Roman" w:eastAsia="黑体" w:hAnsi="Times New Roman" w:cs="Times New Roman"/>
          <w:sz w:val="32"/>
          <w:szCs w:val="32"/>
        </w:rPr>
        <w:t>）</w:t>
      </w:r>
    </w:p>
    <w:p w14:paraId="20D8D9B4" w14:textId="77777777" w:rsidR="00B27FC4" w:rsidRDefault="00B27FC4" w:rsidP="00B27FC4">
      <w:pPr>
        <w:spacing w:line="560" w:lineRule="exact"/>
        <w:ind w:left="640"/>
        <w:jc w:val="center"/>
        <w:rPr>
          <w:rFonts w:ascii="Times New Roman" w:eastAsia="黑体" w:hAnsi="Times New Roman" w:cs="Times New Roman" w:hint="eastAsia"/>
          <w:sz w:val="32"/>
          <w:szCs w:val="32"/>
        </w:rPr>
      </w:pPr>
    </w:p>
    <w:p w14:paraId="4DB5D473" w14:textId="18951E9C" w:rsidR="00401456" w:rsidRPr="00EC2288" w:rsidRDefault="00401456" w:rsidP="00B27FC4">
      <w:pPr>
        <w:spacing w:line="560" w:lineRule="exact"/>
        <w:ind w:left="640"/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（一）安全耐久</w:t>
      </w:r>
    </w:p>
    <w:p w14:paraId="1761B168" w14:textId="6BD5E1AA" w:rsidR="00401456" w:rsidRPr="00EC2288" w:rsidRDefault="00401456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场地应避开滑坡、泥石流等地质危险地段，易发生洪涝地区应有可靠的防洪涝基础设施；场地应无危险化学品、易燃易爆危险源的威胁，应无电磁辐射、含氡土壤的危害。</w:t>
      </w:r>
    </w:p>
    <w:p w14:paraId="073F232F" w14:textId="2E756066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查阅项目区位图、场地地形图、勘察报告、环评报告、相关检测报告或论证报告；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评价查阅项目区位图、场地地形图、勘察报告、环评报告、相关检测报告或论证报告。</w:t>
      </w:r>
    </w:p>
    <w:p w14:paraId="6EE2221C" w14:textId="60C87405" w:rsidR="00401456" w:rsidRPr="00EC2288" w:rsidRDefault="00401456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建筑结构应满足承载力和建筑使用功能要求。建筑外墙、屋面、门窗、幕墙及外保温等围护结构应满足安全、耐久和防护的要求。</w:t>
      </w:r>
    </w:p>
    <w:p w14:paraId="0517C4C7" w14:textId="2F3ABFE2" w:rsidR="009C433D" w:rsidRPr="00EC2288" w:rsidRDefault="009C433D" w:rsidP="00B716B1">
      <w:pPr>
        <w:spacing w:line="560" w:lineRule="exact"/>
        <w:ind w:firstLineChars="200" w:firstLine="42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微软雅黑" w:hAnsi="Times New Roman" w:cs="Times New Roman"/>
          <w:color w:val="000000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含设计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说明、计算书等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(</w:t>
      </w:r>
      <w:proofErr w:type="gramStart"/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含设计</w:t>
      </w:r>
      <w:proofErr w:type="gramEnd"/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说明、计算书等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。</w:t>
      </w:r>
    </w:p>
    <w:p w14:paraId="35DE635D" w14:textId="2F24F1CD" w:rsidR="00401456" w:rsidRPr="00EC2288" w:rsidRDefault="00401456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外遮阳、太阳能设施、空调室外机位、外墙花池等外部设施应与建筑主体结构统一设计、施工，并应具备安装、检修与维护条件。</w:t>
      </w:r>
    </w:p>
    <w:p w14:paraId="375D2276" w14:textId="69CFCDD0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含设计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说明、计算书等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(</w:t>
      </w:r>
      <w:proofErr w:type="gramStart"/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含设计</w:t>
      </w:r>
      <w:proofErr w:type="gramEnd"/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说明、计算书等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、检修和维护条件。</w:t>
      </w:r>
    </w:p>
    <w:p w14:paraId="69BB89D7" w14:textId="4F77DA53" w:rsidR="00401456" w:rsidRPr="00EC2288" w:rsidRDefault="00401456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lastRenderedPageBreak/>
        <w:t>4.1.4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建筑内部的非结构构件、设备及附属设施等应连接牢固并能适应主体结构变形。</w:t>
      </w:r>
    </w:p>
    <w:p w14:paraId="43FF7912" w14:textId="02C5633F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含各连接件、配件、预埋件的力学性能及检测检验报告，计算书，施工图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、产品设计要求等；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评价查阅相关竣工图、材料决算清单、产品说明书、力学及耐久性能测试或试验报告。</w:t>
      </w:r>
    </w:p>
    <w:p w14:paraId="7E42732A" w14:textId="43F71685" w:rsidR="00401456" w:rsidRPr="00EC2288" w:rsidRDefault="00401456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4.1.5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建筑外门窗必须安装牢固，其抗风压性能和水密性能应符合国家现行有关标准的规定。</w:t>
      </w:r>
    </w:p>
    <w:p w14:paraId="7927C34E" w14:textId="564C8580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查阅相关设计文件、门窗产品三性检测报告；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评价查阅相关竣工图、门窗产品三性检测报告和外窗现场三性检测报告、施工</w:t>
      </w:r>
      <w:proofErr w:type="gramStart"/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工</w:t>
      </w:r>
      <w:proofErr w:type="gramEnd"/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法说明文件。</w:t>
      </w:r>
    </w:p>
    <w:p w14:paraId="60808971" w14:textId="0DF3D35F" w:rsidR="00401456" w:rsidRPr="00EC2288" w:rsidRDefault="00401456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卫生间、浴室的地面应设置防水层，墙面、顶棚应设置防潮层。</w:t>
      </w:r>
    </w:p>
    <w:p w14:paraId="5E0090FE" w14:textId="4D2E9950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查阅相关设计文件、防水和防潮措施说明；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评价查阅相关竣工图、防水和防潮措施说明。</w:t>
      </w:r>
    </w:p>
    <w:p w14:paraId="7E6BE6B5" w14:textId="0A3888C0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4.1.7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走廊、疏散通道等通行空间应满足紧急疏散、应急救护等要求，且应保持畅通。</w:t>
      </w:r>
    </w:p>
    <w:p w14:paraId="35E2ED97" w14:textId="1128017B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评价查阅相关竣工图、相关管理规定。</w:t>
      </w:r>
    </w:p>
    <w:p w14:paraId="0D2A38EC" w14:textId="1CC9A83B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4.1.8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应具有安全防护的警示和引导标识系统。</w:t>
      </w:r>
    </w:p>
    <w:p w14:paraId="7F47A410" w14:textId="1AB1EB30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查阅标识系统设计与设置说明文件；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评价查阅标识系统设计与设置说明文件、相关影像材料等。</w:t>
      </w:r>
    </w:p>
    <w:p w14:paraId="661C7FE2" w14:textId="311E0A42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（</w:t>
      </w: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二</w:t>
      </w: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）</w:t>
      </w: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健康舒适</w:t>
      </w:r>
    </w:p>
    <w:p w14:paraId="045FB12B" w14:textId="716E7B1C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lastRenderedPageBreak/>
        <w:t>5.1.1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室内空气中的氨、甲醛、苯、总挥发性有机物、氡等污染物浓度应符合现行国家标准《室内空气质量标准》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GB/T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18883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的有关规定。建筑室内和建筑主出入口处应禁止吸烟，并应在醒目位置设置禁烟标志。</w:t>
      </w:r>
    </w:p>
    <w:p w14:paraId="3675C2F4" w14:textId="0EED9F71" w:rsidR="00B716B1" w:rsidRPr="00EC2288" w:rsidRDefault="00B716B1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查阅相关设计文件、相关说明文件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装修材料种类、用量，禁止吸烟措施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、预评估分析报告；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评价查阅相关竣工图、相关说明文件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装修材料种类、用量，禁止吸烟措施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、预评估分析报告，投入使用的项目尚应查阅室内空气质量检测报告、禁烟标志。</w:t>
      </w:r>
    </w:p>
    <w:p w14:paraId="5E074343" w14:textId="354BAF8F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应采取措施避免厨房、餐厅、打印复印室、卫生间、地下车库等区域的空气和污染物串通到其他空间；应防止厨房、卫生间的排气倒灌。</w:t>
      </w:r>
    </w:p>
    <w:p w14:paraId="339AD47F" w14:textId="085B344D" w:rsidR="00B716B1" w:rsidRPr="00EC2288" w:rsidRDefault="007206C6" w:rsidP="007206C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查阅相关设计文件、气流组织模拟分析报告；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评价查阅相关竣工图、气流组织模拟分析报告、相关产品性能检测报告或质量合格证书。</w:t>
      </w:r>
    </w:p>
    <w:p w14:paraId="51DD1D88" w14:textId="3DAA2D68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给水排水系统的设置应符合下列规定：</w:t>
      </w:r>
    </w:p>
    <w:p w14:paraId="2AC2BD47" w14:textId="2283EC6F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生活饮用水水质应满足现行国家标准《生活饮用水卫生标准》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5749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的要求；</w:t>
      </w:r>
    </w:p>
    <w:p w14:paraId="0BE42297" w14:textId="0366579F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应制定水池、水箱等储水设施定期清洗消毒计划并实施，且生活饮用水储水设施每半年清洗消毒不应少于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次；</w:t>
      </w:r>
    </w:p>
    <w:p w14:paraId="4A0FAD82" w14:textId="203126BE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应使用构造内自带水封的便器，且其水封深度不应小于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50mm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；</w:t>
      </w:r>
    </w:p>
    <w:p w14:paraId="568025F9" w14:textId="1ABB8069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非传统水源管道和设备应设置明确、清晰的永久性标识。</w:t>
      </w:r>
    </w:p>
    <w:p w14:paraId="17BBB7A9" w14:textId="77777777" w:rsidR="007206C6" w:rsidRPr="00EC2288" w:rsidRDefault="007206C6" w:rsidP="007206C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lastRenderedPageBreak/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查阅市政供水的水质检测报告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可用同一水源邻近项目一年以内的水质检测报告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含卫生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器具和地漏水封要求的说明、标识设置说明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评价查阅相关竣工图、产品说明、各用水部门水质检测报告、管理制度、工作记录。</w:t>
      </w:r>
    </w:p>
    <w:p w14:paraId="22479F4A" w14:textId="20FF549D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主要功能房间的室内噪声级和隔声性能应符合下列规定：</w:t>
      </w:r>
    </w:p>
    <w:p w14:paraId="30B6AF4D" w14:textId="3C3CBA7C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室内噪声级应满足现行国家标准《民用建筑隔声设计规范》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50118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中的低限要求；</w:t>
      </w:r>
    </w:p>
    <w:p w14:paraId="6B6FF982" w14:textId="7C1D0234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外墙、隔墙、楼板和门窗的隔声性能应满足现行国家标准《民用建筑隔声设计规范》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50118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中的低限要求。</w:t>
      </w:r>
    </w:p>
    <w:p w14:paraId="7FEA8829" w14:textId="3849254B" w:rsidR="007206C6" w:rsidRPr="00EC2288" w:rsidRDefault="007206C6" w:rsidP="007206C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查阅相关设计文件、环评报告、噪声分析报告、构件隔声性能的实验室检验报告；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评价查阅相关竣工图、噪声分析报告、室内噪声级检测报告、构件隔声性能的实验室检验报告。</w:t>
      </w:r>
    </w:p>
    <w:p w14:paraId="4D8F04B6" w14:textId="60D39C22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5.1.5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建筑照明应符合下列规定：</w:t>
      </w:r>
    </w:p>
    <w:p w14:paraId="7C740F52" w14:textId="77777777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照明数量和质量应符合现行国家标准《建筑照明设计标准》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50034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的规定；</w:t>
      </w:r>
    </w:p>
    <w:p w14:paraId="66F5B4A5" w14:textId="0B7CAF82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人员长期停留的场所应采用符合现行国家标准《灯和灯系统的光生物安全性》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GB/T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20145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规定的无危险类照明产品；</w:t>
      </w:r>
    </w:p>
    <w:p w14:paraId="7B200C62" w14:textId="3FD3F703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选用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LED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照明产品的光输出波形的波动深度应满足现行国家标准《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LED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室内照明应用技术要求》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GB/T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31831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的规定。</w:t>
      </w:r>
    </w:p>
    <w:p w14:paraId="41B7F3C6" w14:textId="414EE1D1" w:rsidR="007206C6" w:rsidRPr="00EC2288" w:rsidRDefault="007206C6" w:rsidP="007206C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lastRenderedPageBreak/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查阅相关设计文件、计算书；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评价查阅相关竣工图、计算书、现场检测报告、产品说明书及产品型式检验报告。</w:t>
      </w:r>
    </w:p>
    <w:p w14:paraId="717338F7" w14:textId="76C1CB74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应采取措施保障室内热环境。采用集中供暖空调系统的建筑，房间内的温度、湿度、新风量等设计参数应符合现行国家标准《民用建筑供暖通风与空气调节设计规范》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50736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的有关规定；采用非集中供暖空调系统的建筑，应具有保障室内热环境的措施或预留条件。</w:t>
      </w:r>
    </w:p>
    <w:p w14:paraId="03A70E04" w14:textId="53388B9E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评价查阅相关竣工图、室内温湿度检测报告。</w:t>
      </w:r>
    </w:p>
    <w:p w14:paraId="5DB4D1AC" w14:textId="2A901A1C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5.1.7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围护结构热工性能应符合下列规定：</w:t>
      </w:r>
    </w:p>
    <w:p w14:paraId="7CDC97F6" w14:textId="020B7046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在室内设计温度、湿度条件下，</w:t>
      </w:r>
      <w:proofErr w:type="gramStart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建筑非</w:t>
      </w:r>
      <w:proofErr w:type="gramEnd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透光围护结构内表面不得结露；</w:t>
      </w:r>
    </w:p>
    <w:p w14:paraId="35BEA876" w14:textId="0E52268D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供暖建筑的屋面、外墙内部不应产生冷凝；</w:t>
      </w:r>
    </w:p>
    <w:p w14:paraId="6E518683" w14:textId="023CAEB2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屋顶和外墙隔热性能应满足现行国家标准《民用建筑热工设计规范》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50176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的要求。</w:t>
      </w:r>
    </w:p>
    <w:p w14:paraId="6D068A60" w14:textId="73D4C9B5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查阅相关设计文件、建筑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围护结构防结露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验算报告、隔热性能验算报告、内部冷凝验算报告；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评价查阅相关竣工图，检查建筑构造与计算报告一致性。</w:t>
      </w:r>
    </w:p>
    <w:p w14:paraId="66282E5A" w14:textId="0CB8E358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5.1.8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主要功能房间应具有现场独立控制的热环境调节装置。</w:t>
      </w:r>
    </w:p>
    <w:p w14:paraId="2BF65952" w14:textId="136FF51E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评价查阅相关竣工图、产品说明书。</w:t>
      </w:r>
    </w:p>
    <w:p w14:paraId="7265BC37" w14:textId="39FC1778" w:rsidR="00177AEB" w:rsidRPr="00EC2288" w:rsidRDefault="00177AEB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lastRenderedPageBreak/>
        <w:t>5.1.9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地下车库应设置与排风设备联动的一氧化碳浓度监测装置。</w:t>
      </w:r>
    </w:p>
    <w:p w14:paraId="171D378E" w14:textId="772566FC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评价查阅相关竣工图、运行记录。</w:t>
      </w:r>
    </w:p>
    <w:p w14:paraId="70E23F9A" w14:textId="0D899810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（三）生活便利</w:t>
      </w:r>
    </w:p>
    <w:p w14:paraId="156BDBAE" w14:textId="72DFC163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6.1.1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建筑、室外场地、公共绿地、城市道路相互之间应设置连贯的无障碍步行系统。</w:t>
      </w:r>
    </w:p>
    <w:p w14:paraId="0D0AD547" w14:textId="6A2ABEEC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65D75DA1" w14:textId="56BDF738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6.1.2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场地人行出入口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500m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内应设有公共交通站点或配备联系公共交通站点的专用接驳车。</w:t>
      </w:r>
    </w:p>
    <w:p w14:paraId="50C1F92F" w14:textId="743F1F42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查阅相关设计文件、交通站点标识图；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458BC7C9" w14:textId="323EEC4C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6.1.3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停车场应具有电动汽车充电设施或具备充电设施的安装条件，并应合理设置电动汽车和无障碍汽车停车位。</w:t>
      </w:r>
    </w:p>
    <w:p w14:paraId="32FC00B8" w14:textId="6006A661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1E7C388C" w14:textId="5A60B012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6.1.4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自行车停车场所应位置合理、方便出入。</w:t>
      </w:r>
    </w:p>
    <w:p w14:paraId="4A4F8C7D" w14:textId="3D818AD5" w:rsidR="0084740A" w:rsidRPr="00EC2288" w:rsidRDefault="0084740A" w:rsidP="00B716B1">
      <w:pPr>
        <w:spacing w:line="560" w:lineRule="exact"/>
        <w:ind w:firstLineChars="200" w:firstLine="42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微软雅黑" w:hAnsi="Times New Roman" w:cs="Times New Roman"/>
          <w:color w:val="000000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1E921420" w14:textId="2055BDD6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6.1.5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建筑设备管理系统应具有自动监控管理功能。</w:t>
      </w:r>
    </w:p>
    <w:p w14:paraId="14608320" w14:textId="29F4D56B" w:rsidR="0084740A" w:rsidRPr="00EC2288" w:rsidRDefault="0084740A" w:rsidP="00B716B1">
      <w:pPr>
        <w:spacing w:line="560" w:lineRule="exact"/>
        <w:ind w:firstLineChars="200" w:firstLine="42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微软雅黑" w:hAnsi="Times New Roman" w:cs="Times New Roman"/>
          <w:color w:val="000000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智能化设计图纸、装修图纸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651ACB1E" w14:textId="2BE298F7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6.1.6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建筑应设置信息网络系统。</w:t>
      </w:r>
    </w:p>
    <w:p w14:paraId="2F12F7F9" w14:textId="73F92FE7" w:rsidR="0084740A" w:rsidRPr="00EC2288" w:rsidRDefault="0084740A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lastRenderedPageBreak/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智能化、装修专业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729B59AD" w14:textId="7BCF17DD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（四）资源节约</w:t>
      </w:r>
    </w:p>
    <w:p w14:paraId="23E893FC" w14:textId="3D764F56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应结合场地自然条件和建筑功能需求，对建筑的体形、平面布局、空间尺度、围护结构等进行节能设计，且应符合国家有关节能设计的要求。</w:t>
      </w:r>
    </w:p>
    <w:p w14:paraId="7ECE66B6" w14:textId="7EBA6D63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总图、建筑鸟瞰图、单体效果图、人群视点透视图、平立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剖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图纸、设计说明等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、节能计算书、建筑日照模拟计算报告、优化设计报告；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评价查阅相关竣工图、节能计算书、建筑日照模拟计算报告、优化设计报告。</w:t>
      </w:r>
    </w:p>
    <w:p w14:paraId="6C4479FE" w14:textId="77777777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应采取措施降低部分负荷、部分空间使用下的供暖、空调系统能耗，并应符合下列规定：</w:t>
      </w:r>
    </w:p>
    <w:p w14:paraId="0DC1F742" w14:textId="1A090434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应区分房间的朝向细分供暖、空调区域，并应对系统进行分区控制；</w:t>
      </w:r>
    </w:p>
    <w:p w14:paraId="65376602" w14:textId="20D0BCA4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空调冷源的部分负荷性能系数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(IPLV)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、电冷源综合制冷性能系数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(SCOP)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应符合现行国家标准《公共建筑节能设计标准》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50189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的规定。</w:t>
      </w:r>
    </w:p>
    <w:p w14:paraId="02E198AD" w14:textId="5D2B895D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暖通专业施工图纸及设计说明，要求有控制策略、部分负荷性能系数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(IPLV)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计算说明、电冷源综合制冷性能系数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(SCOP)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计算说明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评价查阅相关竣工图、冷源机组设备说明。</w:t>
      </w:r>
    </w:p>
    <w:p w14:paraId="27E140D8" w14:textId="403A18A2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应根据建筑空间功能设置分区温度，合理降低室内过渡区空间的温度设定标准。</w:t>
      </w:r>
    </w:p>
    <w:p w14:paraId="0FCFCF67" w14:textId="1FC99034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lastRenderedPageBreak/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评价查阅相关竣工图、计算书。</w:t>
      </w:r>
    </w:p>
    <w:p w14:paraId="0781553F" w14:textId="1B3A1C73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主要功能房间的照明功率密度值不应高于现行国家标准《建筑照明设计标准》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GB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50034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规定的现行值；公共区域的照明系统应采用分区、定时、感应等节能控制；采光区域的照明控制应独立于其他区域的照明控制。</w:t>
      </w:r>
    </w:p>
    <w:p w14:paraId="1F622E23" w14:textId="2053B15D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包含电气照明系统图、电气照明平面施工图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、设计说明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需包含照明设计要求、照明设计标准、照明控制措施等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、建筑照明功率密度计算分析报告；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评价查阅相关竣工图、设计说明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需包含照明设计要求、照明设计标准、照明控制措施等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、建筑照明功率密度检测报告。</w:t>
      </w:r>
    </w:p>
    <w:p w14:paraId="07AFFCE6" w14:textId="03866226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7.1.5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冷热源、输配系统和照明等各部分能耗应进行独立分项计量。</w:t>
      </w:r>
    </w:p>
    <w:p w14:paraId="556FEBF3" w14:textId="60617A0A" w:rsidR="0084740A" w:rsidRPr="00EC2288" w:rsidRDefault="0084740A" w:rsidP="0084740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评价查阅相关竣工图、分项计量记录。</w:t>
      </w:r>
    </w:p>
    <w:p w14:paraId="3D3D9E2B" w14:textId="7F7B1630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垂直电梯应采取群控、变频调速或能量反馈等节能措施；自动扶梯应采用变频感应启动等节能控制措施。</w:t>
      </w:r>
    </w:p>
    <w:p w14:paraId="300F399B" w14:textId="100788A3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查阅相关设计文件、电梯与自动扶梯人流平衡计算分析报告；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评价查阅相关竣工图、相关产品型式检验报告。</w:t>
      </w:r>
    </w:p>
    <w:p w14:paraId="7FE99D27" w14:textId="6E3FD4EB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7.1.7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应制定水资源利用方案，统筹利用各种水资源，并应符合下列规定：</w:t>
      </w:r>
    </w:p>
    <w:p w14:paraId="403ED096" w14:textId="4F2953AB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应按使用用途、付费或管理单元，分别设置用水计量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lastRenderedPageBreak/>
        <w:t>装置；</w:t>
      </w:r>
    </w:p>
    <w:p w14:paraId="44D4E83A" w14:textId="2F505840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用水点处水压大于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0.2MPa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的配水支管应设置减压设施，并应满足给水配件最低工作压力的要求；</w:t>
      </w:r>
    </w:p>
    <w:p w14:paraId="36DDDBD4" w14:textId="1076AC6D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用水器具和设备应满足节水产品的要求。</w:t>
      </w:r>
    </w:p>
    <w:p w14:paraId="33C18680" w14:textId="778ACA80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含水表分级设置示意图、各层用水点用水压力计算图表、用水器具节水性能要求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、水资源利用方案及其在设计中的落实说明；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评价查阅相关竣工图、水资源利用方案及其在设计中的落实说明、用水器具产品说明书或产品节水性能检测报告。</w:t>
      </w:r>
    </w:p>
    <w:p w14:paraId="22C196C6" w14:textId="08F77C58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7.1.8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不应采用建筑形体和布置严重不规则的建筑结构。</w:t>
      </w:r>
    </w:p>
    <w:p w14:paraId="1969E302" w14:textId="6F5ADE98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建筑图、结构施工图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、建筑形体规则性判定报告；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评价查阅相关竣工图、建筑形体规则性判定报告。</w:t>
      </w:r>
    </w:p>
    <w:p w14:paraId="77C1EF3C" w14:textId="062BE132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7.1.9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建筑造型要素应简约，应无大量装饰性构件，并应符合下列规定：</w:t>
      </w:r>
    </w:p>
    <w:p w14:paraId="6603D1AC" w14:textId="4277C09F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住宅建筑的装饰性构件造价占建筑总造价的比例不应大于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％；</w:t>
      </w:r>
    </w:p>
    <w:p w14:paraId="3B8F9D82" w14:textId="16B266B7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公共建筑的装饰性构件造价占建筑总造价的比例不应大于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％。</w:t>
      </w:r>
    </w:p>
    <w:p w14:paraId="551B4329" w14:textId="6A2DB6BD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查阅相关设计文件，有装饰性构件的应提供其功能说明书和造价计算书；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评价查阅相关竣工图和造价计算书。</w:t>
      </w:r>
    </w:p>
    <w:p w14:paraId="0F9A5EE5" w14:textId="4A51A54E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7.1.10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选用的建筑材料应符合下列规定：</w:t>
      </w:r>
    </w:p>
    <w:p w14:paraId="3037226D" w14:textId="3F333333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="009C433D"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500km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以内生产的建筑材料重量占建筑材料总重量的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lastRenderedPageBreak/>
        <w:t>比例应大于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60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％；</w:t>
      </w:r>
    </w:p>
    <w:p w14:paraId="4E308205" w14:textId="31367C53" w:rsidR="00D43A4C" w:rsidRPr="00EC2288" w:rsidRDefault="00D43A4C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现浇混凝土应采用预拌混凝土，建筑砂浆应采用预拌砂浆。</w:t>
      </w:r>
    </w:p>
    <w:p w14:paraId="124C45CF" w14:textId="4082B5DA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查阅结构施工图及设计说明、工程材料预算清单；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评价查阅结构竣工图及设计说明、购销合同及用量清单等有关证明文件。</w:t>
      </w:r>
    </w:p>
    <w:p w14:paraId="52D36EB2" w14:textId="3DF1CCF9" w:rsidR="00D43A4C" w:rsidRPr="00EC2288" w:rsidRDefault="009C433D" w:rsidP="00B716B1">
      <w:pPr>
        <w:spacing w:line="560" w:lineRule="exact"/>
        <w:ind w:firstLineChars="200" w:firstLine="640"/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楷体_GB2312" w:hAnsi="Times New Roman" w:cs="Times New Roman"/>
          <w:color w:val="000000"/>
          <w:sz w:val="32"/>
          <w:szCs w:val="32"/>
          <w:shd w:val="clear" w:color="auto" w:fill="FFFFFF"/>
        </w:rPr>
        <w:t>（五）环境宜居</w:t>
      </w:r>
    </w:p>
    <w:p w14:paraId="6FD06C63" w14:textId="618577F2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8.1.1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建筑规划布局应满足日照标准，且不得降低周边建筑的日照标准。</w:t>
      </w:r>
    </w:p>
    <w:p w14:paraId="58577753" w14:textId="77F99CDD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查阅相关设计文件、日照分析报告；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评价查阅相关竣工图、日照分析报告。</w:t>
      </w:r>
    </w:p>
    <w:p w14:paraId="29DAF8EB" w14:textId="3EE3097F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室外热环境应满足国家现行有关标准的要求。</w:t>
      </w:r>
    </w:p>
    <w:p w14:paraId="26F026AE" w14:textId="05DE4A86" w:rsidR="005B3E58" w:rsidRPr="00EC2288" w:rsidRDefault="005B3E58" w:rsidP="00B716B1">
      <w:pPr>
        <w:spacing w:line="560" w:lineRule="exact"/>
        <w:ind w:firstLineChars="200" w:firstLine="42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微软雅黑" w:hAnsi="Times New Roman" w:cs="Times New Roman"/>
          <w:color w:val="000000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查阅相关设计文件、场地热环境计算报告；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评价查阅相关竣工图、场地热环境计算报告。</w:t>
      </w:r>
    </w:p>
    <w:p w14:paraId="508C1906" w14:textId="5366434F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8.1.3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配建的绿地应符合所在地城乡规划的要求，应合理选择绿化方式，植物种植应适应当地气候和土壤，且应无毒害、易维护，种植区域覆土深度和排水能力应满足植物生长需求，并应采用复层绿化方式。</w:t>
      </w:r>
    </w:p>
    <w:p w14:paraId="153116E7" w14:textId="32D6DAF7" w:rsidR="005B3E58" w:rsidRPr="00EC2288" w:rsidRDefault="005B3E58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苗木表、屋顶绿化、覆土绿化和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/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或垂直绿化的区域及面积、种植区域的覆土深度、排水设计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评价查阅相关竣工图、苗木采购清单。</w:t>
      </w:r>
    </w:p>
    <w:p w14:paraId="4E5947BB" w14:textId="20AD147D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8.1.4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场地的竖向设计应有利于雨水的收集或排放，应有</w:t>
      </w:r>
      <w:proofErr w:type="gramStart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效</w:t>
      </w:r>
      <w:proofErr w:type="gramEnd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组织雨水的下渗、</w:t>
      </w:r>
      <w:proofErr w:type="gramStart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滞蓄或</w:t>
      </w:r>
      <w:proofErr w:type="gramEnd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再利用；对大于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10hm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  <w:vertAlign w:val="superscript"/>
        </w:rPr>
        <w:t>2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的场地应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lastRenderedPageBreak/>
        <w:t>进行雨水控制利用专项设计。</w:t>
      </w:r>
    </w:p>
    <w:p w14:paraId="2AF7B1FD" w14:textId="1EDAA352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场地竖向设计文件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、年径流总量控制率计算书、设计控制雨量计算书、场地雨水综合利用方案或专项设计文件；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评价查阅相关竣工图、年径流总量控制率计算书、设计控制雨量计算书、场地雨水综合利用方案或专项设计文件。</w:t>
      </w:r>
    </w:p>
    <w:p w14:paraId="5221A66D" w14:textId="1AE4A324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8.1.5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建筑内外均应设置便于识别和使用的标识系统。</w:t>
      </w:r>
    </w:p>
    <w:p w14:paraId="505363C9" w14:textId="55DAE74B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(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标识系统设计文件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)</w:t>
      </w:r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评价查阅相关竣工图。</w:t>
      </w:r>
    </w:p>
    <w:p w14:paraId="6FFA871A" w14:textId="0C06221B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8.1.6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场地内不应有排放超标的污染源。</w:t>
      </w:r>
    </w:p>
    <w:p w14:paraId="625715C3" w14:textId="59820802" w:rsidR="005B3E58" w:rsidRPr="00EC2288" w:rsidRDefault="005B3E58" w:rsidP="005B3E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 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查阅环评报告、治理措施分析报告；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评价查阅环评报告、治理措施分析报告。</w:t>
      </w:r>
    </w:p>
    <w:p w14:paraId="791DD2AC" w14:textId="1849DD7D" w:rsidR="009C433D" w:rsidRPr="00EC2288" w:rsidRDefault="009C433D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8.1.7</w:t>
      </w:r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生活垃圾应分类收集，垃圾容器和收集点的设置</w:t>
      </w:r>
      <w:proofErr w:type="gramStart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应合理并应</w:t>
      </w:r>
      <w:proofErr w:type="gramEnd"/>
      <w:r w:rsidRPr="00EC2288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与周围景观协调。</w:t>
      </w:r>
    </w:p>
    <w:p w14:paraId="005141CE" w14:textId="7E596E28" w:rsidR="009C433D" w:rsidRPr="00EC2288" w:rsidRDefault="005B3E58" w:rsidP="00B716B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</w:pP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本条的评价方法为：</w:t>
      </w:r>
      <w:proofErr w:type="gramStart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预评价</w:t>
      </w:r>
      <w:proofErr w:type="gramEnd"/>
      <w:r w:rsidRPr="00EC2288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查阅相关设计文件、垃圾收集设施布置图；</w:t>
      </w:r>
      <w:r w:rsidRPr="00EC2288">
        <w:rPr>
          <w:rFonts w:ascii="Times New Roman" w:eastAsia="仿宋_GB2312" w:hAnsi="Times New Roman" w:cs="Times New Roman"/>
          <w:color w:val="FF0000"/>
          <w:sz w:val="32"/>
          <w:szCs w:val="32"/>
          <w:shd w:val="clear" w:color="auto" w:fill="FFFFFF"/>
        </w:rPr>
        <w:t>评价查阅相关竣工图、垃圾收集设施布置图，投入使用的项目尚应查阅相关管理制度。</w:t>
      </w:r>
    </w:p>
    <w:sectPr w:rsidR="009C433D" w:rsidRPr="00EC2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56298"/>
    <w:multiLevelType w:val="hybridMultilevel"/>
    <w:tmpl w:val="951E2FEA"/>
    <w:lvl w:ilvl="0" w:tplc="48B2524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35273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F60"/>
    <w:rsid w:val="00177AEB"/>
    <w:rsid w:val="00401456"/>
    <w:rsid w:val="005B3E58"/>
    <w:rsid w:val="007206C6"/>
    <w:rsid w:val="0084740A"/>
    <w:rsid w:val="009C433D"/>
    <w:rsid w:val="00A51F60"/>
    <w:rsid w:val="00B27FC4"/>
    <w:rsid w:val="00B716B1"/>
    <w:rsid w:val="00D43A4C"/>
    <w:rsid w:val="00EC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97063"/>
  <w15:chartTrackingRefBased/>
  <w15:docId w15:val="{3D78FC0C-23BA-4C9A-A527-DCBCB70C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A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456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177A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s2">
    <w:name w:val="ss2"/>
    <w:basedOn w:val="a0"/>
    <w:rsid w:val="009C4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2321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812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建龙</dc:creator>
  <cp:keywords/>
  <dc:description/>
  <cp:lastModifiedBy>王 建龙</cp:lastModifiedBy>
  <cp:revision>3</cp:revision>
  <dcterms:created xsi:type="dcterms:W3CDTF">2022-04-25T05:47:00Z</dcterms:created>
  <dcterms:modified xsi:type="dcterms:W3CDTF">2022-04-25T06:46:00Z</dcterms:modified>
</cp:coreProperties>
</file>