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56" w:after="156"/>
        <w:ind w:firstLine="1044"/>
        <w:jc w:val="center"/>
        <w:rPr>
          <w:rFonts w:hint="eastAsia"/>
          <w:b/>
          <w:bCs/>
          <w:color w:val="auto"/>
          <w:sz w:val="52"/>
          <w:szCs w:val="52"/>
          <w:highlight w:val="none"/>
        </w:rPr>
      </w:pPr>
      <w:bookmarkStart w:id="0" w:name="_Toc31309"/>
      <w:bookmarkStart w:id="1" w:name="_Toc1733381"/>
    </w:p>
    <w:p>
      <w:pPr>
        <w:autoSpaceDE/>
        <w:autoSpaceDN/>
        <w:adjustRightInd/>
        <w:snapToGrid w:val="0"/>
        <w:spacing w:before="156" w:after="156" w:line="360" w:lineRule="auto"/>
        <w:ind w:firstLine="0" w:firstLineChars="0"/>
        <w:jc w:val="center"/>
        <w:rPr>
          <w:rFonts w:hint="eastAsia" w:ascii="Times New Roman"/>
          <w:b/>
          <w:bCs/>
          <w:color w:val="auto"/>
          <w:kern w:val="2"/>
          <w:sz w:val="52"/>
          <w:szCs w:val="52"/>
          <w:highlight w:val="none"/>
        </w:rPr>
      </w:pPr>
      <w:r>
        <w:rPr>
          <w:rFonts w:hint="eastAsia" w:ascii="Times New Roman"/>
          <w:b/>
          <w:bCs/>
          <w:color w:val="auto"/>
          <w:kern w:val="2"/>
          <w:sz w:val="52"/>
          <w:szCs w:val="52"/>
          <w:highlight w:val="none"/>
          <w:lang w:val="en-US" w:eastAsia="zh-CN"/>
        </w:rPr>
        <w:t>广东省广州市</w:t>
      </w:r>
      <w:r>
        <w:rPr>
          <w:rFonts w:hint="eastAsia" w:ascii="Times New Roman"/>
          <w:b/>
          <w:bCs/>
          <w:color w:val="auto"/>
          <w:kern w:val="2"/>
          <w:sz w:val="52"/>
          <w:szCs w:val="52"/>
          <w:highlight w:val="none"/>
        </w:rPr>
        <w:t>广场</w:t>
      </w:r>
    </w:p>
    <w:p>
      <w:pPr>
        <w:autoSpaceDE/>
        <w:autoSpaceDN/>
        <w:adjustRightInd/>
        <w:snapToGrid w:val="0"/>
        <w:spacing w:before="156" w:after="156" w:line="360" w:lineRule="auto"/>
        <w:ind w:firstLine="0" w:firstLineChars="0"/>
        <w:jc w:val="center"/>
        <w:rPr>
          <w:rFonts w:ascii="Times New Roman"/>
          <w:b/>
          <w:bCs/>
          <w:color w:val="auto"/>
          <w:kern w:val="2"/>
          <w:sz w:val="52"/>
          <w:szCs w:val="52"/>
          <w:highlight w:val="none"/>
        </w:rPr>
      </w:pPr>
      <w:r>
        <w:rPr>
          <w:rFonts w:hint="eastAsia" w:ascii="Times New Roman"/>
          <w:b/>
          <w:bCs/>
          <w:color w:val="auto"/>
          <w:kern w:val="2"/>
          <w:sz w:val="52"/>
          <w:szCs w:val="52"/>
          <w:highlight w:val="none"/>
        </w:rPr>
        <w:t>海绵城市设计专篇说明</w:t>
      </w:r>
    </w:p>
    <w:p>
      <w:pPr>
        <w:autoSpaceDE/>
        <w:autoSpaceDN/>
        <w:adjustRightInd/>
        <w:snapToGrid w:val="0"/>
        <w:spacing w:before="156" w:after="156" w:line="360" w:lineRule="auto"/>
        <w:ind w:firstLine="0" w:firstLineChars="0"/>
        <w:jc w:val="center"/>
        <w:rPr>
          <w:rFonts w:ascii="Times New Roman"/>
          <w:b/>
          <w:bCs/>
          <w:color w:val="auto"/>
          <w:kern w:val="2"/>
          <w:sz w:val="52"/>
          <w:szCs w:val="52"/>
          <w:highlight w:val="none"/>
        </w:rPr>
      </w:pPr>
    </w:p>
    <w:p>
      <w:pPr>
        <w:autoSpaceDE/>
        <w:autoSpaceDN/>
        <w:adjustRightInd/>
        <w:snapToGrid w:val="0"/>
        <w:spacing w:before="156" w:after="156" w:line="360" w:lineRule="auto"/>
        <w:ind w:firstLine="0" w:firstLineChars="0"/>
        <w:jc w:val="center"/>
        <w:rPr>
          <w:rFonts w:ascii="Times New Roman"/>
          <w:b/>
          <w:bCs/>
          <w:color w:val="auto"/>
          <w:kern w:val="2"/>
          <w:sz w:val="52"/>
          <w:szCs w:val="52"/>
          <w:highlight w:val="none"/>
        </w:rPr>
      </w:pPr>
    </w:p>
    <w:p>
      <w:pPr>
        <w:autoSpaceDE/>
        <w:autoSpaceDN/>
        <w:adjustRightInd/>
        <w:snapToGrid w:val="0"/>
        <w:spacing w:before="156" w:after="156" w:line="360" w:lineRule="auto"/>
        <w:ind w:firstLine="0" w:firstLineChars="0"/>
        <w:jc w:val="center"/>
        <w:rPr>
          <w:rFonts w:ascii="Times New Roman"/>
          <w:b/>
          <w:bCs/>
          <w:color w:val="auto"/>
          <w:kern w:val="2"/>
          <w:sz w:val="52"/>
          <w:szCs w:val="52"/>
          <w:highlight w:val="none"/>
        </w:rPr>
      </w:pPr>
    </w:p>
    <w:tbl>
      <w:tblPr>
        <w:tblStyle w:val="42"/>
        <w:tblW w:w="8256" w:type="dxa"/>
        <w:jc w:val="center"/>
        <w:tblLayout w:type="fixed"/>
        <w:tblCellMar>
          <w:top w:w="0" w:type="dxa"/>
          <w:left w:w="108" w:type="dxa"/>
          <w:bottom w:w="0" w:type="dxa"/>
          <w:right w:w="108" w:type="dxa"/>
        </w:tblCellMar>
      </w:tblPr>
      <w:tblGrid>
        <w:gridCol w:w="2345"/>
        <w:gridCol w:w="5911"/>
      </w:tblGrid>
      <w:tr>
        <w:tblPrEx>
          <w:tblCellMar>
            <w:top w:w="0" w:type="dxa"/>
            <w:left w:w="108" w:type="dxa"/>
            <w:bottom w:w="0" w:type="dxa"/>
            <w:right w:w="108" w:type="dxa"/>
          </w:tblCellMar>
        </w:tblPrEx>
        <w:trPr>
          <w:trHeight w:val="567" w:hRule="atLeast"/>
          <w:jc w:val="center"/>
        </w:trPr>
        <w:tc>
          <w:tcPr>
            <w:tcW w:w="2345" w:type="dxa"/>
            <w:tcBorders>
              <w:bottom w:val="single" w:color="auto" w:sz="4" w:space="0"/>
            </w:tcBorders>
            <w:vAlign w:val="center"/>
          </w:tcPr>
          <w:p>
            <w:pPr>
              <w:autoSpaceDE/>
              <w:autoSpaceDN/>
              <w:adjustRightInd/>
              <w:spacing w:before="156" w:after="156"/>
              <w:ind w:firstLine="0" w:firstLineChars="0"/>
              <w:jc w:val="both"/>
              <w:rPr>
                <w:rFonts w:hAnsi="宋体" w:cs="宋体"/>
                <w:bCs/>
                <w:color w:val="auto"/>
                <w:sz w:val="30"/>
                <w:szCs w:val="30"/>
                <w:highlight w:val="none"/>
              </w:rPr>
            </w:pPr>
            <w:r>
              <w:rPr>
                <w:rFonts w:hint="eastAsia" w:hAnsi="宋体" w:cs="宋体"/>
                <w:bCs/>
                <w:color w:val="auto"/>
                <w:sz w:val="30"/>
                <w:szCs w:val="30"/>
                <w:highlight w:val="none"/>
              </w:rPr>
              <w:t>工 程 地 点：</w:t>
            </w:r>
          </w:p>
        </w:tc>
        <w:tc>
          <w:tcPr>
            <w:tcW w:w="5911" w:type="dxa"/>
            <w:tcBorders>
              <w:bottom w:val="single" w:color="auto" w:sz="4" w:space="0"/>
            </w:tcBorders>
            <w:vAlign w:val="center"/>
          </w:tcPr>
          <w:p>
            <w:pPr>
              <w:spacing w:before="156" w:after="156"/>
              <w:ind w:firstLine="0" w:firstLineChars="0"/>
              <w:rPr>
                <w:rFonts w:hint="eastAsia" w:hAnsi="宋体" w:cs="宋体"/>
                <w:bCs/>
                <w:color w:val="auto"/>
                <w:sz w:val="30"/>
                <w:szCs w:val="30"/>
                <w:highlight w:val="none"/>
              </w:rPr>
            </w:pPr>
            <w:r>
              <w:rPr>
                <w:rFonts w:hint="eastAsia" w:hAnsi="宋体" w:cs="宋体"/>
                <w:bCs/>
                <w:color w:val="auto"/>
                <w:sz w:val="30"/>
                <w:szCs w:val="30"/>
                <w:highlight w:val="none"/>
              </w:rPr>
              <w:t>广州市黄埔区</w:t>
            </w:r>
          </w:p>
        </w:tc>
      </w:tr>
      <w:tr>
        <w:tblPrEx>
          <w:tblCellMar>
            <w:top w:w="0" w:type="dxa"/>
            <w:left w:w="108" w:type="dxa"/>
            <w:bottom w:w="0" w:type="dxa"/>
            <w:right w:w="108" w:type="dxa"/>
          </w:tblCellMar>
        </w:tblPrEx>
        <w:trPr>
          <w:trHeight w:val="567" w:hRule="atLeast"/>
          <w:jc w:val="center"/>
        </w:trPr>
        <w:tc>
          <w:tcPr>
            <w:tcW w:w="2345" w:type="dxa"/>
            <w:tcBorders>
              <w:bottom w:val="single" w:color="auto" w:sz="4" w:space="0"/>
            </w:tcBorders>
            <w:vAlign w:val="center"/>
          </w:tcPr>
          <w:p>
            <w:pPr>
              <w:autoSpaceDE/>
              <w:autoSpaceDN/>
              <w:adjustRightInd/>
              <w:spacing w:before="156" w:after="156"/>
              <w:ind w:firstLine="0" w:firstLineChars="0"/>
              <w:jc w:val="both"/>
              <w:rPr>
                <w:rFonts w:hAnsi="宋体" w:cs="宋体"/>
                <w:bCs/>
                <w:color w:val="auto"/>
                <w:sz w:val="30"/>
                <w:szCs w:val="30"/>
                <w:highlight w:val="none"/>
              </w:rPr>
            </w:pPr>
            <w:r>
              <w:rPr>
                <w:rFonts w:hint="eastAsia" w:hAnsi="宋体" w:cs="宋体"/>
                <w:bCs/>
                <w:color w:val="auto"/>
                <w:sz w:val="30"/>
                <w:szCs w:val="30"/>
                <w:highlight w:val="none"/>
              </w:rPr>
              <w:t>建 设 单 位：</w:t>
            </w:r>
          </w:p>
        </w:tc>
        <w:tc>
          <w:tcPr>
            <w:tcW w:w="5911" w:type="dxa"/>
            <w:tcBorders>
              <w:bottom w:val="single" w:color="auto" w:sz="4" w:space="0"/>
            </w:tcBorders>
            <w:vAlign w:val="center"/>
          </w:tcPr>
          <w:p>
            <w:pPr>
              <w:spacing w:before="156" w:after="156"/>
              <w:ind w:firstLine="0" w:firstLineChars="0"/>
              <w:rPr>
                <w:rFonts w:hAnsi="宋体" w:cs="宋体"/>
                <w:bCs/>
                <w:color w:val="auto"/>
                <w:sz w:val="30"/>
                <w:szCs w:val="30"/>
                <w:highlight w:val="none"/>
              </w:rPr>
            </w:pPr>
            <w:r>
              <w:rPr>
                <w:rFonts w:hint="eastAsia" w:hAnsi="宋体" w:cs="宋体"/>
                <w:bCs/>
                <w:color w:val="auto"/>
                <w:sz w:val="30"/>
                <w:szCs w:val="30"/>
                <w:highlight w:val="none"/>
              </w:rPr>
              <w:t>广州市黄埔区</w:t>
            </w:r>
          </w:p>
        </w:tc>
      </w:tr>
      <w:tr>
        <w:tblPrEx>
          <w:tblCellMar>
            <w:top w:w="0" w:type="dxa"/>
            <w:left w:w="108" w:type="dxa"/>
            <w:bottom w:w="0" w:type="dxa"/>
            <w:right w:w="108" w:type="dxa"/>
          </w:tblCellMar>
        </w:tblPrEx>
        <w:trPr>
          <w:trHeight w:val="567" w:hRule="atLeast"/>
          <w:jc w:val="center"/>
        </w:trPr>
        <w:tc>
          <w:tcPr>
            <w:tcW w:w="2345" w:type="dxa"/>
            <w:tcBorders>
              <w:top w:val="single" w:color="auto" w:sz="4" w:space="0"/>
              <w:bottom w:val="single" w:color="auto" w:sz="4" w:space="0"/>
            </w:tcBorders>
            <w:vAlign w:val="center"/>
          </w:tcPr>
          <w:p>
            <w:pPr>
              <w:autoSpaceDE/>
              <w:autoSpaceDN/>
              <w:adjustRightInd/>
              <w:spacing w:before="156" w:after="156"/>
              <w:ind w:firstLine="0" w:firstLineChars="0"/>
              <w:jc w:val="both"/>
              <w:rPr>
                <w:rFonts w:hAnsi="宋体" w:cs="宋体"/>
                <w:bCs/>
                <w:color w:val="auto"/>
                <w:kern w:val="2"/>
                <w:sz w:val="30"/>
                <w:szCs w:val="30"/>
                <w:highlight w:val="none"/>
              </w:rPr>
            </w:pPr>
            <w:r>
              <w:rPr>
                <w:rFonts w:hint="eastAsia" w:hAnsi="宋体" w:cs="宋体"/>
                <w:bCs/>
                <w:color w:val="auto"/>
                <w:sz w:val="30"/>
                <w:szCs w:val="30"/>
                <w:highlight w:val="none"/>
              </w:rPr>
              <w:t>设 计 单 位：</w:t>
            </w:r>
          </w:p>
        </w:tc>
        <w:tc>
          <w:tcPr>
            <w:tcW w:w="5911" w:type="dxa"/>
            <w:tcBorders>
              <w:top w:val="single" w:color="auto" w:sz="4" w:space="0"/>
              <w:bottom w:val="single" w:color="auto" w:sz="4" w:space="0"/>
            </w:tcBorders>
            <w:vAlign w:val="center"/>
          </w:tcPr>
          <w:p>
            <w:pPr>
              <w:autoSpaceDE/>
              <w:autoSpaceDN/>
              <w:adjustRightInd/>
              <w:spacing w:before="156" w:after="156"/>
              <w:ind w:firstLine="0" w:firstLineChars="0"/>
              <w:jc w:val="both"/>
              <w:rPr>
                <w:rFonts w:hAnsi="宋体" w:cs="宋体"/>
                <w:bCs/>
                <w:color w:val="auto"/>
                <w:kern w:val="2"/>
                <w:sz w:val="30"/>
                <w:szCs w:val="30"/>
                <w:highlight w:val="none"/>
              </w:rPr>
            </w:pPr>
            <w:bookmarkStart w:id="2" w:name="projectInfo_proxyUnit"/>
            <w:bookmarkEnd w:id="2"/>
            <w:r>
              <w:rPr>
                <w:rFonts w:hint="eastAsia" w:hAnsi="宋体" w:cs="宋体"/>
                <w:bCs/>
                <w:color w:val="auto"/>
                <w:kern w:val="2"/>
                <w:sz w:val="30"/>
                <w:szCs w:val="30"/>
                <w:highlight w:val="none"/>
              </w:rPr>
              <w:t>广东省</w:t>
            </w:r>
          </w:p>
        </w:tc>
      </w:tr>
      <w:tr>
        <w:tblPrEx>
          <w:tblCellMar>
            <w:top w:w="0" w:type="dxa"/>
            <w:left w:w="108" w:type="dxa"/>
            <w:bottom w:w="0" w:type="dxa"/>
            <w:right w:w="108" w:type="dxa"/>
          </w:tblCellMar>
        </w:tblPrEx>
        <w:trPr>
          <w:trHeight w:val="567" w:hRule="atLeast"/>
          <w:jc w:val="center"/>
        </w:trPr>
        <w:tc>
          <w:tcPr>
            <w:tcW w:w="2345" w:type="dxa"/>
            <w:tcBorders>
              <w:top w:val="single" w:color="auto" w:sz="4" w:space="0"/>
              <w:bottom w:val="single" w:color="auto" w:sz="4" w:space="0"/>
            </w:tcBorders>
            <w:vAlign w:val="center"/>
          </w:tcPr>
          <w:p>
            <w:pPr>
              <w:autoSpaceDE/>
              <w:autoSpaceDN/>
              <w:adjustRightInd/>
              <w:spacing w:before="156" w:after="156"/>
              <w:ind w:firstLine="0" w:firstLineChars="0"/>
              <w:jc w:val="both"/>
              <w:rPr>
                <w:rFonts w:hAnsi="宋体" w:cs="宋体"/>
                <w:bCs/>
                <w:color w:val="auto"/>
                <w:sz w:val="30"/>
                <w:szCs w:val="30"/>
                <w:highlight w:val="none"/>
              </w:rPr>
            </w:pPr>
            <w:r>
              <w:rPr>
                <w:rFonts w:hint="eastAsia" w:hAnsi="宋体" w:cs="宋体"/>
                <w:bCs/>
                <w:color w:val="auto"/>
                <w:sz w:val="30"/>
                <w:szCs w:val="30"/>
                <w:highlight w:val="none"/>
              </w:rPr>
              <w:t>咨 询 单 位：</w:t>
            </w:r>
          </w:p>
        </w:tc>
        <w:tc>
          <w:tcPr>
            <w:tcW w:w="5911" w:type="dxa"/>
            <w:tcBorders>
              <w:top w:val="single" w:color="auto" w:sz="4" w:space="0"/>
              <w:bottom w:val="single" w:color="auto" w:sz="4" w:space="0"/>
            </w:tcBorders>
            <w:vAlign w:val="center"/>
          </w:tcPr>
          <w:p>
            <w:pPr>
              <w:autoSpaceDE/>
              <w:autoSpaceDN/>
              <w:adjustRightInd/>
              <w:spacing w:before="156" w:after="156"/>
              <w:ind w:firstLine="0" w:firstLineChars="0"/>
              <w:jc w:val="both"/>
              <w:rPr>
                <w:rFonts w:hAnsi="宋体" w:cs="宋体"/>
                <w:bCs/>
                <w:color w:val="auto"/>
                <w:kern w:val="2"/>
                <w:sz w:val="30"/>
                <w:szCs w:val="30"/>
                <w:highlight w:val="none"/>
              </w:rPr>
            </w:pPr>
            <w:r>
              <w:rPr>
                <w:rFonts w:hint="eastAsia" w:hAnsi="宋体" w:cs="宋体"/>
                <w:bCs/>
                <w:color w:val="auto"/>
                <w:kern w:val="2"/>
                <w:sz w:val="30"/>
                <w:szCs w:val="30"/>
                <w:highlight w:val="none"/>
              </w:rPr>
              <w:t>广州</w:t>
            </w:r>
          </w:p>
        </w:tc>
      </w:tr>
      <w:tr>
        <w:tblPrEx>
          <w:tblCellMar>
            <w:top w:w="0" w:type="dxa"/>
            <w:left w:w="108" w:type="dxa"/>
            <w:bottom w:w="0" w:type="dxa"/>
            <w:right w:w="108" w:type="dxa"/>
          </w:tblCellMar>
        </w:tblPrEx>
        <w:trPr>
          <w:trHeight w:val="567" w:hRule="atLeast"/>
          <w:jc w:val="center"/>
        </w:trPr>
        <w:tc>
          <w:tcPr>
            <w:tcW w:w="2345" w:type="dxa"/>
            <w:tcBorders>
              <w:top w:val="single" w:color="auto" w:sz="4" w:space="0"/>
              <w:bottom w:val="single" w:color="auto" w:sz="4" w:space="0"/>
            </w:tcBorders>
            <w:vAlign w:val="center"/>
          </w:tcPr>
          <w:p>
            <w:pPr>
              <w:autoSpaceDE/>
              <w:autoSpaceDN/>
              <w:adjustRightInd/>
              <w:spacing w:before="156" w:after="156"/>
              <w:ind w:firstLine="0" w:firstLineChars="0"/>
              <w:jc w:val="both"/>
              <w:rPr>
                <w:rFonts w:hAnsi="宋体" w:cs="宋体"/>
                <w:bCs/>
                <w:color w:val="auto"/>
                <w:kern w:val="2"/>
                <w:sz w:val="30"/>
                <w:szCs w:val="30"/>
                <w:highlight w:val="none"/>
              </w:rPr>
            </w:pPr>
            <w:r>
              <w:rPr>
                <w:rFonts w:hint="eastAsia" w:hAnsi="宋体" w:cs="宋体"/>
                <w:bCs/>
                <w:color w:val="auto"/>
                <w:sz w:val="30"/>
                <w:szCs w:val="30"/>
                <w:highlight w:val="none"/>
              </w:rPr>
              <w:t>编 制 日 期：</w:t>
            </w:r>
          </w:p>
        </w:tc>
        <w:tc>
          <w:tcPr>
            <w:tcW w:w="5911" w:type="dxa"/>
            <w:tcBorders>
              <w:top w:val="single" w:color="auto" w:sz="4" w:space="0"/>
              <w:bottom w:val="single" w:color="auto" w:sz="4" w:space="0"/>
            </w:tcBorders>
            <w:vAlign w:val="center"/>
          </w:tcPr>
          <w:p>
            <w:pPr>
              <w:autoSpaceDE/>
              <w:autoSpaceDN/>
              <w:adjustRightInd/>
              <w:spacing w:before="156" w:after="156"/>
              <w:ind w:firstLine="0" w:firstLineChars="0"/>
              <w:jc w:val="both"/>
              <w:rPr>
                <w:rFonts w:hAnsi="宋体" w:cs="宋体"/>
                <w:bCs/>
                <w:color w:val="auto"/>
                <w:kern w:val="2"/>
                <w:sz w:val="30"/>
                <w:szCs w:val="30"/>
                <w:highlight w:val="none"/>
              </w:rPr>
            </w:pPr>
            <w:bookmarkStart w:id="3" w:name="projectInfo_reportDate"/>
            <w:bookmarkEnd w:id="3"/>
            <w:r>
              <w:rPr>
                <w:rFonts w:hint="eastAsia" w:hAnsi="宋体" w:cs="宋体"/>
                <w:bCs/>
                <w:color w:val="auto"/>
                <w:kern w:val="2"/>
                <w:sz w:val="30"/>
                <w:szCs w:val="30"/>
                <w:highlight w:val="none"/>
              </w:rPr>
              <w:t>202</w:t>
            </w:r>
            <w:r>
              <w:rPr>
                <w:rFonts w:hint="eastAsia" w:hAnsi="宋体" w:cs="宋体"/>
                <w:bCs/>
                <w:color w:val="auto"/>
                <w:kern w:val="2"/>
                <w:sz w:val="30"/>
                <w:szCs w:val="30"/>
                <w:highlight w:val="none"/>
                <w:lang w:val="en-US" w:eastAsia="zh-CN"/>
              </w:rPr>
              <w:t>1</w:t>
            </w:r>
            <w:r>
              <w:rPr>
                <w:rFonts w:hint="eastAsia" w:hAnsi="宋体" w:cs="宋体"/>
                <w:bCs/>
                <w:color w:val="auto"/>
                <w:kern w:val="2"/>
                <w:sz w:val="30"/>
                <w:szCs w:val="30"/>
                <w:highlight w:val="none"/>
              </w:rPr>
              <w:t>年</w:t>
            </w:r>
            <w:r>
              <w:rPr>
                <w:rFonts w:hint="eastAsia" w:hAnsi="宋体" w:cs="宋体"/>
                <w:bCs/>
                <w:color w:val="auto"/>
                <w:kern w:val="2"/>
                <w:sz w:val="30"/>
                <w:szCs w:val="30"/>
                <w:highlight w:val="none"/>
                <w:lang w:val="en-US" w:eastAsia="zh-CN"/>
              </w:rPr>
              <w:t>1</w:t>
            </w:r>
            <w:r>
              <w:rPr>
                <w:rFonts w:hint="eastAsia" w:hAnsi="宋体" w:cs="宋体"/>
                <w:bCs/>
                <w:color w:val="auto"/>
                <w:kern w:val="2"/>
                <w:sz w:val="30"/>
                <w:szCs w:val="30"/>
                <w:highlight w:val="none"/>
              </w:rPr>
              <w:t>月</w:t>
            </w:r>
          </w:p>
        </w:tc>
      </w:tr>
    </w:tbl>
    <w:p>
      <w:pPr>
        <w:spacing w:beforeLines="0" w:afterLines="0" w:line="360" w:lineRule="auto"/>
        <w:ind w:firstLine="0" w:firstLineChars="0"/>
        <w:jc w:val="center"/>
        <w:rPr>
          <w:color w:val="auto"/>
          <w:highlight w:val="none"/>
          <w:lang w:val="zh-CN"/>
        </w:rPr>
      </w:pPr>
    </w:p>
    <w:p>
      <w:pPr>
        <w:spacing w:beforeLines="0" w:afterLines="0" w:line="360" w:lineRule="auto"/>
        <w:ind w:firstLine="0" w:firstLineChars="0"/>
        <w:jc w:val="center"/>
        <w:rPr>
          <w:color w:val="auto"/>
          <w:highlight w:val="none"/>
          <w:lang w:val="zh-CN"/>
        </w:rPr>
        <w:sectPr>
          <w:headerReference r:id="rId7" w:type="first"/>
          <w:footerReference r:id="rId10" w:type="first"/>
          <w:headerReference r:id="rId5" w:type="default"/>
          <w:footerReference r:id="rId8" w:type="default"/>
          <w:headerReference r:id="rId6" w:type="even"/>
          <w:footerReference r:id="rId9" w:type="even"/>
          <w:pgSz w:w="11850" w:h="16783"/>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sdt>
      <w:sdtPr>
        <w:rPr>
          <w:b/>
          <w:bCs/>
          <w:color w:val="auto"/>
          <w:highlight w:val="none"/>
          <w:lang w:val="zh-CN"/>
        </w:rPr>
        <w:id w:val="22546671"/>
      </w:sdtPr>
      <w:sdtEndPr>
        <w:rPr>
          <w:b/>
          <w:bCs/>
          <w:color w:val="auto"/>
          <w:highlight w:val="none"/>
          <w:lang w:val="en-US"/>
        </w:rPr>
      </w:sdtEndPr>
      <w:sdtContent>
        <w:p>
          <w:pPr>
            <w:spacing w:beforeLines="0" w:afterLines="0" w:line="360" w:lineRule="auto"/>
            <w:ind w:firstLine="0" w:firstLineChars="0"/>
            <w:jc w:val="center"/>
            <w:rPr>
              <w:b/>
              <w:bCs/>
              <w:color w:val="auto"/>
              <w:sz w:val="28"/>
              <w:szCs w:val="28"/>
              <w:highlight w:val="none"/>
            </w:rPr>
          </w:pPr>
          <w:r>
            <w:rPr>
              <w:rFonts w:hAnsi="宋体"/>
              <w:b/>
              <w:bCs/>
              <w:color w:val="auto"/>
              <w:sz w:val="28"/>
              <w:szCs w:val="28"/>
              <w:highlight w:val="none"/>
            </w:rPr>
            <w:t>目</w:t>
          </w:r>
          <w:r>
            <w:rPr>
              <w:rFonts w:hint="eastAsia" w:hAnsi="宋体"/>
              <w:b/>
              <w:bCs/>
              <w:color w:val="auto"/>
              <w:sz w:val="28"/>
              <w:szCs w:val="28"/>
              <w:highlight w:val="none"/>
            </w:rPr>
            <w:t xml:space="preserve">  </w:t>
          </w:r>
          <w:r>
            <w:rPr>
              <w:rFonts w:hAnsi="宋体"/>
              <w:b/>
              <w:bCs/>
              <w:color w:val="auto"/>
              <w:sz w:val="28"/>
              <w:szCs w:val="28"/>
              <w:highlight w:val="none"/>
            </w:rPr>
            <w:t>录</w:t>
          </w:r>
        </w:p>
        <w:p>
          <w:pPr>
            <w:pStyle w:val="30"/>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color w:val="auto"/>
              <w:highlight w:val="none"/>
            </w:rPr>
            <w:instrText xml:space="preserve"> TOC \o "1-3" \h \z \u </w:instrText>
          </w:r>
          <w:r>
            <w:rPr>
              <w:rFonts w:hint="eastAsia"/>
              <w:color w:val="auto"/>
              <w:highlight w:val="none"/>
            </w:rPr>
            <w:fldChar w:fldCharType="separate"/>
          </w:r>
          <w:r>
            <w:rPr>
              <w:rFonts w:hint="eastAsia"/>
              <w:color w:val="auto"/>
              <w:highlight w:val="none"/>
            </w:rPr>
            <w:fldChar w:fldCharType="begin"/>
          </w:r>
          <w:r>
            <w:rPr>
              <w:rFonts w:hint="eastAsia"/>
              <w:highlight w:val="none"/>
            </w:rPr>
            <w:instrText xml:space="preserve"> HYPERLINK \l _Toc23806 </w:instrText>
          </w:r>
          <w:r>
            <w:rPr>
              <w:rFonts w:hint="eastAsia"/>
              <w:highlight w:val="none"/>
            </w:rPr>
            <w:fldChar w:fldCharType="separate"/>
          </w:r>
          <w:r>
            <w:rPr>
              <w:rFonts w:hint="eastAsia"/>
              <w:highlight w:val="none"/>
            </w:rPr>
            <w:t>1、项目概况及设计依据</w:t>
          </w:r>
          <w:r>
            <w:tab/>
          </w:r>
          <w:r>
            <w:fldChar w:fldCharType="begin"/>
          </w:r>
          <w:r>
            <w:instrText xml:space="preserve"> PAGEREF _Toc23806 </w:instrText>
          </w:r>
          <w:r>
            <w:fldChar w:fldCharType="separate"/>
          </w:r>
          <w:r>
            <w:t>2</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_Toc30133 </w:instrText>
          </w:r>
          <w:r>
            <w:rPr>
              <w:rFonts w:hint="eastAsia"/>
              <w:highlight w:val="none"/>
            </w:rPr>
            <w:fldChar w:fldCharType="separate"/>
          </w:r>
          <w:r>
            <w:rPr>
              <w:rFonts w:hint="eastAsia"/>
              <w:highlight w:val="none"/>
            </w:rPr>
            <w:t>1.1、项目概况</w:t>
          </w:r>
          <w:r>
            <w:tab/>
          </w:r>
          <w:r>
            <w:fldChar w:fldCharType="begin"/>
          </w:r>
          <w:r>
            <w:instrText xml:space="preserve"> PAGEREF _Toc30133 </w:instrText>
          </w:r>
          <w:r>
            <w:fldChar w:fldCharType="separate"/>
          </w:r>
          <w:r>
            <w:t>2</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_Toc16361 </w:instrText>
          </w:r>
          <w:r>
            <w:rPr>
              <w:rFonts w:hint="eastAsia"/>
              <w:highlight w:val="none"/>
            </w:rPr>
            <w:fldChar w:fldCharType="separate"/>
          </w:r>
          <w:r>
            <w:rPr>
              <w:rFonts w:hint="eastAsia"/>
              <w:highlight w:val="none"/>
            </w:rPr>
            <w:t>1.2、自然环境简况</w:t>
          </w:r>
          <w:r>
            <w:tab/>
          </w:r>
          <w:r>
            <w:fldChar w:fldCharType="begin"/>
          </w:r>
          <w:r>
            <w:instrText xml:space="preserve"> PAGEREF _Toc16361 </w:instrText>
          </w:r>
          <w:r>
            <w:fldChar w:fldCharType="separate"/>
          </w:r>
          <w:r>
            <w:t>2</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_Toc11825 </w:instrText>
          </w:r>
          <w:r>
            <w:rPr>
              <w:rFonts w:hint="eastAsia"/>
              <w:highlight w:val="none"/>
            </w:rPr>
            <w:fldChar w:fldCharType="separate"/>
          </w:r>
          <w:r>
            <w:rPr>
              <w:rFonts w:hint="eastAsia"/>
              <w:highlight w:val="none"/>
            </w:rPr>
            <w:t>1.3、项目建设背景</w:t>
          </w:r>
          <w:r>
            <w:tab/>
          </w:r>
          <w:r>
            <w:fldChar w:fldCharType="begin"/>
          </w:r>
          <w:r>
            <w:instrText xml:space="preserve"> PAGEREF _Toc11825 </w:instrText>
          </w:r>
          <w:r>
            <w:fldChar w:fldCharType="separate"/>
          </w:r>
          <w:r>
            <w:t>4</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_Toc7903 </w:instrText>
          </w:r>
          <w:r>
            <w:rPr>
              <w:rFonts w:hint="eastAsia"/>
              <w:highlight w:val="none"/>
            </w:rPr>
            <w:fldChar w:fldCharType="separate"/>
          </w:r>
          <w:r>
            <w:rPr>
              <w:rFonts w:hint="eastAsia"/>
              <w:highlight w:val="none"/>
            </w:rPr>
            <w:t>1.4、海绵城市设计依据</w:t>
          </w:r>
          <w:r>
            <w:tab/>
          </w:r>
          <w:r>
            <w:fldChar w:fldCharType="begin"/>
          </w:r>
          <w:r>
            <w:instrText xml:space="preserve"> PAGEREF _Toc7903 </w:instrText>
          </w:r>
          <w:r>
            <w:fldChar w:fldCharType="separate"/>
          </w:r>
          <w:r>
            <w:t>5</w:t>
          </w:r>
          <w:r>
            <w:fldChar w:fldCharType="end"/>
          </w:r>
          <w:r>
            <w:rPr>
              <w:rFonts w:hint="eastAsia"/>
              <w:color w:val="auto"/>
              <w:highlight w:val="none"/>
            </w:rPr>
            <w:fldChar w:fldCharType="end"/>
          </w:r>
        </w:p>
        <w:p>
          <w:pPr>
            <w:pStyle w:val="30"/>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_Toc29615 </w:instrText>
          </w:r>
          <w:r>
            <w:rPr>
              <w:rFonts w:hint="eastAsia"/>
              <w:highlight w:val="none"/>
            </w:rPr>
            <w:fldChar w:fldCharType="separate"/>
          </w:r>
          <w:r>
            <w:rPr>
              <w:rFonts w:hint="eastAsia"/>
              <w:highlight w:val="none"/>
            </w:rPr>
            <w:t>2、海绵城市的建设目标</w:t>
          </w:r>
          <w:r>
            <w:tab/>
          </w:r>
          <w:r>
            <w:fldChar w:fldCharType="begin"/>
          </w:r>
          <w:r>
            <w:instrText xml:space="preserve"> PAGEREF _Toc29615 </w:instrText>
          </w:r>
          <w:r>
            <w:fldChar w:fldCharType="separate"/>
          </w:r>
          <w:r>
            <w:t>6</w:t>
          </w:r>
          <w:r>
            <w:fldChar w:fldCharType="end"/>
          </w:r>
          <w:r>
            <w:rPr>
              <w:rFonts w:hint="eastAsia"/>
              <w:color w:val="auto"/>
              <w:highlight w:val="none"/>
            </w:rPr>
            <w:fldChar w:fldCharType="end"/>
          </w:r>
        </w:p>
        <w:p>
          <w:pPr>
            <w:pStyle w:val="30"/>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_Toc13411 </w:instrText>
          </w:r>
          <w:r>
            <w:rPr>
              <w:rFonts w:hint="eastAsia"/>
              <w:highlight w:val="none"/>
            </w:rPr>
            <w:fldChar w:fldCharType="separate"/>
          </w:r>
          <w:r>
            <w:rPr>
              <w:rFonts w:hint="eastAsia"/>
              <w:highlight w:val="none"/>
            </w:rPr>
            <w:t>3、海绵城市的设计</w:t>
          </w:r>
          <w:r>
            <w:tab/>
          </w:r>
          <w:r>
            <w:fldChar w:fldCharType="begin"/>
          </w:r>
          <w:r>
            <w:instrText xml:space="preserve"> PAGEREF _Toc13411 </w:instrText>
          </w:r>
          <w:r>
            <w:fldChar w:fldCharType="separate"/>
          </w:r>
          <w:r>
            <w:t>10</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_Toc22986 </w:instrText>
          </w:r>
          <w:r>
            <w:rPr>
              <w:rFonts w:hint="eastAsia"/>
              <w:highlight w:val="none"/>
            </w:rPr>
            <w:fldChar w:fldCharType="separate"/>
          </w:r>
          <w:r>
            <w:rPr>
              <w:rFonts w:hint="eastAsia"/>
              <w:highlight w:val="none"/>
            </w:rPr>
            <w:t>3.1、布置思路</w:t>
          </w:r>
          <w:r>
            <w:tab/>
          </w:r>
          <w:r>
            <w:fldChar w:fldCharType="begin"/>
          </w:r>
          <w:r>
            <w:instrText xml:space="preserve"> PAGEREF _Toc22986 </w:instrText>
          </w:r>
          <w:r>
            <w:fldChar w:fldCharType="separate"/>
          </w:r>
          <w:r>
            <w:t>10</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_Toc1087 </w:instrText>
          </w:r>
          <w:r>
            <w:rPr>
              <w:rFonts w:hint="eastAsia"/>
              <w:highlight w:val="none"/>
            </w:rPr>
            <w:fldChar w:fldCharType="separate"/>
          </w:r>
          <w:r>
            <w:rPr>
              <w:rFonts w:hint="eastAsia"/>
              <w:highlight w:val="none"/>
            </w:rPr>
            <w:t>3.2、相关措施</w:t>
          </w:r>
          <w:r>
            <w:tab/>
          </w:r>
          <w:r>
            <w:fldChar w:fldCharType="begin"/>
          </w:r>
          <w:r>
            <w:instrText xml:space="preserve"> PAGEREF _Toc1087 </w:instrText>
          </w:r>
          <w:r>
            <w:fldChar w:fldCharType="separate"/>
          </w:r>
          <w:r>
            <w:t>11</w:t>
          </w:r>
          <w:r>
            <w:fldChar w:fldCharType="end"/>
          </w:r>
          <w:r>
            <w:rPr>
              <w:rFonts w:hint="eastAsia"/>
              <w:color w:val="auto"/>
              <w:highlight w:val="none"/>
            </w:rPr>
            <w:fldChar w:fldCharType="end"/>
          </w:r>
        </w:p>
        <w:p>
          <w:pPr>
            <w:pStyle w:val="30"/>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_Toc343 </w:instrText>
          </w:r>
          <w:r>
            <w:rPr>
              <w:rFonts w:hint="eastAsia"/>
              <w:highlight w:val="none"/>
            </w:rPr>
            <w:fldChar w:fldCharType="separate"/>
          </w:r>
          <w:r>
            <w:rPr>
              <w:rFonts w:hint="eastAsia"/>
              <w:highlight w:val="none"/>
            </w:rPr>
            <w:t>4、海绵城市的计算</w:t>
          </w:r>
          <w:r>
            <w:tab/>
          </w:r>
          <w:r>
            <w:fldChar w:fldCharType="begin"/>
          </w:r>
          <w:r>
            <w:instrText xml:space="preserve"> PAGEREF _Toc343 </w:instrText>
          </w:r>
          <w:r>
            <w:fldChar w:fldCharType="separate"/>
          </w:r>
          <w:r>
            <w:t>14</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_Toc28506 </w:instrText>
          </w:r>
          <w:r>
            <w:rPr>
              <w:rFonts w:hint="eastAsia"/>
              <w:highlight w:val="none"/>
            </w:rPr>
            <w:fldChar w:fldCharType="separate"/>
          </w:r>
          <w:r>
            <w:rPr>
              <w:rFonts w:hint="eastAsia"/>
              <w:highlight w:val="none"/>
            </w:rPr>
            <w:t>4.1、汇水分区的划分</w:t>
          </w:r>
          <w:r>
            <w:tab/>
          </w:r>
          <w:r>
            <w:fldChar w:fldCharType="begin"/>
          </w:r>
          <w:r>
            <w:instrText xml:space="preserve"> PAGEREF _Toc28506 </w:instrText>
          </w:r>
          <w:r>
            <w:fldChar w:fldCharType="separate"/>
          </w:r>
          <w:r>
            <w:t>14</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_Toc9567 </w:instrText>
          </w:r>
          <w:r>
            <w:rPr>
              <w:rFonts w:hint="eastAsia"/>
              <w:highlight w:val="none"/>
            </w:rPr>
            <w:fldChar w:fldCharType="separate"/>
          </w:r>
          <w:r>
            <w:rPr>
              <w:rFonts w:hint="eastAsia"/>
              <w:highlight w:val="none"/>
            </w:rPr>
            <w:t>4.2、通过综合雨量径流系数的方法所需的调蓄容积</w:t>
          </w:r>
          <w:r>
            <w:tab/>
          </w:r>
          <w:r>
            <w:fldChar w:fldCharType="begin"/>
          </w:r>
          <w:r>
            <w:instrText xml:space="preserve"> PAGEREF _Toc9567 </w:instrText>
          </w:r>
          <w:r>
            <w:fldChar w:fldCharType="separate"/>
          </w:r>
          <w:r>
            <w:t>15</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_Toc13142 </w:instrText>
          </w:r>
          <w:r>
            <w:rPr>
              <w:rFonts w:hint="eastAsia"/>
              <w:highlight w:val="none"/>
            </w:rPr>
            <w:fldChar w:fldCharType="separate"/>
          </w:r>
          <w:r>
            <w:rPr>
              <w:rFonts w:hint="eastAsia"/>
              <w:highlight w:val="none"/>
            </w:rPr>
            <w:t>4.3、雨水调蓄容积校核</w:t>
          </w:r>
          <w:r>
            <w:tab/>
          </w:r>
          <w:r>
            <w:fldChar w:fldCharType="begin"/>
          </w:r>
          <w:r>
            <w:instrText xml:space="preserve"> PAGEREF _Toc13142 </w:instrText>
          </w:r>
          <w:r>
            <w:fldChar w:fldCharType="separate"/>
          </w:r>
          <w:r>
            <w:t>18</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_Toc10449 </w:instrText>
          </w:r>
          <w:r>
            <w:rPr>
              <w:rFonts w:hint="eastAsia"/>
              <w:highlight w:val="none"/>
            </w:rPr>
            <w:fldChar w:fldCharType="separate"/>
          </w:r>
          <w:r>
            <w:rPr>
              <w:rFonts w:hint="eastAsia"/>
              <w:highlight w:val="none"/>
            </w:rPr>
            <w:t>4.4、年径流总量控制率校核</w:t>
          </w:r>
          <w:r>
            <w:tab/>
          </w:r>
          <w:r>
            <w:fldChar w:fldCharType="begin"/>
          </w:r>
          <w:r>
            <w:instrText xml:space="preserve"> PAGEREF _Toc10449 </w:instrText>
          </w:r>
          <w:r>
            <w:fldChar w:fldCharType="separate"/>
          </w:r>
          <w:r>
            <w:t>22</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_Toc7149 </w:instrText>
          </w:r>
          <w:r>
            <w:rPr>
              <w:rFonts w:hint="eastAsia"/>
              <w:highlight w:val="none"/>
            </w:rPr>
            <w:fldChar w:fldCharType="separate"/>
          </w:r>
          <w:r>
            <w:rPr>
              <w:rFonts w:hint="eastAsia"/>
              <w:highlight w:val="none"/>
            </w:rPr>
            <w:t>4.5、径流污染消减率核算</w:t>
          </w:r>
          <w:r>
            <w:tab/>
          </w:r>
          <w:r>
            <w:fldChar w:fldCharType="begin"/>
          </w:r>
          <w:r>
            <w:instrText xml:space="preserve"> PAGEREF _Toc7149 </w:instrText>
          </w:r>
          <w:r>
            <w:fldChar w:fldCharType="separate"/>
          </w:r>
          <w:r>
            <w:t>23</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_Toc29406 </w:instrText>
          </w:r>
          <w:r>
            <w:rPr>
              <w:rFonts w:hint="eastAsia"/>
              <w:highlight w:val="none"/>
            </w:rPr>
            <w:fldChar w:fldCharType="separate"/>
          </w:r>
          <w:r>
            <w:rPr>
              <w:rFonts w:hint="eastAsia"/>
              <w:highlight w:val="none"/>
            </w:rPr>
            <w:t>4.6、下凹式绿地率校核</w:t>
          </w:r>
          <w:r>
            <w:tab/>
          </w:r>
          <w:r>
            <w:fldChar w:fldCharType="begin"/>
          </w:r>
          <w:r>
            <w:instrText xml:space="preserve"> PAGEREF _Toc29406 </w:instrText>
          </w:r>
          <w:r>
            <w:fldChar w:fldCharType="separate"/>
          </w:r>
          <w:r>
            <w:t>24</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_Toc7273 </w:instrText>
          </w:r>
          <w:r>
            <w:rPr>
              <w:rFonts w:hint="eastAsia"/>
              <w:highlight w:val="none"/>
            </w:rPr>
            <w:fldChar w:fldCharType="separate"/>
          </w:r>
          <w:r>
            <w:rPr>
              <w:rFonts w:hint="eastAsia"/>
              <w:highlight w:val="none"/>
            </w:rPr>
            <w:t>4.</w:t>
          </w:r>
          <w:r>
            <w:rPr>
              <w:rFonts w:hint="eastAsia"/>
              <w:highlight w:val="none"/>
              <w:lang w:val="en-US" w:eastAsia="zh-CN"/>
            </w:rPr>
            <w:t>7</w:t>
          </w:r>
          <w:r>
            <w:rPr>
              <w:rFonts w:hint="eastAsia"/>
              <w:highlight w:val="none"/>
            </w:rPr>
            <w:t>、场地硬化面积校核</w:t>
          </w:r>
          <w:r>
            <w:tab/>
          </w:r>
          <w:r>
            <w:fldChar w:fldCharType="begin"/>
          </w:r>
          <w:r>
            <w:instrText xml:space="preserve"> PAGEREF _Toc7273 </w:instrText>
          </w:r>
          <w:r>
            <w:fldChar w:fldCharType="separate"/>
          </w:r>
          <w:r>
            <w:t>24</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_Toc5918 </w:instrText>
          </w:r>
          <w:r>
            <w:rPr>
              <w:rFonts w:hint="eastAsia"/>
              <w:highlight w:val="none"/>
            </w:rPr>
            <w:fldChar w:fldCharType="separate"/>
          </w:r>
          <w:r>
            <w:rPr>
              <w:rFonts w:hint="eastAsia"/>
              <w:highlight w:val="none"/>
            </w:rPr>
            <w:t>4.</w:t>
          </w:r>
          <w:r>
            <w:rPr>
              <w:rFonts w:hint="eastAsia"/>
              <w:highlight w:val="none"/>
              <w:lang w:val="en-US" w:eastAsia="zh-CN"/>
            </w:rPr>
            <w:t>8</w:t>
          </w:r>
          <w:r>
            <w:rPr>
              <w:rFonts w:hint="eastAsia"/>
              <w:highlight w:val="none"/>
            </w:rPr>
            <w:t>、雨水管网及设计暴雨重现期校核</w:t>
          </w:r>
          <w:r>
            <w:tab/>
          </w:r>
          <w:r>
            <w:fldChar w:fldCharType="begin"/>
          </w:r>
          <w:r>
            <w:instrText xml:space="preserve"> PAGEREF _Toc5918 </w:instrText>
          </w:r>
          <w:r>
            <w:fldChar w:fldCharType="separate"/>
          </w:r>
          <w:r>
            <w:t>25</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_Toc31148 </w:instrText>
          </w:r>
          <w:r>
            <w:rPr>
              <w:rFonts w:hint="eastAsia"/>
              <w:highlight w:val="none"/>
            </w:rPr>
            <w:fldChar w:fldCharType="separate"/>
          </w:r>
          <w:r>
            <w:rPr>
              <w:rFonts w:hint="eastAsia"/>
              <w:highlight w:val="none"/>
            </w:rPr>
            <w:t>4.</w:t>
          </w:r>
          <w:r>
            <w:rPr>
              <w:rFonts w:hint="eastAsia"/>
              <w:highlight w:val="none"/>
              <w:lang w:val="en-US" w:eastAsia="zh-CN"/>
            </w:rPr>
            <w:t>9</w:t>
          </w:r>
          <w:r>
            <w:rPr>
              <w:rFonts w:hint="eastAsia"/>
              <w:highlight w:val="none"/>
            </w:rPr>
            <w:t>、建设前后径流总量校核</w:t>
          </w:r>
          <w:r>
            <w:tab/>
          </w:r>
          <w:r>
            <w:fldChar w:fldCharType="begin"/>
          </w:r>
          <w:r>
            <w:instrText xml:space="preserve"> PAGEREF _Toc31148 </w:instrText>
          </w:r>
          <w:r>
            <w:fldChar w:fldCharType="separate"/>
          </w:r>
          <w:r>
            <w:t>26</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_Toc28652 </w:instrText>
          </w:r>
          <w:r>
            <w:rPr>
              <w:rFonts w:hint="eastAsia"/>
              <w:highlight w:val="none"/>
            </w:rPr>
            <w:fldChar w:fldCharType="separate"/>
          </w:r>
          <w:r>
            <w:rPr>
              <w:rFonts w:hint="eastAsia"/>
              <w:highlight w:val="none"/>
            </w:rPr>
            <w:t>4.1</w:t>
          </w:r>
          <w:r>
            <w:rPr>
              <w:rFonts w:hint="eastAsia"/>
              <w:highlight w:val="none"/>
              <w:lang w:val="en-US" w:eastAsia="zh-CN"/>
            </w:rPr>
            <w:t>0</w:t>
          </w:r>
          <w:r>
            <w:rPr>
              <w:rFonts w:hint="eastAsia"/>
              <w:highlight w:val="none"/>
            </w:rPr>
            <w:t>、雨水径流峰值控制计算</w:t>
          </w:r>
          <w:r>
            <w:tab/>
          </w:r>
          <w:r>
            <w:fldChar w:fldCharType="begin"/>
          </w:r>
          <w:r>
            <w:instrText xml:space="preserve"> PAGEREF _Toc28652 </w:instrText>
          </w:r>
          <w:r>
            <w:fldChar w:fldCharType="separate"/>
          </w:r>
          <w:r>
            <w:t>27</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_Toc12703 </w:instrText>
          </w:r>
          <w:r>
            <w:rPr>
              <w:rFonts w:hint="eastAsia"/>
              <w:highlight w:val="none"/>
            </w:rPr>
            <w:fldChar w:fldCharType="separate"/>
          </w:r>
          <w:r>
            <w:rPr>
              <w:rFonts w:hint="eastAsia"/>
              <w:highlight w:val="none"/>
            </w:rPr>
            <w:t>4.1</w:t>
          </w:r>
          <w:r>
            <w:rPr>
              <w:rFonts w:hint="eastAsia"/>
              <w:highlight w:val="none"/>
              <w:lang w:val="en-US" w:eastAsia="zh-CN"/>
            </w:rPr>
            <w:t>1</w:t>
          </w:r>
          <w:r>
            <w:rPr>
              <w:rFonts w:hint="eastAsia"/>
              <w:highlight w:val="none"/>
            </w:rPr>
            <w:t>、新建项目雨水外排量计算</w:t>
          </w:r>
          <w:r>
            <w:tab/>
          </w:r>
          <w:r>
            <w:fldChar w:fldCharType="begin"/>
          </w:r>
          <w:r>
            <w:instrText xml:space="preserve"> PAGEREF _Toc12703 </w:instrText>
          </w:r>
          <w:r>
            <w:fldChar w:fldCharType="separate"/>
          </w:r>
          <w:r>
            <w:t>28</w:t>
          </w:r>
          <w:r>
            <w:fldChar w:fldCharType="end"/>
          </w:r>
          <w:r>
            <w:rPr>
              <w:rFonts w:hint="eastAsia"/>
              <w:color w:val="auto"/>
              <w:highlight w:val="none"/>
            </w:rPr>
            <w:fldChar w:fldCharType="end"/>
          </w:r>
        </w:p>
        <w:p>
          <w:pPr>
            <w:pStyle w:val="30"/>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_Toc17567 </w:instrText>
          </w:r>
          <w:r>
            <w:rPr>
              <w:rFonts w:hint="eastAsia"/>
              <w:highlight w:val="none"/>
            </w:rPr>
            <w:fldChar w:fldCharType="separate"/>
          </w:r>
          <w:r>
            <w:rPr>
              <w:rFonts w:hint="eastAsia"/>
              <w:highlight w:val="none"/>
            </w:rPr>
            <w:t>5、项目海绵城市设计指标及结果</w:t>
          </w:r>
          <w:r>
            <w:tab/>
          </w:r>
          <w:r>
            <w:fldChar w:fldCharType="begin"/>
          </w:r>
          <w:r>
            <w:instrText xml:space="preserve"> PAGEREF _Toc17567 </w:instrText>
          </w:r>
          <w:r>
            <w:fldChar w:fldCharType="separate"/>
          </w:r>
          <w:r>
            <w:t>29</w:t>
          </w:r>
          <w:r>
            <w:fldChar w:fldCharType="end"/>
          </w:r>
          <w:r>
            <w:rPr>
              <w:rFonts w:hint="eastAsia"/>
              <w:color w:val="auto"/>
              <w:highlight w:val="none"/>
            </w:rPr>
            <w:fldChar w:fldCharType="end"/>
          </w:r>
        </w:p>
        <w:p>
          <w:pPr>
            <w:pStyle w:val="30"/>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_Toc29448 </w:instrText>
          </w:r>
          <w:r>
            <w:rPr>
              <w:rFonts w:hint="eastAsia"/>
              <w:highlight w:val="none"/>
            </w:rPr>
            <w:fldChar w:fldCharType="separate"/>
          </w:r>
          <w:r>
            <w:rPr>
              <w:rFonts w:hint="eastAsia"/>
              <w:highlight w:val="none"/>
            </w:rPr>
            <w:t>6、维护管理</w:t>
          </w:r>
          <w:r>
            <w:tab/>
          </w:r>
          <w:r>
            <w:fldChar w:fldCharType="begin"/>
          </w:r>
          <w:r>
            <w:instrText xml:space="preserve"> PAGEREF _Toc29448 </w:instrText>
          </w:r>
          <w:r>
            <w:fldChar w:fldCharType="separate"/>
          </w:r>
          <w:r>
            <w:t>31</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_Toc8837 </w:instrText>
          </w:r>
          <w:r>
            <w:rPr>
              <w:rFonts w:hint="eastAsia"/>
              <w:highlight w:val="none"/>
            </w:rPr>
            <w:fldChar w:fldCharType="separate"/>
          </w:r>
          <w:r>
            <w:rPr>
              <w:rFonts w:hint="eastAsia"/>
              <w:highlight w:val="none"/>
            </w:rPr>
            <w:t>6.1基本要求</w:t>
          </w:r>
          <w:r>
            <w:tab/>
          </w:r>
          <w:r>
            <w:fldChar w:fldCharType="begin"/>
          </w:r>
          <w:r>
            <w:instrText xml:space="preserve"> PAGEREF _Toc8837 </w:instrText>
          </w:r>
          <w:r>
            <w:fldChar w:fldCharType="separate"/>
          </w:r>
          <w:r>
            <w:t>31</w:t>
          </w:r>
          <w:r>
            <w:fldChar w:fldCharType="end"/>
          </w:r>
          <w:r>
            <w:rPr>
              <w:rFonts w:hint="eastAsia"/>
              <w:color w:val="auto"/>
              <w:highlight w:val="none"/>
            </w:rPr>
            <w:fldChar w:fldCharType="end"/>
          </w:r>
        </w:p>
        <w:p>
          <w:pPr>
            <w:pStyle w:val="36"/>
            <w:keepNext w:val="0"/>
            <w:keepLines w:val="0"/>
            <w:pageBreakBefore w:val="0"/>
            <w:widowControl w:val="0"/>
            <w:tabs>
              <w:tab w:val="right" w:leader="dot" w:pos="8970"/>
            </w:tabs>
            <w:kinsoku/>
            <w:wordWrap/>
            <w:overflowPunct/>
            <w:topLinePunct w:val="0"/>
            <w:autoSpaceDE w:val="0"/>
            <w:autoSpaceDN w:val="0"/>
            <w:bidi w:val="0"/>
            <w:adjustRightInd w:val="0"/>
            <w:snapToGrid/>
            <w:spacing w:line="240" w:lineRule="auto"/>
            <w:textAlignment w:val="auto"/>
          </w:pPr>
          <w:r>
            <w:rPr>
              <w:rFonts w:hint="eastAsia"/>
              <w:color w:val="auto"/>
              <w:highlight w:val="none"/>
            </w:rPr>
            <w:fldChar w:fldCharType="begin"/>
          </w:r>
          <w:r>
            <w:rPr>
              <w:rFonts w:hint="eastAsia"/>
              <w:highlight w:val="none"/>
            </w:rPr>
            <w:instrText xml:space="preserve"> HYPERLINK \l _Toc20753 </w:instrText>
          </w:r>
          <w:r>
            <w:rPr>
              <w:rFonts w:hint="eastAsia"/>
              <w:highlight w:val="none"/>
            </w:rPr>
            <w:fldChar w:fldCharType="separate"/>
          </w:r>
          <w:r>
            <w:rPr>
              <w:rFonts w:hint="eastAsia"/>
              <w:highlight w:val="none"/>
            </w:rPr>
            <w:t>6.2设施维护</w:t>
          </w:r>
          <w:r>
            <w:tab/>
          </w:r>
          <w:r>
            <w:fldChar w:fldCharType="begin"/>
          </w:r>
          <w:r>
            <w:instrText xml:space="preserve"> PAGEREF _Toc20753 </w:instrText>
          </w:r>
          <w:r>
            <w:fldChar w:fldCharType="separate"/>
          </w:r>
          <w:r>
            <w:t>31</w:t>
          </w:r>
          <w:r>
            <w:fldChar w:fldCharType="end"/>
          </w:r>
          <w:r>
            <w:rPr>
              <w:rFonts w:hint="eastAsia"/>
              <w:color w:val="auto"/>
              <w:highlight w:val="none"/>
            </w:rPr>
            <w:fldChar w:fldCharType="end"/>
          </w:r>
        </w:p>
        <w:p>
          <w:pPr>
            <w:pStyle w:val="30"/>
            <w:tabs>
              <w:tab w:val="right" w:leader="dot" w:pos="8970"/>
            </w:tabs>
          </w:pPr>
          <w:r>
            <w:rPr>
              <w:rFonts w:hint="eastAsia"/>
              <w:color w:val="auto"/>
              <w:highlight w:val="none"/>
            </w:rPr>
            <w:fldChar w:fldCharType="begin"/>
          </w:r>
          <w:r>
            <w:rPr>
              <w:rFonts w:hint="eastAsia"/>
              <w:highlight w:val="none"/>
            </w:rPr>
            <w:instrText xml:space="preserve"> HYPERLINK \l _Toc1748 </w:instrText>
          </w:r>
          <w:r>
            <w:rPr>
              <w:rFonts w:hint="eastAsia"/>
              <w:highlight w:val="none"/>
            </w:rPr>
            <w:fldChar w:fldCharType="separate"/>
          </w:r>
          <w:r>
            <w:rPr>
              <w:rFonts w:hint="eastAsia"/>
              <w:szCs w:val="36"/>
              <w:highlight w:val="none"/>
            </w:rPr>
            <w:t>7.海绵设施建设成本估算</w:t>
          </w:r>
          <w:r>
            <w:tab/>
          </w:r>
          <w:r>
            <w:fldChar w:fldCharType="begin"/>
          </w:r>
          <w:r>
            <w:instrText xml:space="preserve"> PAGEREF _Toc1748 </w:instrText>
          </w:r>
          <w:r>
            <w:fldChar w:fldCharType="separate"/>
          </w:r>
          <w:r>
            <w:t>32</w:t>
          </w:r>
          <w:r>
            <w:fldChar w:fldCharType="end"/>
          </w:r>
          <w:r>
            <w:rPr>
              <w:rFonts w:hint="eastAsia"/>
              <w:color w:val="auto"/>
              <w:highlight w:val="none"/>
            </w:rPr>
            <w:fldChar w:fldCharType="end"/>
          </w:r>
        </w:p>
        <w:p>
          <w:pPr>
            <w:pStyle w:val="36"/>
            <w:tabs>
              <w:tab w:val="right" w:leader="dot" w:pos="8970"/>
            </w:tabs>
            <w:spacing w:before="156" w:after="156" w:line="240" w:lineRule="auto"/>
            <w:ind w:left="480" w:firstLine="480"/>
            <w:rPr>
              <w:color w:val="auto"/>
              <w:highlight w:val="none"/>
            </w:rPr>
          </w:pPr>
          <w:r>
            <w:rPr>
              <w:rFonts w:hint="eastAsia"/>
              <w:color w:val="auto"/>
              <w:highlight w:val="none"/>
            </w:rPr>
            <w:fldChar w:fldCharType="end"/>
          </w:r>
        </w:p>
      </w:sdtContent>
    </w:sdt>
    <w:bookmarkEnd w:id="0"/>
    <w:bookmarkEnd w:id="1"/>
    <w:p>
      <w:pPr>
        <w:pStyle w:val="2"/>
        <w:spacing w:before="156" w:after="156"/>
        <w:rPr>
          <w:color w:val="auto"/>
          <w:highlight w:val="none"/>
        </w:rPr>
      </w:pPr>
      <w:bookmarkStart w:id="4" w:name="_Toc408835173"/>
      <w:bookmarkStart w:id="5" w:name="_Toc527731083"/>
      <w:bookmarkStart w:id="6" w:name="_Toc1733382"/>
      <w:bookmarkStart w:id="7" w:name="_Toc23806"/>
      <w:bookmarkStart w:id="8" w:name="_Toc17831"/>
      <w:r>
        <w:rPr>
          <w:rFonts w:hint="eastAsia"/>
          <w:color w:val="auto"/>
          <w:highlight w:val="none"/>
        </w:rPr>
        <w:t>1、项目概况</w:t>
      </w:r>
      <w:bookmarkEnd w:id="4"/>
      <w:bookmarkEnd w:id="5"/>
      <w:r>
        <w:rPr>
          <w:rFonts w:hint="eastAsia"/>
          <w:color w:val="auto"/>
          <w:highlight w:val="none"/>
        </w:rPr>
        <w:t>及设计依据</w:t>
      </w:r>
      <w:bookmarkEnd w:id="6"/>
      <w:bookmarkEnd w:id="7"/>
      <w:bookmarkEnd w:id="8"/>
    </w:p>
    <w:p>
      <w:pPr>
        <w:pStyle w:val="3"/>
        <w:spacing w:before="156" w:after="156"/>
        <w:rPr>
          <w:color w:val="auto"/>
          <w:highlight w:val="none"/>
        </w:rPr>
      </w:pPr>
      <w:bookmarkStart w:id="9" w:name="_Toc30133"/>
      <w:r>
        <w:rPr>
          <w:rFonts w:hint="eastAsia"/>
          <w:color w:val="auto"/>
          <w:highlight w:val="none"/>
        </w:rPr>
        <w:t>1.1、项目概况</w:t>
      </w:r>
      <w:bookmarkEnd w:id="9"/>
    </w:p>
    <w:p>
      <w:pPr>
        <w:spacing w:before="156" w:after="156" w:line="360" w:lineRule="auto"/>
        <w:ind w:firstLine="480"/>
        <w:rPr>
          <w:rFonts w:hAnsi="宋体"/>
          <w:color w:val="auto"/>
          <w:highlight w:val="none"/>
        </w:rPr>
      </w:pPr>
      <w:bookmarkStart w:id="10" w:name="_Toc527731084"/>
      <w:r>
        <w:rPr>
          <w:rFonts w:hint="eastAsia" w:hAnsi="宋体"/>
          <w:color w:val="auto"/>
          <w:highlight w:val="none"/>
        </w:rPr>
        <w:t>建设地点：。</w:t>
      </w:r>
    </w:p>
    <w:bookmarkEnd w:id="10"/>
    <w:p>
      <w:pPr>
        <w:spacing w:before="156" w:after="156" w:line="360" w:lineRule="auto"/>
        <w:ind w:firstLine="480"/>
        <w:rPr>
          <w:rFonts w:hAnsi="宋体"/>
          <w:color w:val="auto"/>
          <w:highlight w:val="none"/>
        </w:rPr>
      </w:pPr>
      <w:bookmarkStart w:id="11" w:name="_Toc16361"/>
      <w:bookmarkStart w:id="12" w:name="_Toc28522"/>
      <w:bookmarkStart w:id="13" w:name="_Toc527731085"/>
      <w:r>
        <w:rPr>
          <w:rFonts w:hint="eastAsia" w:hAnsi="宋体"/>
          <w:color w:val="auto"/>
          <w:highlight w:val="none"/>
        </w:rPr>
        <w:t>建设规模：</w:t>
      </w:r>
      <w:r>
        <w:rPr>
          <w:rFonts w:hint="default" w:ascii="Times New Roman" w:hAnsi="Times New Roman" w:cs="Times New Roman"/>
          <w:color w:val="auto"/>
          <w:szCs w:val="21"/>
          <w:lang w:val="en-US"/>
        </w:rPr>
        <w:t>项目规划总用地面积为20296.00平方米，规划建筑用地面积为19621.20平方米，绿地</w:t>
      </w:r>
      <w:r>
        <w:rPr>
          <w:rFonts w:hint="eastAsia" w:ascii="Times New Roman" w:cs="Times New Roman"/>
          <w:color w:val="auto"/>
          <w:szCs w:val="21"/>
          <w:lang w:val="en-US" w:eastAsia="zh-CN"/>
        </w:rPr>
        <w:t>面积</w:t>
      </w:r>
      <w:r>
        <w:rPr>
          <w:rFonts w:hint="default" w:ascii="Times New Roman" w:hAnsi="Times New Roman" w:cs="Times New Roman"/>
          <w:color w:val="auto"/>
          <w:szCs w:val="21"/>
          <w:lang w:val="en-US"/>
        </w:rPr>
        <w:t>为</w:t>
      </w:r>
      <w:r>
        <w:rPr>
          <w:rFonts w:hint="eastAsia" w:ascii="Times New Roman" w:cs="Times New Roman"/>
          <w:color w:val="auto"/>
          <w:szCs w:val="21"/>
          <w:lang w:val="en-US" w:eastAsia="zh-CN"/>
        </w:rPr>
        <w:t>5050.05平方米</w:t>
      </w:r>
      <w:r>
        <w:rPr>
          <w:rFonts w:hint="default" w:ascii="Times New Roman" w:hAnsi="Times New Roman" w:cs="Times New Roman"/>
          <w:color w:val="auto"/>
          <w:szCs w:val="21"/>
          <w:lang w:val="en-US"/>
        </w:rPr>
        <w:t>。</w:t>
      </w:r>
    </w:p>
    <w:p>
      <w:pPr>
        <w:pStyle w:val="3"/>
        <w:spacing w:before="156" w:after="156"/>
        <w:rPr>
          <w:color w:val="auto"/>
          <w:highlight w:val="none"/>
        </w:rPr>
      </w:pPr>
      <w:r>
        <w:rPr>
          <w:rFonts w:hint="eastAsia"/>
          <w:color w:val="auto"/>
          <w:highlight w:val="none"/>
        </w:rPr>
        <w:t>1.2、自然环境简况</w:t>
      </w:r>
      <w:bookmarkEnd w:id="11"/>
      <w:bookmarkStart w:id="98" w:name="_GoBack"/>
      <w:bookmarkEnd w:id="98"/>
    </w:p>
    <w:p>
      <w:pPr>
        <w:spacing w:before="156" w:after="156" w:line="360" w:lineRule="auto"/>
        <w:ind w:firstLine="480"/>
        <w:rPr>
          <w:rFonts w:hAnsi="宋体"/>
          <w:color w:val="auto"/>
          <w:highlight w:val="none"/>
        </w:rPr>
      </w:pPr>
      <w:r>
        <w:rPr>
          <w:rFonts w:hint="eastAsia" w:hAnsi="宋体"/>
          <w:color w:val="auto"/>
          <w:highlight w:val="none"/>
        </w:rPr>
        <w:t>1.2.1 地理位置</w:t>
      </w:r>
    </w:p>
    <w:p>
      <w:pPr>
        <w:spacing w:before="156" w:after="156" w:line="360" w:lineRule="auto"/>
        <w:ind w:firstLine="480"/>
        <w:rPr>
          <w:rFonts w:hAnsi="宋体"/>
          <w:color w:val="auto"/>
          <w:highlight w:val="none"/>
        </w:rPr>
      </w:pPr>
      <w:r>
        <w:rPr>
          <w:rFonts w:hint="eastAsia" w:hAnsi="宋体"/>
          <w:color w:val="auto"/>
          <w:highlight w:val="none"/>
        </w:rPr>
        <w:t>黄埔区，隶属于广东省广州市，位于广州市东部，东至东江与东莞市麻涌镇相望；东北部与增城区新塘镇接壤，南部临珠江与番禺区相邻；西部与天河区、白云区相连，北部与从化区毗邻。介于东经113°27′39″—113°27′51″，北纬23°2′25″—23°9′55″之间，总面积面积484.17平方千米。</w:t>
      </w:r>
    </w:p>
    <w:p>
      <w:pPr>
        <w:spacing w:before="156" w:after="156" w:line="360" w:lineRule="auto"/>
        <w:ind w:firstLine="480"/>
        <w:rPr>
          <w:rFonts w:hAnsi="宋体"/>
          <w:color w:val="auto"/>
          <w:highlight w:val="none"/>
        </w:rPr>
      </w:pPr>
      <w:r>
        <w:rPr>
          <w:rFonts w:hint="eastAsia" w:hAnsi="宋体"/>
          <w:color w:val="auto"/>
          <w:highlight w:val="none"/>
        </w:rPr>
        <w:t>截至2014年，黄埔区下辖14个街道、1个镇，户籍总人口20.9297万人。实现地区生产总值753.98亿元，第一产业完成增加值1.15亿元，第二产业完成增加值435.14亿元，其中工业增加值完成427.92亿元，第三产业完成增加值317.69亿元。三产比重为0.15：57.71：42.14。</w:t>
      </w:r>
    </w:p>
    <w:p>
      <w:pPr>
        <w:spacing w:before="156" w:after="156"/>
        <w:ind w:firstLine="480"/>
        <w:rPr>
          <w:rFonts w:hAnsi="宋体"/>
          <w:color w:val="auto"/>
          <w:highlight w:val="none"/>
        </w:rPr>
      </w:pPr>
      <w:r>
        <w:rPr>
          <w:color w:val="auto"/>
          <w:highlight w:val="none"/>
        </w:rPr>
        <w:t xml:space="preserve"> </w:t>
      </w:r>
      <w:r>
        <w:rPr>
          <w:rFonts w:hint="eastAsia"/>
          <w:color w:val="auto"/>
          <w:highlight w:val="none"/>
        </w:rPr>
        <w:t xml:space="preserve">1.2.2 </w:t>
      </w:r>
      <w:r>
        <w:rPr>
          <w:rFonts w:hint="eastAsia" w:hAnsi="宋体"/>
          <w:color w:val="auto"/>
          <w:highlight w:val="none"/>
        </w:rPr>
        <w:t>地质构造</w:t>
      </w:r>
    </w:p>
    <w:p>
      <w:pPr>
        <w:spacing w:before="156" w:after="156" w:line="360" w:lineRule="auto"/>
        <w:ind w:firstLine="480"/>
        <w:rPr>
          <w:rFonts w:hAnsi="宋体"/>
          <w:color w:val="auto"/>
          <w:highlight w:val="none"/>
        </w:rPr>
      </w:pPr>
      <w:r>
        <w:rPr>
          <w:rFonts w:hint="eastAsia" w:hAnsi="宋体"/>
          <w:color w:val="auto"/>
          <w:highlight w:val="none"/>
        </w:rPr>
        <w:t>黄埔区区域内的地层仅保存有古生界变质岩及第三系中新统红色砂岩，此外为第四系冲积层。</w:t>
      </w:r>
    </w:p>
    <w:p>
      <w:pPr>
        <w:spacing w:before="156" w:after="156" w:line="360" w:lineRule="auto"/>
        <w:ind w:firstLine="480"/>
        <w:rPr>
          <w:rFonts w:hAnsi="宋体"/>
          <w:color w:val="auto"/>
          <w:highlight w:val="none"/>
        </w:rPr>
      </w:pPr>
      <w:r>
        <w:rPr>
          <w:rFonts w:hint="eastAsia" w:hAnsi="宋体"/>
          <w:color w:val="auto"/>
          <w:highlight w:val="none"/>
        </w:rPr>
        <w:t>古生界变质岩系由石英岩、片麻岩、斜长片麻岩、注入片麻岩、混合片麻岩、片岩等组成。主要分布在长洲岛的深井村，变质较深，表现为台地低丘。</w:t>
      </w:r>
    </w:p>
    <w:p>
      <w:pPr>
        <w:spacing w:before="156" w:after="156" w:line="360" w:lineRule="auto"/>
        <w:ind w:firstLine="480"/>
        <w:rPr>
          <w:rFonts w:hAnsi="宋体"/>
          <w:color w:val="auto"/>
          <w:highlight w:val="none"/>
        </w:rPr>
      </w:pPr>
      <w:r>
        <w:rPr>
          <w:rFonts w:hint="eastAsia" w:hAnsi="宋体"/>
          <w:color w:val="auto"/>
          <w:highlight w:val="none"/>
        </w:rPr>
        <w:t>第三系中新统的红色岩系主要由凝灰质砾岩、砂岩、页岩组成，走向东西，倾向北，倾角较缓，约15—25度。主要分布在茅岗、横沙、庙头、南岗村及广深公路（107国道，下同）附近，呈低丘孤立状分布于南侧平原中。</w:t>
      </w:r>
    </w:p>
    <w:p>
      <w:pPr>
        <w:spacing w:before="156" w:after="156" w:line="360" w:lineRule="auto"/>
        <w:ind w:firstLine="480"/>
        <w:rPr>
          <w:rFonts w:hAnsi="宋体"/>
          <w:color w:val="auto"/>
          <w:highlight w:val="none"/>
        </w:rPr>
      </w:pPr>
      <w:r>
        <w:rPr>
          <w:rFonts w:hint="eastAsia" w:hAnsi="宋体"/>
          <w:color w:val="auto"/>
          <w:highlight w:val="none"/>
        </w:rPr>
        <w:t>第四系第一级阶地沉积主要以砂砾、砾石、砂质黏土、泥炭土等组成的冲积层。主要分布在广深公路以北的茅岗、横沙、文冲等北面，笔岗、沧联村等地呈东西带状分布。第二级阶地沉积是冲积显著的海陆混合沉积层，由砂质壤土、砂、沙等组成。分布范围明显比第一阶地向南推移，在广深公路南侧及珠江之沙洲上，形成三角洲冲积平原，地势低平。</w:t>
      </w:r>
    </w:p>
    <w:p>
      <w:pPr>
        <w:spacing w:before="156" w:after="156" w:line="360" w:lineRule="auto"/>
        <w:ind w:firstLine="480"/>
        <w:rPr>
          <w:rFonts w:hAnsi="宋体"/>
          <w:color w:val="auto"/>
          <w:highlight w:val="none"/>
        </w:rPr>
      </w:pPr>
      <w:r>
        <w:rPr>
          <w:rFonts w:hint="eastAsia" w:hAnsi="宋体"/>
          <w:color w:val="auto"/>
          <w:highlight w:val="none"/>
        </w:rPr>
        <w:t>火成岩：以中生代燕山第二期侵入岩浆岩比较发育，形成区内较高山地。分布在北边，占全区面积一半，主要有斑状花岗岩、黑云母、角闪石二长花岗岩等。此外，在飞龙岗、鸭乸水、王塔母、将军岗有一条呈东北方向构造岩带，由断层挤压成糜棱岩、片麻岩带。</w:t>
      </w:r>
    </w:p>
    <w:p>
      <w:pPr>
        <w:spacing w:before="156" w:after="156"/>
        <w:ind w:firstLine="480"/>
        <w:rPr>
          <w:rFonts w:hAnsi="宋体"/>
          <w:color w:val="auto"/>
          <w:highlight w:val="none"/>
        </w:rPr>
      </w:pPr>
      <w:r>
        <w:rPr>
          <w:rFonts w:hint="eastAsia" w:hAnsi="宋体"/>
          <w:color w:val="auto"/>
          <w:highlight w:val="none"/>
        </w:rPr>
        <w:t xml:space="preserve"> 1.2.3 气候特征</w:t>
      </w:r>
    </w:p>
    <w:p>
      <w:pPr>
        <w:spacing w:before="156" w:after="156" w:line="360" w:lineRule="auto"/>
        <w:ind w:firstLine="480"/>
        <w:rPr>
          <w:rFonts w:hAnsi="宋体"/>
          <w:color w:val="auto"/>
          <w:highlight w:val="none"/>
        </w:rPr>
      </w:pPr>
      <w:r>
        <w:rPr>
          <w:rFonts w:hint="eastAsia" w:hAnsi="宋体"/>
          <w:color w:val="auto"/>
          <w:highlight w:val="none"/>
        </w:rPr>
        <w:t>黄埔区属亚热带季风气候，热源丰富，无霜期长，雨量充沛。</w:t>
      </w:r>
    </w:p>
    <w:p>
      <w:pPr>
        <w:spacing w:before="156" w:after="156" w:line="360" w:lineRule="auto"/>
        <w:ind w:firstLine="480"/>
        <w:rPr>
          <w:rFonts w:hAnsi="宋体"/>
          <w:color w:val="auto"/>
          <w:highlight w:val="none"/>
        </w:rPr>
      </w:pPr>
      <w:r>
        <w:rPr>
          <w:rFonts w:hint="eastAsia" w:hAnsi="宋体"/>
          <w:color w:val="auto"/>
          <w:highlight w:val="none"/>
        </w:rPr>
        <w:t>日照黄埔区地处北回归线以南，纬度较低，太阳辐射角度较大，太阳年辐射热量106.7千卡/平方厘米，年平均日照射时数1906小时，日照率43%，热量资源丰富，有利于热带亚热带农林作物生长。</w:t>
      </w:r>
    </w:p>
    <w:p>
      <w:pPr>
        <w:spacing w:before="156" w:after="156" w:line="360" w:lineRule="auto"/>
        <w:ind w:firstLine="480"/>
        <w:rPr>
          <w:rFonts w:hAnsi="宋体"/>
          <w:color w:val="auto"/>
          <w:highlight w:val="none"/>
        </w:rPr>
      </w:pPr>
      <w:r>
        <w:rPr>
          <w:rFonts w:hint="eastAsia" w:hAnsi="宋体"/>
          <w:color w:val="auto"/>
          <w:highlight w:val="none"/>
        </w:rPr>
        <w:t>气温黄埔区具有夏长冬短，终年温暖，偶有奇寒，无霜期长，四季宜耕的特点。年平均温度为21℃，最冷月1月份平均为13.3℃，最热月7月份平均为28.4℃，气温年际变化很少，气温年较差为15.1℃，日.均≥10℃的年积温7599.3℃，持续日数350天，如以候均温≤10℃为冬季，大于22℃为夏季，黄埔地区夏季长达194天（4月15日至10月25日），小于10℃的日数每年有40多天。冬季强寒潮南下会引起急剧降温，出现低温霜冻天气。小于5℃每年有2—8天，极端最低温可达0℃。典型亚热带作物要注意防寒。夏季虽然气温较高，但因地处珠江口，受海风调节，也没有酷暑。</w:t>
      </w:r>
    </w:p>
    <w:p>
      <w:pPr>
        <w:spacing w:before="156" w:after="156" w:line="360" w:lineRule="auto"/>
        <w:ind w:firstLine="480"/>
        <w:rPr>
          <w:rFonts w:hAnsi="宋体"/>
          <w:color w:val="auto"/>
          <w:highlight w:val="none"/>
        </w:rPr>
      </w:pPr>
      <w:r>
        <w:rPr>
          <w:rFonts w:hint="eastAsia" w:hAnsi="宋体"/>
          <w:color w:val="auto"/>
          <w:highlight w:val="none"/>
        </w:rPr>
        <w:t>雨量全区年降雨量1694毫米，主要集中在4—9月，这6个月占全年降雨量的82%。4—6月为前汛期，主要是锋面雨；7—9月为后汛期，主要是对流降雨和台风雨。以日雨量≥30毫米为雨季，雨季长达200天。降雨充沛，雨热同期，对水稻、甘蔗等喜温需水量大的作物生长十分有利。年际各季雨量是：夏雨占雨量的45%—50%，春雨占26%—?34%，秋雨占16%—20%，冬雨占5%—8%。旱季4个月（10—1月）。降雨量的年际变化和雨量季节分配不均匀，引起夏洪涝和春秋干旱灾害。</w:t>
      </w:r>
    </w:p>
    <w:p>
      <w:pPr>
        <w:spacing w:before="156" w:after="156"/>
        <w:ind w:firstLine="480"/>
        <w:rPr>
          <w:color w:val="auto"/>
          <w:highlight w:val="none"/>
        </w:rPr>
      </w:pPr>
      <w:r>
        <w:rPr>
          <w:rFonts w:hint="eastAsia" w:hAnsi="宋体"/>
          <w:color w:val="auto"/>
          <w:highlight w:val="none"/>
        </w:rPr>
        <w:t xml:space="preserve"> 1.2.4 地表水体、水文</w:t>
      </w:r>
    </w:p>
    <w:p>
      <w:pPr>
        <w:spacing w:before="156" w:after="156" w:line="360" w:lineRule="auto"/>
        <w:ind w:firstLine="480"/>
        <w:rPr>
          <w:rFonts w:hAnsi="宋体"/>
          <w:color w:val="auto"/>
          <w:highlight w:val="none"/>
        </w:rPr>
      </w:pPr>
      <w:r>
        <w:rPr>
          <w:rFonts w:hint="eastAsia" w:hAnsi="宋体"/>
          <w:color w:val="auto"/>
          <w:highlight w:val="none"/>
        </w:rPr>
        <w:t>黄埔地区内河流较多，有南岗河、乌涌河2条河流由北向南流入珠江，流经区内的有珠江主干流、东江北干流，在南岗头处交汇。</w:t>
      </w:r>
    </w:p>
    <w:p>
      <w:pPr>
        <w:spacing w:before="156" w:after="156" w:line="360" w:lineRule="auto"/>
        <w:ind w:firstLine="480"/>
        <w:rPr>
          <w:rFonts w:hAnsi="宋体"/>
          <w:color w:val="auto"/>
          <w:highlight w:val="none"/>
        </w:rPr>
      </w:pPr>
      <w:r>
        <w:rPr>
          <w:rFonts w:hint="eastAsia" w:hAnsi="宋体"/>
          <w:color w:val="auto"/>
          <w:highlight w:val="none"/>
        </w:rPr>
        <w:t>南岗河源于白云区木 水库，经萝岗、火村、笔岗、南岗汇入珠江，全长24千米，集雨面积85平方千米，其中境内河段长6.8千米，集雨面积47平方千米。最大流量每秒584.2立方米。</w:t>
      </w:r>
    </w:p>
    <w:p>
      <w:pPr>
        <w:spacing w:before="156" w:after="156" w:line="360" w:lineRule="auto"/>
        <w:ind w:firstLine="480"/>
        <w:rPr>
          <w:rFonts w:hAnsi="宋体"/>
          <w:color w:val="auto"/>
          <w:highlight w:val="none"/>
        </w:rPr>
      </w:pPr>
      <w:r>
        <w:rPr>
          <w:rFonts w:hint="eastAsia" w:hAnsi="宋体"/>
          <w:color w:val="auto"/>
          <w:highlight w:val="none"/>
        </w:rPr>
        <w:t xml:space="preserve">乌涌河发源于白云区的水口水库，流经黄陂、小新塘，入大沙镇的姬堂、横沙、文冲等地流入珠江，全长22千米，区境内长度4.8千米，集雨面积74平方千米，其中过境面积36平方千米，最大流量每秒572立方米。 [19] </w:t>
      </w:r>
    </w:p>
    <w:p>
      <w:pPr>
        <w:spacing w:before="156" w:after="156" w:line="360" w:lineRule="auto"/>
        <w:ind w:firstLine="480"/>
        <w:rPr>
          <w:rFonts w:hAnsi="宋体"/>
          <w:color w:val="auto"/>
          <w:highlight w:val="none"/>
        </w:rPr>
      </w:pPr>
      <w:r>
        <w:rPr>
          <w:rFonts w:hint="eastAsia" w:hAnsi="宋体"/>
          <w:color w:val="auto"/>
          <w:highlight w:val="none"/>
        </w:rPr>
        <w:t xml:space="preserve">珠江自西向东流经黄埔，河道处于咸淡水交合活动范围，属咸潮区域。黄埔境内珠江江面宽800—2200米，水深8—15米，平均流速每秒0.9米，平均流量每秒4326立方米。珠江南一支经北亭、官洲、新洲、深井、长洲河面，一支经沥滘南亭、穗石、新造至深井、长洲河面，汇于黄埔后流入狮子洋，为河水径流和海洋潮流作用潮汐汊道，受洪水和潮汐影响，潮差自外向内逐渐增加，黄埔潮差平均1.64米，最大3.38米，属不规则半日潮。落潮东南流向，流速0.9米/秒，最大1.5米/秒；涨潮西北流向，流速0.7米/秒。落潮时间长于涨潮。 [19] </w:t>
      </w:r>
    </w:p>
    <w:p>
      <w:pPr>
        <w:spacing w:before="156" w:after="156" w:line="360" w:lineRule="auto"/>
        <w:ind w:firstLine="480"/>
        <w:rPr>
          <w:rFonts w:hAnsi="宋体"/>
          <w:color w:val="auto"/>
          <w:highlight w:val="none"/>
        </w:rPr>
      </w:pPr>
      <w:r>
        <w:rPr>
          <w:rFonts w:hint="eastAsia" w:hAnsi="宋体"/>
          <w:color w:val="auto"/>
          <w:highlight w:val="none"/>
        </w:rPr>
        <w:t>东江为黄埔区东南界河，河宽500—700米，水深3—10米，平均流量每秒695立方米。</w:t>
      </w:r>
    </w:p>
    <w:p>
      <w:pPr>
        <w:pStyle w:val="3"/>
        <w:spacing w:before="156" w:after="156"/>
        <w:rPr>
          <w:color w:val="auto"/>
          <w:highlight w:val="none"/>
        </w:rPr>
      </w:pPr>
      <w:bookmarkStart w:id="14" w:name="_Toc11825"/>
      <w:r>
        <w:rPr>
          <w:rFonts w:hint="eastAsia"/>
          <w:color w:val="auto"/>
          <w:highlight w:val="none"/>
        </w:rPr>
        <w:t>1.3、项目建设背景</w:t>
      </w:r>
      <w:bookmarkEnd w:id="12"/>
      <w:bookmarkEnd w:id="13"/>
      <w:bookmarkEnd w:id="14"/>
    </w:p>
    <w:p>
      <w:pPr>
        <w:pStyle w:val="112"/>
        <w:spacing w:before="156" w:after="156"/>
        <w:ind w:firstLine="480"/>
        <w:rPr>
          <w:color w:val="auto"/>
          <w:highlight w:val="none"/>
        </w:rPr>
      </w:pPr>
      <w:r>
        <w:rPr>
          <w:rFonts w:hint="eastAsia"/>
          <w:color w:val="auto"/>
          <w:highlight w:val="none"/>
        </w:rPr>
        <w:t>近年来，随着城镇化的不断推进，城市建成区越来越大的同时，城市硬化面积增加，雨水吸、渗能力下降。城市建设导致严重的水利问题，湖泊、湿地遭到破坏，湖泊面积减少，天然湿地消失。水泥森林的出现，意味着排洪、滞洪、滞水能力大幅下降。城市建设挤占了原属于湖泊、湿地的空间，城市对水的吸纳能力大幅降低，自然循环遭到破坏。近年来，几乎所有城市都出现过地下水过度开采，“逢雨必涝、雨后即旱”的现象，“雨水留不住，用水靠外调”的情况。</w:t>
      </w:r>
    </w:p>
    <w:p>
      <w:pPr>
        <w:pStyle w:val="112"/>
        <w:spacing w:before="156" w:after="156"/>
        <w:ind w:firstLine="480"/>
        <w:rPr>
          <w:color w:val="auto"/>
          <w:highlight w:val="none"/>
        </w:rPr>
      </w:pPr>
      <w:r>
        <w:rPr>
          <w:rFonts w:hint="eastAsia"/>
          <w:color w:val="auto"/>
          <w:highlight w:val="none"/>
        </w:rPr>
        <w:t>低影响开发（LID），其核心是维持场地开发前后水文特征不变，包括径流总量、 峰值流量、 峰现时间等 （图1-1）。从水文循环角度，要维持径流总量不变，就要采取渗透、 储存等方式，实现开发后一定量的径流量不外排；要维持峰值流量不变，就要采取渗透、储存、调节等措施削减峰值、延缓峰值时间。</w:t>
      </w:r>
    </w:p>
    <w:p>
      <w:pPr>
        <w:spacing w:before="156" w:after="156" w:line="360" w:lineRule="auto"/>
        <w:ind w:firstLine="480"/>
        <w:contextualSpacing/>
        <w:jc w:val="center"/>
        <w:rPr>
          <w:rFonts w:hAnsi="宋体" w:cs="宋体"/>
          <w:color w:val="auto"/>
          <w:highlight w:val="none"/>
        </w:rPr>
      </w:pPr>
      <w:r>
        <w:rPr>
          <w:rFonts w:hint="eastAsia" w:hAnsi="宋体" w:cs="宋体"/>
          <w:color w:val="auto"/>
          <w:highlight w:val="none"/>
        </w:rPr>
        <w:drawing>
          <wp:inline distT="0" distB="0" distL="114300" distR="114300">
            <wp:extent cx="4914265" cy="2319020"/>
            <wp:effectExtent l="0" t="0" r="635" b="50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4918502" cy="2321433"/>
                    </a:xfrm>
                    <a:prstGeom prst="rect">
                      <a:avLst/>
                    </a:prstGeom>
                    <a:noFill/>
                    <a:ln w="9525">
                      <a:noFill/>
                    </a:ln>
                  </pic:spPr>
                </pic:pic>
              </a:graphicData>
            </a:graphic>
          </wp:inline>
        </w:drawing>
      </w:r>
    </w:p>
    <w:p>
      <w:pPr>
        <w:spacing w:before="156" w:after="156" w:line="360" w:lineRule="auto"/>
        <w:ind w:firstLine="482"/>
        <w:contextualSpacing/>
        <w:jc w:val="center"/>
        <w:rPr>
          <w:rFonts w:hAnsi="宋体" w:cs="宋体"/>
          <w:b/>
          <w:color w:val="auto"/>
          <w:highlight w:val="none"/>
        </w:rPr>
      </w:pPr>
      <w:r>
        <w:rPr>
          <w:rFonts w:hint="eastAsia" w:hAnsi="宋体" w:cs="宋体"/>
          <w:b/>
          <w:color w:val="auto"/>
          <w:highlight w:val="none"/>
        </w:rPr>
        <w:t>图1-1 低影响开发水文原理示意图</w:t>
      </w:r>
    </w:p>
    <w:p>
      <w:pPr>
        <w:pStyle w:val="112"/>
        <w:spacing w:before="156" w:after="156"/>
        <w:ind w:firstLine="480"/>
        <w:rPr>
          <w:color w:val="auto"/>
          <w:highlight w:val="none"/>
        </w:rPr>
      </w:pPr>
      <w:r>
        <w:rPr>
          <w:rFonts w:hint="eastAsia"/>
          <w:color w:val="auto"/>
          <w:highlight w:val="none"/>
        </w:rPr>
        <w:t>为贯彻落实习近平总书记讲话及中央城镇化工作会议精神，大力推进建设自然积存、自然渗透、自然净化的“海绵城市”，节约水资源，保护和改善城市生态环境，促进生态文明建设，依据《城镇排水与污水处理条例》、《国务院办公厅关于做好城市排水防涝设施建设工作的通知》（国办发〔2013〕23号）、《国务院关于加强城市基础设施建设的意见》（国发〔2013〕36号）等国家法规政策，根据广州市发布的《关于印发广州市海绵城市建设指标体系（试行）》的通知（穗水[2017]16号），满足以下指标：“海绵城市建设年径流总量控制率新建（含扩建、成片改造）、改建不低于70%的总体考核目标。”</w:t>
      </w:r>
    </w:p>
    <w:p>
      <w:pPr>
        <w:pStyle w:val="3"/>
        <w:spacing w:before="156" w:after="156"/>
        <w:rPr>
          <w:color w:val="auto"/>
          <w:highlight w:val="none"/>
        </w:rPr>
      </w:pPr>
      <w:bookmarkStart w:id="15" w:name="_Toc527731086"/>
      <w:bookmarkStart w:id="16" w:name="_Toc7903"/>
      <w:r>
        <w:rPr>
          <w:rFonts w:hint="eastAsia"/>
          <w:color w:val="auto"/>
          <w:highlight w:val="none"/>
        </w:rPr>
        <w:t>1.4、海绵城市设计依据</w:t>
      </w:r>
      <w:bookmarkEnd w:id="15"/>
      <w:bookmarkEnd w:id="16"/>
    </w:p>
    <w:p>
      <w:pPr>
        <w:spacing w:before="156" w:after="156" w:line="360" w:lineRule="auto"/>
        <w:ind w:left="480" w:hanging="480" w:hangingChars="200"/>
        <w:rPr>
          <w:color w:val="auto"/>
          <w:highlight w:val="none"/>
        </w:rPr>
      </w:pPr>
      <w:r>
        <w:rPr>
          <w:rFonts w:hint="eastAsia"/>
          <w:color w:val="auto"/>
          <w:highlight w:val="none"/>
        </w:rPr>
        <w:t>（1）《防洪标准》（GB50201-2014）</w:t>
      </w:r>
    </w:p>
    <w:p>
      <w:pPr>
        <w:spacing w:before="156" w:after="156" w:line="360" w:lineRule="auto"/>
        <w:ind w:left="480" w:hanging="480" w:hangingChars="200"/>
        <w:rPr>
          <w:color w:val="auto"/>
          <w:highlight w:val="none"/>
        </w:rPr>
      </w:pPr>
      <w:r>
        <w:rPr>
          <w:rFonts w:hint="eastAsia"/>
          <w:color w:val="auto"/>
          <w:highlight w:val="none"/>
        </w:rPr>
        <w:t>（2）《城市防洪工程设计规范》（GB/T50805-2012）</w:t>
      </w:r>
    </w:p>
    <w:p>
      <w:pPr>
        <w:spacing w:before="156" w:after="156" w:line="360" w:lineRule="auto"/>
        <w:ind w:left="480" w:hanging="480" w:hangingChars="200"/>
        <w:rPr>
          <w:color w:val="auto"/>
          <w:highlight w:val="none"/>
        </w:rPr>
      </w:pPr>
      <w:r>
        <w:rPr>
          <w:rFonts w:hint="eastAsia"/>
          <w:color w:val="auto"/>
          <w:highlight w:val="none"/>
        </w:rPr>
        <w:t>（3）《地表水环境质量标准》（GB3838-2002）</w:t>
      </w:r>
    </w:p>
    <w:p>
      <w:pPr>
        <w:spacing w:before="156" w:after="156" w:line="360" w:lineRule="auto"/>
        <w:ind w:left="480" w:hanging="480" w:hangingChars="200"/>
        <w:rPr>
          <w:color w:val="auto"/>
          <w:highlight w:val="none"/>
        </w:rPr>
      </w:pPr>
      <w:r>
        <w:rPr>
          <w:rFonts w:hint="eastAsia"/>
          <w:color w:val="auto"/>
          <w:highlight w:val="none"/>
        </w:rPr>
        <w:t>（4）《城市排水工程规划规范》（GB50318-2017）</w:t>
      </w:r>
    </w:p>
    <w:p>
      <w:pPr>
        <w:spacing w:before="156" w:after="156" w:line="360" w:lineRule="auto"/>
        <w:ind w:left="480" w:hanging="480" w:hangingChars="200"/>
        <w:rPr>
          <w:color w:val="auto"/>
          <w:highlight w:val="none"/>
        </w:rPr>
      </w:pPr>
      <w:r>
        <w:rPr>
          <w:rFonts w:hint="eastAsia"/>
          <w:color w:val="auto"/>
          <w:highlight w:val="none"/>
        </w:rPr>
        <w:t>（5）《室外排水设计规范》（GB50014-2006）（2016版）</w:t>
      </w:r>
    </w:p>
    <w:p>
      <w:pPr>
        <w:spacing w:before="156" w:after="156" w:line="360" w:lineRule="auto"/>
        <w:ind w:left="480" w:hanging="480" w:hangingChars="200"/>
        <w:rPr>
          <w:color w:val="auto"/>
          <w:highlight w:val="none"/>
        </w:rPr>
      </w:pPr>
      <w:r>
        <w:rPr>
          <w:rFonts w:hint="eastAsia"/>
          <w:color w:val="auto"/>
          <w:highlight w:val="none"/>
        </w:rPr>
        <w:t>（6）《城市工程管线综合规划规范》（GB50289-2016）</w:t>
      </w:r>
    </w:p>
    <w:p>
      <w:pPr>
        <w:spacing w:before="156" w:after="156" w:line="360" w:lineRule="auto"/>
        <w:ind w:left="480" w:hanging="480" w:hangingChars="200"/>
        <w:rPr>
          <w:color w:val="auto"/>
          <w:highlight w:val="none"/>
        </w:rPr>
      </w:pPr>
      <w:r>
        <w:rPr>
          <w:rFonts w:hint="eastAsia"/>
          <w:color w:val="auto"/>
          <w:highlight w:val="none"/>
        </w:rPr>
        <w:t>（7）《建筑与小区雨水控制及利用工程技术规范》（GB50400-2016）</w:t>
      </w:r>
    </w:p>
    <w:p>
      <w:pPr>
        <w:spacing w:before="156" w:after="156" w:line="360" w:lineRule="auto"/>
        <w:ind w:left="480" w:hanging="480" w:hangingChars="200"/>
        <w:rPr>
          <w:color w:val="auto"/>
          <w:highlight w:val="none"/>
        </w:rPr>
      </w:pPr>
      <w:r>
        <w:rPr>
          <w:rFonts w:hint="eastAsia"/>
          <w:color w:val="auto"/>
          <w:highlight w:val="none"/>
        </w:rPr>
        <w:t>（8）《城市水系规划导则》（SL431-2008）</w:t>
      </w:r>
    </w:p>
    <w:p>
      <w:pPr>
        <w:spacing w:before="156" w:after="156" w:line="360" w:lineRule="auto"/>
        <w:ind w:left="480" w:hanging="480" w:hangingChars="200"/>
        <w:rPr>
          <w:color w:val="auto"/>
          <w:highlight w:val="none"/>
        </w:rPr>
      </w:pPr>
      <w:r>
        <w:rPr>
          <w:rFonts w:hint="eastAsia"/>
          <w:color w:val="auto"/>
          <w:highlight w:val="none"/>
        </w:rPr>
        <w:t>（9）《城市水系规划规范》（GB50513-2009）（2016年版）</w:t>
      </w:r>
    </w:p>
    <w:p>
      <w:pPr>
        <w:spacing w:before="156" w:after="156" w:line="360" w:lineRule="auto"/>
        <w:ind w:left="480" w:hanging="480" w:hangingChars="200"/>
        <w:rPr>
          <w:color w:val="auto"/>
          <w:highlight w:val="none"/>
        </w:rPr>
      </w:pPr>
      <w:r>
        <w:rPr>
          <w:rFonts w:hint="eastAsia"/>
          <w:color w:val="auto"/>
          <w:highlight w:val="none"/>
        </w:rPr>
        <w:t>（10）《绿色建筑评价标准》GB/T50378-2019</w:t>
      </w:r>
    </w:p>
    <w:p>
      <w:pPr>
        <w:spacing w:before="156" w:after="156" w:line="360" w:lineRule="auto"/>
        <w:ind w:left="480" w:hanging="480" w:hangingChars="200"/>
        <w:rPr>
          <w:color w:val="auto"/>
          <w:highlight w:val="none"/>
        </w:rPr>
      </w:pPr>
      <w:r>
        <w:rPr>
          <w:rFonts w:hint="eastAsia"/>
          <w:color w:val="auto"/>
          <w:highlight w:val="none"/>
        </w:rPr>
        <w:t>（11）《水污染物排放限值》（DB44/26-2001）</w:t>
      </w:r>
    </w:p>
    <w:p>
      <w:pPr>
        <w:spacing w:before="156" w:after="156" w:line="360" w:lineRule="auto"/>
        <w:ind w:left="480" w:hanging="480" w:hangingChars="200"/>
        <w:rPr>
          <w:color w:val="auto"/>
          <w:highlight w:val="none"/>
        </w:rPr>
      </w:pPr>
      <w:r>
        <w:rPr>
          <w:rFonts w:hint="eastAsia"/>
          <w:color w:val="auto"/>
          <w:highlight w:val="none"/>
        </w:rPr>
        <w:t>（12）《海绵城市建设技术指南—低影响开发雨水系统构建》</w:t>
      </w:r>
    </w:p>
    <w:p>
      <w:pPr>
        <w:spacing w:before="156" w:after="156" w:line="360" w:lineRule="auto"/>
        <w:ind w:left="480" w:hanging="480" w:hangingChars="200"/>
        <w:rPr>
          <w:color w:val="auto"/>
          <w:highlight w:val="none"/>
        </w:rPr>
      </w:pPr>
      <w:r>
        <w:rPr>
          <w:rFonts w:hint="eastAsia"/>
          <w:color w:val="auto"/>
          <w:highlight w:val="none"/>
        </w:rPr>
        <w:t>（13）《低影响开发雨水综合利用技术规范》（SZDB/Z 145-2015）</w:t>
      </w:r>
    </w:p>
    <w:p>
      <w:pPr>
        <w:spacing w:before="156" w:after="156" w:line="360" w:lineRule="auto"/>
        <w:ind w:left="480" w:hanging="480" w:hangingChars="200"/>
        <w:rPr>
          <w:color w:val="auto"/>
          <w:highlight w:val="none"/>
        </w:rPr>
      </w:pPr>
      <w:r>
        <w:rPr>
          <w:rFonts w:hint="eastAsia"/>
          <w:color w:val="auto"/>
          <w:highlight w:val="none"/>
        </w:rPr>
        <w:t>（14）《低影响开发雨水控制及利用工程设计规范》（DBJ/T45-013-2016）</w:t>
      </w:r>
    </w:p>
    <w:p>
      <w:pPr>
        <w:spacing w:before="156" w:after="156" w:line="360" w:lineRule="auto"/>
        <w:ind w:left="480" w:hanging="480" w:hangingChars="200"/>
        <w:rPr>
          <w:color w:val="auto"/>
          <w:highlight w:val="none"/>
        </w:rPr>
      </w:pPr>
      <w:r>
        <w:rPr>
          <w:rFonts w:hint="eastAsia"/>
          <w:color w:val="auto"/>
          <w:highlight w:val="none"/>
        </w:rPr>
        <w:t>（15）《城市道路与开放空间低影响开放雨水设施》15MR105</w:t>
      </w:r>
    </w:p>
    <w:p>
      <w:pPr>
        <w:spacing w:before="156" w:after="156" w:line="360" w:lineRule="auto"/>
        <w:ind w:left="480" w:hanging="480" w:hangingChars="200"/>
        <w:rPr>
          <w:color w:val="auto"/>
          <w:highlight w:val="none"/>
        </w:rPr>
      </w:pPr>
      <w:r>
        <w:rPr>
          <w:rFonts w:hint="eastAsia"/>
          <w:color w:val="auto"/>
          <w:highlight w:val="none"/>
        </w:rPr>
        <w:t>（16）《城市道路工程设计规范》（CJJ37-2012）2016年版</w:t>
      </w:r>
    </w:p>
    <w:p>
      <w:pPr>
        <w:spacing w:before="156" w:after="156" w:line="360" w:lineRule="auto"/>
        <w:ind w:left="480" w:hanging="480" w:hangingChars="200"/>
        <w:rPr>
          <w:color w:val="auto"/>
          <w:highlight w:val="none"/>
        </w:rPr>
      </w:pPr>
      <w:r>
        <w:rPr>
          <w:rFonts w:hint="eastAsia"/>
          <w:color w:val="auto"/>
          <w:highlight w:val="none"/>
        </w:rPr>
        <w:t>（17）《城市园林绿化评价标准》（GB/T 50563-2010）</w:t>
      </w:r>
    </w:p>
    <w:p>
      <w:pPr>
        <w:spacing w:before="156" w:after="156" w:line="360" w:lineRule="auto"/>
        <w:ind w:left="480" w:hanging="480" w:hangingChars="200"/>
        <w:rPr>
          <w:color w:val="auto"/>
          <w:highlight w:val="none"/>
        </w:rPr>
      </w:pPr>
      <w:r>
        <w:rPr>
          <w:rFonts w:hint="eastAsia"/>
          <w:color w:val="auto"/>
          <w:highlight w:val="none"/>
        </w:rPr>
        <w:t>（18）《园林绿化工程施工及验收规范》（CJJ82-2012）</w:t>
      </w:r>
    </w:p>
    <w:p>
      <w:pPr>
        <w:spacing w:before="156" w:after="156" w:line="360" w:lineRule="auto"/>
        <w:ind w:left="480" w:hanging="480" w:hangingChars="200"/>
        <w:rPr>
          <w:color w:val="auto"/>
          <w:highlight w:val="none"/>
        </w:rPr>
      </w:pPr>
      <w:r>
        <w:rPr>
          <w:rFonts w:hint="eastAsia"/>
          <w:color w:val="auto"/>
          <w:highlight w:val="none"/>
        </w:rPr>
        <w:t>（19）《种植屋面工程技术规范》（JGJ 155-2013）</w:t>
      </w:r>
    </w:p>
    <w:p>
      <w:pPr>
        <w:spacing w:before="156" w:after="156" w:line="360" w:lineRule="auto"/>
        <w:ind w:left="480" w:hanging="480" w:hangingChars="200"/>
        <w:rPr>
          <w:color w:val="auto"/>
          <w:highlight w:val="none"/>
        </w:rPr>
      </w:pPr>
      <w:r>
        <w:rPr>
          <w:rFonts w:hint="eastAsia"/>
          <w:color w:val="auto"/>
          <w:highlight w:val="none"/>
        </w:rPr>
        <w:t>（20）《透水砖路面技术规程》（CJJ/T188-2012）</w:t>
      </w:r>
    </w:p>
    <w:p>
      <w:pPr>
        <w:spacing w:before="156" w:after="156" w:line="360" w:lineRule="auto"/>
        <w:ind w:left="480" w:hanging="480" w:hangingChars="200"/>
        <w:rPr>
          <w:color w:val="auto"/>
          <w:highlight w:val="none"/>
        </w:rPr>
      </w:pPr>
      <w:r>
        <w:rPr>
          <w:rFonts w:hint="eastAsia"/>
          <w:color w:val="auto"/>
          <w:highlight w:val="none"/>
        </w:rPr>
        <w:t>（21）《</w:t>
      </w:r>
      <w:r>
        <w:rPr>
          <w:rFonts w:hint="eastAsia" w:hAnsi="宋体"/>
          <w:color w:val="auto"/>
          <w:highlight w:val="none"/>
        </w:rPr>
        <w:t>广州市海绵城市规划设计导则</w:t>
      </w:r>
      <w:r>
        <w:rPr>
          <w:rFonts w:hint="eastAsia"/>
          <w:color w:val="auto"/>
          <w:highlight w:val="none"/>
        </w:rPr>
        <w:t>》</w:t>
      </w:r>
    </w:p>
    <w:p>
      <w:pPr>
        <w:spacing w:before="156" w:after="156" w:line="360" w:lineRule="auto"/>
        <w:ind w:left="480" w:hanging="480" w:hangingChars="200"/>
        <w:rPr>
          <w:color w:val="auto"/>
          <w:highlight w:val="none"/>
        </w:rPr>
      </w:pPr>
      <w:r>
        <w:rPr>
          <w:rFonts w:hint="eastAsia"/>
          <w:color w:val="auto"/>
          <w:highlight w:val="none"/>
        </w:rPr>
        <w:t>（22）《关于印发广州市海绵城市建设指标体系（试行）》的通知（穗水[2017]16号）</w:t>
      </w:r>
    </w:p>
    <w:p>
      <w:pPr>
        <w:spacing w:before="156" w:after="156" w:line="360" w:lineRule="auto"/>
        <w:ind w:left="480" w:hanging="480" w:hangingChars="200"/>
        <w:rPr>
          <w:color w:val="auto"/>
          <w:highlight w:val="none"/>
        </w:rPr>
      </w:pPr>
      <w:r>
        <w:rPr>
          <w:rFonts w:hint="eastAsia"/>
          <w:color w:val="auto"/>
          <w:highlight w:val="none"/>
        </w:rPr>
        <w:t>（23）《海绵城市建设评价标准》GB/T51345-2018</w:t>
      </w:r>
    </w:p>
    <w:p>
      <w:pPr>
        <w:pStyle w:val="2"/>
        <w:spacing w:before="156" w:after="156"/>
        <w:rPr>
          <w:color w:val="auto"/>
          <w:highlight w:val="none"/>
        </w:rPr>
      </w:pPr>
      <w:bookmarkStart w:id="17" w:name="_Toc29615"/>
      <w:bookmarkStart w:id="18" w:name="_Toc25961"/>
      <w:bookmarkStart w:id="19" w:name="_Toc1733383"/>
      <w:r>
        <w:rPr>
          <w:rFonts w:hint="eastAsia"/>
          <w:color w:val="auto"/>
          <w:highlight w:val="none"/>
        </w:rPr>
        <w:t>2、海绵城市的建设目标</w:t>
      </w:r>
      <w:bookmarkEnd w:id="17"/>
      <w:bookmarkEnd w:id="18"/>
      <w:bookmarkEnd w:id="19"/>
    </w:p>
    <w:p>
      <w:pPr>
        <w:pStyle w:val="112"/>
        <w:spacing w:before="156" w:after="156"/>
        <w:ind w:firstLine="480"/>
        <w:rPr>
          <w:color w:val="auto"/>
          <w:highlight w:val="none"/>
        </w:rPr>
      </w:pPr>
      <w:r>
        <w:rPr>
          <w:rFonts w:hint="eastAsia"/>
          <w:color w:val="auto"/>
          <w:highlight w:val="none"/>
        </w:rPr>
        <w:t xml:space="preserve">根据《海绵城市建设技术指南——低影响开发雨水系统构建》，广州市属于年径流总量控制率的V区，年径流总量控制率应为（60%≤α≤85%）（图2-1）。 </w:t>
      </w:r>
    </w:p>
    <w:p>
      <w:pPr>
        <w:spacing w:before="156" w:after="156" w:line="360" w:lineRule="auto"/>
        <w:ind w:firstLine="480"/>
        <w:jc w:val="center"/>
        <w:rPr>
          <w:rFonts w:hAnsi="宋体" w:cs="宋体"/>
          <w:color w:val="auto"/>
          <w:highlight w:val="none"/>
        </w:rPr>
      </w:pPr>
      <w:r>
        <w:rPr>
          <w:color w:val="auto"/>
          <w:highlight w:val="none"/>
        </w:rPr>
        <w:drawing>
          <wp:inline distT="0" distB="0" distL="114300" distR="114300">
            <wp:extent cx="4515485" cy="3090545"/>
            <wp:effectExtent l="0" t="0" r="18415" b="146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4515485" cy="3090545"/>
                    </a:xfrm>
                    <a:prstGeom prst="rect">
                      <a:avLst/>
                    </a:prstGeom>
                    <a:noFill/>
                    <a:ln w="9525">
                      <a:noFill/>
                    </a:ln>
                  </pic:spPr>
                </pic:pic>
              </a:graphicData>
            </a:graphic>
          </wp:inline>
        </w:drawing>
      </w:r>
    </w:p>
    <w:p>
      <w:pPr>
        <w:spacing w:before="156" w:after="156"/>
        <w:ind w:firstLine="482"/>
        <w:jc w:val="center"/>
        <w:rPr>
          <w:rFonts w:hAnsi="宋体" w:cs="宋体"/>
          <w:b/>
          <w:color w:val="auto"/>
          <w:highlight w:val="none"/>
        </w:rPr>
      </w:pPr>
      <w:r>
        <w:rPr>
          <w:rFonts w:hint="eastAsia" w:hAnsi="宋体" w:cs="宋体"/>
          <w:b/>
          <w:color w:val="auto"/>
          <w:highlight w:val="none"/>
        </w:rPr>
        <w:t>图2-1</w:t>
      </w:r>
      <w:r>
        <w:rPr>
          <w:rFonts w:hAnsi="宋体" w:cs="宋体"/>
          <w:b/>
          <w:color w:val="auto"/>
          <w:highlight w:val="none"/>
        </w:rPr>
        <w:t xml:space="preserve"> 我国大陆地区年径流总量控制率分区图</w:t>
      </w:r>
    </w:p>
    <w:p>
      <w:pPr>
        <w:tabs>
          <w:tab w:val="left" w:pos="851"/>
        </w:tabs>
        <w:spacing w:before="156" w:after="156" w:line="360" w:lineRule="auto"/>
        <w:ind w:firstLine="480"/>
        <w:rPr>
          <w:rFonts w:hAnsi="宋体"/>
          <w:color w:val="auto"/>
          <w:highlight w:val="none"/>
        </w:rPr>
      </w:pPr>
      <w:r>
        <w:rPr>
          <w:rFonts w:hint="eastAsia" w:hAnsi="宋体"/>
          <w:color w:val="auto"/>
          <w:highlight w:val="none"/>
        </w:rPr>
        <w:t>根据《广州市海绵城市规划设计导则》中广州市年径流总量控制率与设计雨量之间的关系曲线如下图所示：</w:t>
      </w:r>
    </w:p>
    <w:p>
      <w:pPr>
        <w:spacing w:before="156" w:after="156" w:line="360" w:lineRule="auto"/>
        <w:ind w:firstLine="480"/>
        <w:jc w:val="center"/>
        <w:rPr>
          <w:color w:val="auto"/>
          <w:highlight w:val="none"/>
        </w:rPr>
      </w:pPr>
      <w:r>
        <w:rPr>
          <w:color w:val="auto"/>
          <w:highlight w:val="none"/>
        </w:rPr>
        <w:drawing>
          <wp:inline distT="0" distB="0" distL="114300" distR="114300">
            <wp:extent cx="5209540" cy="3443605"/>
            <wp:effectExtent l="0" t="0" r="10160"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5209540" cy="3443605"/>
                    </a:xfrm>
                    <a:prstGeom prst="rect">
                      <a:avLst/>
                    </a:prstGeom>
                    <a:noFill/>
                    <a:ln w="9525">
                      <a:noFill/>
                    </a:ln>
                  </pic:spPr>
                </pic:pic>
              </a:graphicData>
            </a:graphic>
          </wp:inline>
        </w:drawing>
      </w:r>
    </w:p>
    <w:p>
      <w:pPr>
        <w:spacing w:before="156" w:after="156"/>
        <w:ind w:firstLine="482"/>
        <w:jc w:val="center"/>
        <w:rPr>
          <w:rFonts w:hAnsi="宋体" w:cs="宋体"/>
          <w:b/>
          <w:color w:val="auto"/>
          <w:highlight w:val="none"/>
        </w:rPr>
      </w:pPr>
      <w:r>
        <w:rPr>
          <w:rFonts w:hint="eastAsia" w:hAnsi="宋体" w:cs="宋体"/>
          <w:b/>
          <w:color w:val="auto"/>
          <w:highlight w:val="none"/>
        </w:rPr>
        <w:t xml:space="preserve">图2-2 广州市年径流总量控制率与设计雨量之间的关系 </w:t>
      </w:r>
    </w:p>
    <w:p>
      <w:pPr>
        <w:spacing w:before="156" w:after="156" w:line="360" w:lineRule="auto"/>
        <w:ind w:firstLine="482"/>
        <w:jc w:val="center"/>
        <w:rPr>
          <w:rFonts w:hAnsi="宋体"/>
          <w:color w:val="auto"/>
          <w:highlight w:val="none"/>
        </w:rPr>
      </w:pPr>
      <w:r>
        <w:rPr>
          <w:rFonts w:hint="eastAsia" w:hAnsi="宋体" w:cs="宋体"/>
          <w:b/>
          <w:bCs/>
          <w:color w:val="auto"/>
          <w:highlight w:val="none"/>
        </w:rPr>
        <w:t>表2-1年径流总量控制率对应设计降雨量</w:t>
      </w:r>
    </w:p>
    <w:tbl>
      <w:tblPr>
        <w:tblStyle w:val="43"/>
        <w:tblW w:w="85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46"/>
        <w:gridCol w:w="879"/>
        <w:gridCol w:w="879"/>
        <w:gridCol w:w="879"/>
        <w:gridCol w:w="879"/>
        <w:gridCol w:w="879"/>
        <w:gridCol w:w="879"/>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71" w:hRule="exact"/>
          <w:jc w:val="center"/>
        </w:trPr>
        <w:tc>
          <w:tcPr>
            <w:tcW w:w="2446" w:type="dxa"/>
            <w:vAlign w:val="center"/>
          </w:tcPr>
          <w:p>
            <w:pPr>
              <w:pStyle w:val="51"/>
              <w:spacing w:beforeLines="0" w:afterLines="0"/>
              <w:rPr>
                <w:color w:val="auto"/>
                <w:highlight w:val="none"/>
              </w:rPr>
            </w:pPr>
            <w:r>
              <w:rPr>
                <w:color w:val="auto"/>
                <w:highlight w:val="none"/>
              </w:rPr>
              <w:t>年径流总量控制率</w:t>
            </w:r>
          </w:p>
        </w:tc>
        <w:tc>
          <w:tcPr>
            <w:tcW w:w="879" w:type="dxa"/>
            <w:vAlign w:val="center"/>
          </w:tcPr>
          <w:p>
            <w:pPr>
              <w:pStyle w:val="51"/>
              <w:spacing w:beforeLines="0" w:afterLines="0"/>
              <w:rPr>
                <w:color w:val="auto"/>
                <w:highlight w:val="none"/>
              </w:rPr>
            </w:pPr>
            <w:r>
              <w:rPr>
                <w:color w:val="auto"/>
                <w:highlight w:val="none"/>
              </w:rPr>
              <w:t>50%</w:t>
            </w:r>
          </w:p>
        </w:tc>
        <w:tc>
          <w:tcPr>
            <w:tcW w:w="879" w:type="dxa"/>
            <w:vAlign w:val="center"/>
          </w:tcPr>
          <w:p>
            <w:pPr>
              <w:pStyle w:val="51"/>
              <w:spacing w:beforeLines="0" w:afterLines="0"/>
              <w:rPr>
                <w:color w:val="auto"/>
                <w:highlight w:val="none"/>
              </w:rPr>
            </w:pPr>
            <w:r>
              <w:rPr>
                <w:color w:val="auto"/>
                <w:highlight w:val="none"/>
              </w:rPr>
              <w:t>60%</w:t>
            </w:r>
          </w:p>
        </w:tc>
        <w:tc>
          <w:tcPr>
            <w:tcW w:w="879" w:type="dxa"/>
            <w:vAlign w:val="center"/>
          </w:tcPr>
          <w:p>
            <w:pPr>
              <w:pStyle w:val="51"/>
              <w:spacing w:beforeLines="0" w:afterLines="0"/>
              <w:rPr>
                <w:color w:val="auto"/>
                <w:highlight w:val="none"/>
              </w:rPr>
            </w:pPr>
            <w:r>
              <w:rPr>
                <w:color w:val="auto"/>
                <w:highlight w:val="none"/>
              </w:rPr>
              <w:t>65%</w:t>
            </w:r>
          </w:p>
        </w:tc>
        <w:tc>
          <w:tcPr>
            <w:tcW w:w="879" w:type="dxa"/>
            <w:vAlign w:val="center"/>
          </w:tcPr>
          <w:p>
            <w:pPr>
              <w:pStyle w:val="51"/>
              <w:spacing w:beforeLines="0" w:afterLines="0"/>
              <w:rPr>
                <w:b/>
                <w:bCs/>
                <w:color w:val="auto"/>
                <w:highlight w:val="none"/>
              </w:rPr>
            </w:pPr>
            <w:r>
              <w:rPr>
                <w:b/>
                <w:bCs/>
                <w:color w:val="auto"/>
                <w:highlight w:val="none"/>
              </w:rPr>
              <w:t>70%</w:t>
            </w:r>
          </w:p>
        </w:tc>
        <w:tc>
          <w:tcPr>
            <w:tcW w:w="879" w:type="dxa"/>
            <w:vAlign w:val="center"/>
          </w:tcPr>
          <w:p>
            <w:pPr>
              <w:pStyle w:val="51"/>
              <w:spacing w:beforeLines="0" w:afterLines="0"/>
              <w:rPr>
                <w:color w:val="auto"/>
                <w:highlight w:val="none"/>
              </w:rPr>
            </w:pPr>
            <w:r>
              <w:rPr>
                <w:color w:val="auto"/>
                <w:highlight w:val="none"/>
              </w:rPr>
              <w:t>75%</w:t>
            </w:r>
          </w:p>
        </w:tc>
        <w:tc>
          <w:tcPr>
            <w:tcW w:w="879" w:type="dxa"/>
            <w:vAlign w:val="center"/>
          </w:tcPr>
          <w:p>
            <w:pPr>
              <w:pStyle w:val="51"/>
              <w:spacing w:beforeLines="0" w:afterLines="0"/>
              <w:rPr>
                <w:color w:val="auto"/>
                <w:highlight w:val="none"/>
              </w:rPr>
            </w:pPr>
            <w:r>
              <w:rPr>
                <w:color w:val="auto"/>
                <w:highlight w:val="none"/>
              </w:rPr>
              <w:t>80%</w:t>
            </w:r>
          </w:p>
        </w:tc>
        <w:tc>
          <w:tcPr>
            <w:tcW w:w="879" w:type="dxa"/>
            <w:vAlign w:val="center"/>
          </w:tcPr>
          <w:p>
            <w:pPr>
              <w:pStyle w:val="51"/>
              <w:spacing w:beforeLines="0" w:afterLines="0"/>
              <w:rPr>
                <w:color w:val="auto"/>
                <w:highlight w:val="none"/>
              </w:rPr>
            </w:pPr>
            <w:r>
              <w:rPr>
                <w:color w:val="auto"/>
                <w:highlight w:val="none"/>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71" w:hRule="exact"/>
          <w:jc w:val="center"/>
        </w:trPr>
        <w:tc>
          <w:tcPr>
            <w:tcW w:w="2446" w:type="dxa"/>
            <w:vAlign w:val="center"/>
          </w:tcPr>
          <w:p>
            <w:pPr>
              <w:pStyle w:val="51"/>
              <w:spacing w:beforeLines="0" w:afterLines="0"/>
              <w:rPr>
                <w:color w:val="auto"/>
                <w:highlight w:val="none"/>
              </w:rPr>
            </w:pPr>
            <w:r>
              <w:rPr>
                <w:color w:val="auto"/>
                <w:highlight w:val="none"/>
              </w:rPr>
              <w:t>设计降雨量（mm）</w:t>
            </w:r>
          </w:p>
        </w:tc>
        <w:tc>
          <w:tcPr>
            <w:tcW w:w="879" w:type="dxa"/>
            <w:vAlign w:val="center"/>
          </w:tcPr>
          <w:p>
            <w:pPr>
              <w:pStyle w:val="51"/>
              <w:spacing w:beforeLines="0" w:afterLines="0"/>
              <w:rPr>
                <w:color w:val="auto"/>
                <w:highlight w:val="none"/>
              </w:rPr>
            </w:pPr>
            <w:r>
              <w:rPr>
                <w:color w:val="auto"/>
                <w:highlight w:val="none"/>
              </w:rPr>
              <w:t>14.3</w:t>
            </w:r>
          </w:p>
        </w:tc>
        <w:tc>
          <w:tcPr>
            <w:tcW w:w="879" w:type="dxa"/>
            <w:vAlign w:val="center"/>
          </w:tcPr>
          <w:p>
            <w:pPr>
              <w:pStyle w:val="51"/>
              <w:spacing w:beforeLines="0" w:afterLines="0"/>
              <w:rPr>
                <w:color w:val="auto"/>
                <w:highlight w:val="none"/>
              </w:rPr>
            </w:pPr>
            <w:r>
              <w:rPr>
                <w:color w:val="auto"/>
                <w:highlight w:val="none"/>
              </w:rPr>
              <w:t>18.9</w:t>
            </w:r>
          </w:p>
        </w:tc>
        <w:tc>
          <w:tcPr>
            <w:tcW w:w="879" w:type="dxa"/>
            <w:vAlign w:val="center"/>
          </w:tcPr>
          <w:p>
            <w:pPr>
              <w:pStyle w:val="51"/>
              <w:spacing w:beforeLines="0" w:afterLines="0"/>
              <w:rPr>
                <w:color w:val="auto"/>
                <w:highlight w:val="none"/>
              </w:rPr>
            </w:pPr>
            <w:r>
              <w:rPr>
                <w:color w:val="auto"/>
                <w:highlight w:val="none"/>
              </w:rPr>
              <w:t>22.1</w:t>
            </w:r>
          </w:p>
        </w:tc>
        <w:tc>
          <w:tcPr>
            <w:tcW w:w="879" w:type="dxa"/>
            <w:vAlign w:val="center"/>
          </w:tcPr>
          <w:p>
            <w:pPr>
              <w:pStyle w:val="51"/>
              <w:spacing w:beforeLines="0" w:afterLines="0"/>
              <w:rPr>
                <w:b/>
                <w:bCs/>
                <w:color w:val="auto"/>
                <w:highlight w:val="none"/>
              </w:rPr>
            </w:pPr>
            <w:r>
              <w:rPr>
                <w:b/>
                <w:bCs/>
                <w:color w:val="auto"/>
                <w:highlight w:val="none"/>
              </w:rPr>
              <w:t>25.8</w:t>
            </w:r>
          </w:p>
        </w:tc>
        <w:tc>
          <w:tcPr>
            <w:tcW w:w="879" w:type="dxa"/>
            <w:vAlign w:val="center"/>
          </w:tcPr>
          <w:p>
            <w:pPr>
              <w:pStyle w:val="51"/>
              <w:spacing w:beforeLines="0" w:afterLines="0"/>
              <w:rPr>
                <w:color w:val="auto"/>
                <w:highlight w:val="none"/>
              </w:rPr>
            </w:pPr>
            <w:r>
              <w:rPr>
                <w:color w:val="auto"/>
                <w:highlight w:val="none"/>
              </w:rPr>
              <w:t>30.3</w:t>
            </w:r>
          </w:p>
        </w:tc>
        <w:tc>
          <w:tcPr>
            <w:tcW w:w="879" w:type="dxa"/>
            <w:vAlign w:val="center"/>
          </w:tcPr>
          <w:p>
            <w:pPr>
              <w:pStyle w:val="51"/>
              <w:spacing w:beforeLines="0" w:afterLines="0"/>
              <w:rPr>
                <w:color w:val="auto"/>
                <w:highlight w:val="none"/>
              </w:rPr>
            </w:pPr>
            <w:r>
              <w:rPr>
                <w:color w:val="auto"/>
                <w:highlight w:val="none"/>
              </w:rPr>
              <w:t>36.0</w:t>
            </w:r>
          </w:p>
        </w:tc>
        <w:tc>
          <w:tcPr>
            <w:tcW w:w="879" w:type="dxa"/>
            <w:vAlign w:val="center"/>
          </w:tcPr>
          <w:p>
            <w:pPr>
              <w:pStyle w:val="51"/>
              <w:spacing w:beforeLines="0" w:afterLines="0"/>
              <w:rPr>
                <w:color w:val="auto"/>
                <w:highlight w:val="none"/>
              </w:rPr>
            </w:pPr>
            <w:r>
              <w:rPr>
                <w:color w:val="auto"/>
                <w:highlight w:val="none"/>
              </w:rPr>
              <w:t>43.7</w:t>
            </w:r>
          </w:p>
        </w:tc>
      </w:tr>
    </w:tbl>
    <w:p>
      <w:pPr>
        <w:spacing w:before="156" w:after="156" w:line="360" w:lineRule="auto"/>
        <w:ind w:firstLine="480"/>
        <w:rPr>
          <w:rFonts w:hAnsi="宋体" w:cs="宋体"/>
          <w:color w:val="auto"/>
          <w:highlight w:val="none"/>
        </w:rPr>
      </w:pPr>
      <w:r>
        <w:rPr>
          <w:rFonts w:hint="eastAsia" w:hAnsi="宋体" w:cs="宋体"/>
          <w:color w:val="auto"/>
          <w:highlight w:val="none"/>
        </w:rPr>
        <w:t>注：数据摘自《广州市海绵城市专项规划》。</w:t>
      </w:r>
    </w:p>
    <w:p>
      <w:pPr>
        <w:tabs>
          <w:tab w:val="left" w:pos="851"/>
        </w:tabs>
        <w:spacing w:before="156" w:after="156" w:line="360" w:lineRule="auto"/>
        <w:ind w:firstLine="480"/>
        <w:rPr>
          <w:rFonts w:hAnsi="宋体"/>
          <w:color w:val="auto"/>
          <w:highlight w:val="none"/>
        </w:rPr>
      </w:pPr>
      <w:r>
        <w:rPr>
          <w:rFonts w:hint="eastAsia" w:hAnsi="宋体"/>
          <w:color w:val="auto"/>
          <w:highlight w:val="none"/>
        </w:rPr>
        <w:t>根据《关于印发广州市海绵城市建设指标体系（试行）》的通知（穗水[2017]16号）规定，建筑与小区系统中，新建（含扩建、成片改造）、改建项目的海绵城市总体控制指标如下表所示。</w:t>
      </w:r>
    </w:p>
    <w:p>
      <w:pPr>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表2-2  海绵城市总体控制指标</w:t>
      </w:r>
    </w:p>
    <w:p>
      <w:pPr>
        <w:spacing w:before="156" w:after="156" w:line="360" w:lineRule="auto"/>
        <w:ind w:firstLine="480"/>
        <w:jc w:val="center"/>
        <w:rPr>
          <w:rFonts w:hAnsi="宋体" w:cs="宋体"/>
          <w:color w:val="auto"/>
          <w:highlight w:val="none"/>
        </w:rPr>
      </w:pPr>
      <w:r>
        <w:rPr>
          <w:color w:val="auto"/>
          <w:highlight w:val="none"/>
        </w:rPr>
        <w:drawing>
          <wp:inline distT="0" distB="0" distL="114300" distR="114300">
            <wp:extent cx="4026535" cy="4682490"/>
            <wp:effectExtent l="0" t="0" r="12065"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4026535" cy="4682490"/>
                    </a:xfrm>
                    <a:prstGeom prst="rect">
                      <a:avLst/>
                    </a:prstGeom>
                    <a:noFill/>
                    <a:ln w="9525">
                      <a:noFill/>
                    </a:ln>
                  </pic:spPr>
                </pic:pic>
              </a:graphicData>
            </a:graphic>
          </wp:inline>
        </w:drawing>
      </w:r>
    </w:p>
    <w:p>
      <w:pPr>
        <w:tabs>
          <w:tab w:val="left" w:pos="851"/>
        </w:tabs>
        <w:spacing w:before="156" w:after="156" w:line="360" w:lineRule="auto"/>
        <w:ind w:firstLine="480"/>
        <w:rPr>
          <w:color w:val="auto"/>
          <w:highlight w:val="none"/>
        </w:rPr>
      </w:pPr>
      <w:bookmarkStart w:id="20" w:name="_Toc1733384"/>
      <w:r>
        <w:rPr>
          <w:rFonts w:hint="eastAsia"/>
          <w:color w:val="auto"/>
          <w:highlight w:val="none"/>
        </w:rPr>
        <w:t>根据《广州市海绵城市专项规划》（2016-2030），广州市海绵城市建设分区年径流总量控制指标分解图可知，本项目位于广州市海绵控制分区黄埔片区05-06-01海绵分区，年径流总量控制率为77%，对应设计降雨量为32.50mm。</w:t>
      </w:r>
    </w:p>
    <w:p>
      <w:pPr>
        <w:tabs>
          <w:tab w:val="left" w:pos="851"/>
        </w:tabs>
        <w:spacing w:before="156" w:after="156" w:line="360" w:lineRule="auto"/>
        <w:ind w:firstLine="0" w:firstLineChars="0"/>
        <w:jc w:val="center"/>
        <w:rPr>
          <w:color w:val="auto"/>
          <w:highlight w:val="none"/>
        </w:rPr>
      </w:pPr>
      <w:r>
        <w:rPr>
          <w:color w:val="auto"/>
          <w:highlight w:val="none"/>
        </w:rPr>
        <w:drawing>
          <wp:inline distT="0" distB="0" distL="114300" distR="114300">
            <wp:extent cx="4953000" cy="7534275"/>
            <wp:effectExtent l="0" t="0" r="0" b="952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7"/>
                    <a:stretch>
                      <a:fillRect/>
                    </a:stretch>
                  </pic:blipFill>
                  <pic:spPr>
                    <a:xfrm>
                      <a:off x="0" y="0"/>
                      <a:ext cx="4953000" cy="7534275"/>
                    </a:xfrm>
                    <a:prstGeom prst="rect">
                      <a:avLst/>
                    </a:prstGeom>
                    <a:noFill/>
                    <a:ln w="9525">
                      <a:noFill/>
                    </a:ln>
                  </pic:spPr>
                </pic:pic>
              </a:graphicData>
            </a:graphic>
          </wp:inline>
        </w:drawing>
      </w:r>
    </w:p>
    <w:p>
      <w:pPr>
        <w:tabs>
          <w:tab w:val="left" w:pos="851"/>
        </w:tabs>
        <w:spacing w:before="156" w:after="156" w:line="360" w:lineRule="auto"/>
        <w:ind w:firstLine="480"/>
        <w:rPr>
          <w:rFonts w:hAnsi="宋体"/>
          <w:color w:val="auto"/>
          <w:highlight w:val="none"/>
        </w:rPr>
      </w:pPr>
      <w:r>
        <w:rPr>
          <w:rFonts w:hint="eastAsia" w:hAnsi="宋体"/>
          <w:color w:val="auto"/>
          <w:highlight w:val="none"/>
        </w:rPr>
        <w:t>同时，根据本项目规划设计条件，本项目海绵城市规划建设目标如下表所示：</w:t>
      </w:r>
    </w:p>
    <w:p>
      <w:pPr>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表2-3  建设项目海绵设施建设目标表</w:t>
      </w:r>
    </w:p>
    <w:tbl>
      <w:tblPr>
        <w:tblStyle w:val="42"/>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5"/>
        <w:gridCol w:w="998"/>
        <w:gridCol w:w="3858"/>
        <w:gridCol w:w="1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5" w:type="dxa"/>
          </w:tcPr>
          <w:p>
            <w:pPr>
              <w:spacing w:before="156" w:after="156" w:line="240" w:lineRule="auto"/>
              <w:ind w:firstLine="0" w:firstLineChars="0"/>
              <w:jc w:val="center"/>
              <w:rPr>
                <w:rFonts w:hAnsi="宋体"/>
                <w:color w:val="auto"/>
                <w:highlight w:val="none"/>
              </w:rPr>
            </w:pPr>
            <w:r>
              <w:rPr>
                <w:rFonts w:hint="eastAsia" w:hAnsi="宋体"/>
                <w:color w:val="auto"/>
                <w:highlight w:val="none"/>
              </w:rPr>
              <w:t>指标类型</w:t>
            </w:r>
          </w:p>
        </w:tc>
        <w:tc>
          <w:tcPr>
            <w:tcW w:w="998" w:type="dxa"/>
          </w:tcPr>
          <w:p>
            <w:pPr>
              <w:spacing w:before="156" w:after="156" w:line="240" w:lineRule="auto"/>
              <w:ind w:firstLine="0" w:firstLineChars="0"/>
              <w:jc w:val="center"/>
              <w:rPr>
                <w:rFonts w:hAnsi="宋体"/>
                <w:color w:val="auto"/>
                <w:highlight w:val="none"/>
              </w:rPr>
            </w:pPr>
            <w:r>
              <w:rPr>
                <w:rFonts w:hint="eastAsia" w:hAnsi="宋体"/>
                <w:color w:val="auto"/>
                <w:highlight w:val="none"/>
              </w:rPr>
              <w:t>序号</w:t>
            </w:r>
          </w:p>
        </w:tc>
        <w:tc>
          <w:tcPr>
            <w:tcW w:w="3858" w:type="dxa"/>
          </w:tcPr>
          <w:p>
            <w:pPr>
              <w:spacing w:before="156" w:after="156" w:line="240" w:lineRule="auto"/>
              <w:ind w:firstLine="0" w:firstLineChars="0"/>
              <w:jc w:val="center"/>
              <w:rPr>
                <w:rFonts w:hAnsi="宋体"/>
                <w:color w:val="auto"/>
                <w:highlight w:val="none"/>
              </w:rPr>
            </w:pPr>
            <w:r>
              <w:rPr>
                <w:rFonts w:hint="eastAsia" w:hAnsi="宋体"/>
                <w:color w:val="auto"/>
                <w:highlight w:val="none"/>
              </w:rPr>
              <w:t>指标名称</w:t>
            </w:r>
          </w:p>
        </w:tc>
        <w:tc>
          <w:tcPr>
            <w:tcW w:w="1993" w:type="dxa"/>
          </w:tcPr>
          <w:p>
            <w:pPr>
              <w:spacing w:before="156" w:after="156" w:line="240" w:lineRule="auto"/>
              <w:ind w:firstLine="0" w:firstLineChars="0"/>
              <w:jc w:val="center"/>
              <w:rPr>
                <w:rFonts w:hAnsi="宋体"/>
                <w:color w:val="auto"/>
                <w:highlight w:val="none"/>
              </w:rPr>
            </w:pPr>
            <w:r>
              <w:rPr>
                <w:rFonts w:hint="eastAsia" w:hAnsi="宋体"/>
                <w:color w:val="auto"/>
                <w:highlight w:val="none"/>
              </w:rPr>
              <w:t>目标值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5" w:type="dxa"/>
            <w:vMerge w:val="restart"/>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控</w:t>
            </w:r>
          </w:p>
          <w:p>
            <w:pPr>
              <w:spacing w:before="156" w:after="156" w:line="240" w:lineRule="auto"/>
              <w:ind w:firstLine="0" w:firstLineChars="0"/>
              <w:jc w:val="center"/>
              <w:rPr>
                <w:rFonts w:hAnsi="宋体"/>
                <w:color w:val="auto"/>
                <w:highlight w:val="none"/>
              </w:rPr>
            </w:pPr>
            <w:r>
              <w:rPr>
                <w:rFonts w:hint="eastAsia" w:hAnsi="宋体"/>
                <w:color w:val="auto"/>
                <w:highlight w:val="none"/>
              </w:rPr>
              <w:t>制</w:t>
            </w:r>
          </w:p>
          <w:p>
            <w:pPr>
              <w:spacing w:before="156" w:after="156" w:line="240" w:lineRule="auto"/>
              <w:ind w:firstLine="0" w:firstLineChars="0"/>
              <w:jc w:val="center"/>
              <w:rPr>
                <w:rFonts w:hAnsi="宋体"/>
                <w:color w:val="auto"/>
                <w:highlight w:val="none"/>
              </w:rPr>
            </w:pPr>
            <w:r>
              <w:rPr>
                <w:rFonts w:hint="eastAsia" w:hAnsi="宋体"/>
                <w:color w:val="auto"/>
                <w:highlight w:val="none"/>
              </w:rPr>
              <w:t>目</w:t>
            </w:r>
          </w:p>
          <w:p>
            <w:pPr>
              <w:spacing w:before="156" w:after="156" w:line="240" w:lineRule="auto"/>
              <w:ind w:firstLine="0" w:firstLineChars="0"/>
              <w:jc w:val="center"/>
              <w:rPr>
                <w:rFonts w:hAnsi="宋体"/>
                <w:color w:val="auto"/>
                <w:highlight w:val="none"/>
              </w:rPr>
            </w:pPr>
            <w:r>
              <w:rPr>
                <w:rFonts w:hint="eastAsia" w:hAnsi="宋体"/>
                <w:color w:val="auto"/>
                <w:highlight w:val="none"/>
              </w:rPr>
              <w:t>标</w:t>
            </w:r>
          </w:p>
        </w:tc>
        <w:tc>
          <w:tcPr>
            <w:tcW w:w="99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1</w:t>
            </w:r>
          </w:p>
        </w:tc>
        <w:tc>
          <w:tcPr>
            <w:tcW w:w="385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年径流总量控制率（%）</w:t>
            </w:r>
          </w:p>
        </w:tc>
        <w:tc>
          <w:tcPr>
            <w:tcW w:w="1993"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5" w:type="dxa"/>
            <w:vMerge w:val="continue"/>
          </w:tcPr>
          <w:p>
            <w:pPr>
              <w:spacing w:before="156" w:after="156" w:line="240" w:lineRule="auto"/>
              <w:ind w:firstLine="0" w:firstLineChars="0"/>
              <w:jc w:val="center"/>
              <w:rPr>
                <w:rFonts w:hAnsi="宋体"/>
                <w:color w:val="auto"/>
                <w:highlight w:val="none"/>
              </w:rPr>
            </w:pPr>
          </w:p>
        </w:tc>
        <w:tc>
          <w:tcPr>
            <w:tcW w:w="99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2</w:t>
            </w:r>
          </w:p>
        </w:tc>
        <w:tc>
          <w:tcPr>
            <w:tcW w:w="385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雨水管网设计暴雨重现期（年）</w:t>
            </w:r>
          </w:p>
        </w:tc>
        <w:tc>
          <w:tcPr>
            <w:tcW w:w="1993"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655" w:type="dxa"/>
            <w:vMerge w:val="continue"/>
          </w:tcPr>
          <w:p>
            <w:pPr>
              <w:spacing w:before="156" w:after="156" w:line="240" w:lineRule="auto"/>
              <w:ind w:firstLine="0" w:firstLineChars="0"/>
              <w:jc w:val="center"/>
              <w:rPr>
                <w:rFonts w:hAnsi="宋体"/>
                <w:color w:val="auto"/>
                <w:highlight w:val="none"/>
              </w:rPr>
            </w:pPr>
          </w:p>
        </w:tc>
        <w:tc>
          <w:tcPr>
            <w:tcW w:w="998" w:type="dxa"/>
            <w:vMerge w:val="restart"/>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3</w:t>
            </w:r>
          </w:p>
        </w:tc>
        <w:tc>
          <w:tcPr>
            <w:tcW w:w="3858" w:type="dxa"/>
            <w:vMerge w:val="restart"/>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面源污染削减率（%）</w:t>
            </w:r>
          </w:p>
        </w:tc>
        <w:tc>
          <w:tcPr>
            <w:tcW w:w="1993" w:type="dxa"/>
            <w:vMerge w:val="restart"/>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655" w:type="dxa"/>
            <w:vMerge w:val="continue"/>
          </w:tcPr>
          <w:p>
            <w:pPr>
              <w:spacing w:before="156" w:after="156" w:line="240" w:lineRule="auto"/>
              <w:ind w:firstLine="0" w:firstLineChars="0"/>
              <w:jc w:val="center"/>
              <w:rPr>
                <w:rFonts w:hAnsi="宋体"/>
                <w:color w:val="auto"/>
                <w:highlight w:val="none"/>
              </w:rPr>
            </w:pPr>
          </w:p>
        </w:tc>
        <w:tc>
          <w:tcPr>
            <w:tcW w:w="998" w:type="dxa"/>
            <w:vMerge w:val="continue"/>
            <w:vAlign w:val="center"/>
          </w:tcPr>
          <w:p>
            <w:pPr>
              <w:spacing w:before="156" w:after="156" w:line="240" w:lineRule="auto"/>
              <w:ind w:firstLine="0" w:firstLineChars="0"/>
              <w:jc w:val="center"/>
              <w:rPr>
                <w:rFonts w:hAnsi="宋体"/>
                <w:color w:val="auto"/>
                <w:highlight w:val="none"/>
              </w:rPr>
            </w:pPr>
          </w:p>
        </w:tc>
        <w:tc>
          <w:tcPr>
            <w:tcW w:w="3858" w:type="dxa"/>
            <w:vMerge w:val="continue"/>
            <w:vAlign w:val="center"/>
          </w:tcPr>
          <w:p>
            <w:pPr>
              <w:spacing w:before="156" w:after="156" w:line="240" w:lineRule="auto"/>
              <w:ind w:firstLine="0" w:firstLineChars="0"/>
              <w:jc w:val="center"/>
              <w:rPr>
                <w:rFonts w:hAnsi="宋体"/>
                <w:color w:val="auto"/>
                <w:highlight w:val="none"/>
              </w:rPr>
            </w:pPr>
          </w:p>
        </w:tc>
        <w:tc>
          <w:tcPr>
            <w:tcW w:w="1993" w:type="dxa"/>
            <w:vMerge w:val="continue"/>
            <w:vAlign w:val="center"/>
          </w:tcPr>
          <w:p>
            <w:pPr>
              <w:spacing w:before="156" w:after="156" w:line="240" w:lineRule="auto"/>
              <w:ind w:firstLine="0" w:firstLineChars="0"/>
              <w:jc w:val="center"/>
              <w:rPr>
                <w:rFonts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5" w:type="dxa"/>
            <w:vMerge w:val="continue"/>
          </w:tcPr>
          <w:p>
            <w:pPr>
              <w:spacing w:before="156" w:after="156" w:line="240" w:lineRule="auto"/>
              <w:ind w:firstLine="0" w:firstLineChars="0"/>
              <w:jc w:val="center"/>
              <w:rPr>
                <w:rFonts w:hAnsi="宋体"/>
                <w:color w:val="auto"/>
                <w:highlight w:val="none"/>
              </w:rPr>
            </w:pPr>
          </w:p>
        </w:tc>
        <w:tc>
          <w:tcPr>
            <w:tcW w:w="99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4</w:t>
            </w:r>
          </w:p>
        </w:tc>
        <w:tc>
          <w:tcPr>
            <w:tcW w:w="385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下沉式绿地比例（%）</w:t>
            </w:r>
          </w:p>
        </w:tc>
        <w:tc>
          <w:tcPr>
            <w:tcW w:w="1993"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5" w:type="dxa"/>
            <w:vMerge w:val="continue"/>
          </w:tcPr>
          <w:p>
            <w:pPr>
              <w:spacing w:before="156" w:after="156" w:line="240" w:lineRule="auto"/>
              <w:ind w:firstLine="0" w:firstLineChars="0"/>
              <w:jc w:val="center"/>
              <w:rPr>
                <w:rFonts w:hAnsi="宋体"/>
                <w:color w:val="auto"/>
                <w:highlight w:val="none"/>
              </w:rPr>
            </w:pPr>
          </w:p>
        </w:tc>
        <w:tc>
          <w:tcPr>
            <w:tcW w:w="99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5</w:t>
            </w:r>
          </w:p>
        </w:tc>
        <w:tc>
          <w:tcPr>
            <w:tcW w:w="385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室外可渗透地面率（%）</w:t>
            </w:r>
          </w:p>
        </w:tc>
        <w:tc>
          <w:tcPr>
            <w:tcW w:w="1993"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5" w:type="dxa"/>
            <w:vMerge w:val="continue"/>
          </w:tcPr>
          <w:p>
            <w:pPr>
              <w:spacing w:before="156" w:after="156" w:line="240" w:lineRule="auto"/>
              <w:ind w:firstLine="0" w:firstLineChars="0"/>
              <w:jc w:val="center"/>
              <w:rPr>
                <w:rFonts w:hAnsi="宋体"/>
                <w:color w:val="auto"/>
                <w:highlight w:val="none"/>
              </w:rPr>
            </w:pPr>
          </w:p>
        </w:tc>
        <w:tc>
          <w:tcPr>
            <w:tcW w:w="99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6</w:t>
            </w:r>
          </w:p>
        </w:tc>
        <w:tc>
          <w:tcPr>
            <w:tcW w:w="385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透水铺装率（%）</w:t>
            </w:r>
          </w:p>
        </w:tc>
        <w:tc>
          <w:tcPr>
            <w:tcW w:w="1993"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55" w:type="dxa"/>
            <w:vMerge w:val="continue"/>
          </w:tcPr>
          <w:p>
            <w:pPr>
              <w:spacing w:before="156" w:after="156" w:line="240" w:lineRule="auto"/>
              <w:ind w:firstLine="0" w:firstLineChars="0"/>
              <w:jc w:val="center"/>
              <w:rPr>
                <w:rFonts w:hAnsi="宋体"/>
                <w:color w:val="auto"/>
                <w:highlight w:val="none"/>
              </w:rPr>
            </w:pPr>
          </w:p>
        </w:tc>
        <w:tc>
          <w:tcPr>
            <w:tcW w:w="99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7</w:t>
            </w:r>
          </w:p>
        </w:tc>
        <w:tc>
          <w:tcPr>
            <w:tcW w:w="3858"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单位硬化面积调蓄容积</w:t>
            </w:r>
          </w:p>
        </w:tc>
        <w:tc>
          <w:tcPr>
            <w:tcW w:w="1993" w:type="dxa"/>
            <w:vAlign w:val="center"/>
          </w:tcPr>
          <w:p>
            <w:pPr>
              <w:spacing w:before="156" w:after="156" w:line="240" w:lineRule="auto"/>
              <w:ind w:firstLine="0" w:firstLineChars="0"/>
              <w:jc w:val="center"/>
              <w:rPr>
                <w:rFonts w:hAnsi="宋体"/>
                <w:color w:val="auto"/>
                <w:highlight w:val="none"/>
              </w:rPr>
            </w:pPr>
            <w:r>
              <w:rPr>
                <w:rFonts w:hint="eastAsia" w:hAnsi="宋体"/>
                <w:color w:val="auto"/>
                <w:highlight w:val="none"/>
              </w:rPr>
              <w:t>≥500m³/ha</w:t>
            </w:r>
          </w:p>
        </w:tc>
      </w:tr>
    </w:tbl>
    <w:p>
      <w:pPr>
        <w:pStyle w:val="2"/>
        <w:spacing w:before="156" w:after="156"/>
        <w:rPr>
          <w:color w:val="auto"/>
          <w:highlight w:val="none"/>
        </w:rPr>
      </w:pPr>
      <w:bookmarkStart w:id="21" w:name="_Toc13411"/>
      <w:r>
        <w:rPr>
          <w:rFonts w:hint="eastAsia"/>
          <w:color w:val="auto"/>
          <w:highlight w:val="none"/>
        </w:rPr>
        <w:t>3、海绵城市的设计</w:t>
      </w:r>
      <w:bookmarkEnd w:id="20"/>
      <w:bookmarkEnd w:id="21"/>
    </w:p>
    <w:p>
      <w:pPr>
        <w:pStyle w:val="3"/>
        <w:spacing w:before="156" w:after="156"/>
        <w:rPr>
          <w:color w:val="auto"/>
          <w:highlight w:val="none"/>
        </w:rPr>
      </w:pPr>
      <w:bookmarkStart w:id="22" w:name="_Toc515976557"/>
      <w:bookmarkStart w:id="23" w:name="_Toc515976862"/>
      <w:bookmarkStart w:id="24" w:name="_Toc26720"/>
      <w:bookmarkStart w:id="25" w:name="_Toc527731089"/>
      <w:bookmarkStart w:id="26" w:name="_Toc22986"/>
      <w:bookmarkStart w:id="27" w:name="_Toc515977238"/>
      <w:r>
        <w:rPr>
          <w:rFonts w:hint="eastAsia"/>
          <w:color w:val="auto"/>
          <w:highlight w:val="none"/>
        </w:rPr>
        <w:t>3.1、布置思路</w:t>
      </w:r>
      <w:bookmarkEnd w:id="22"/>
      <w:bookmarkEnd w:id="23"/>
      <w:bookmarkEnd w:id="24"/>
      <w:bookmarkEnd w:id="25"/>
      <w:bookmarkEnd w:id="26"/>
      <w:bookmarkEnd w:id="27"/>
    </w:p>
    <w:p>
      <w:pPr>
        <w:pStyle w:val="112"/>
        <w:spacing w:before="156" w:after="156"/>
        <w:ind w:firstLine="480"/>
        <w:rPr>
          <w:color w:val="auto"/>
          <w:highlight w:val="none"/>
        </w:rPr>
      </w:pPr>
      <w:r>
        <w:rPr>
          <w:rFonts w:hint="eastAsia"/>
          <w:color w:val="auto"/>
          <w:highlight w:val="none"/>
        </w:rPr>
        <w:t>根据项目用地性质、用地规模、项目定位及规划要求等实际情况合理布置海绵城市设施，场地内通过设置下沉绿地、透水铺装等LID设施，对排水系统、绿地系统、道路系统等区域的雨水进行有效吸纳、蓄渗和缓释，有效控制雨水径流，实现海绵建设总体控制目标。</w:t>
      </w:r>
    </w:p>
    <w:p>
      <w:pPr>
        <w:spacing w:before="156" w:after="156" w:line="360" w:lineRule="auto"/>
        <w:ind w:left="480" w:leftChars="200" w:firstLine="0" w:firstLineChars="0"/>
        <w:rPr>
          <w:color w:val="auto"/>
          <w:highlight w:val="none"/>
        </w:rPr>
      </w:pPr>
      <w:r>
        <w:rPr>
          <w:rFonts w:hint="eastAsia"/>
          <w:color w:val="auto"/>
          <w:highlight w:val="none"/>
        </w:rPr>
        <w:t>本项目具体海绵城市规划方案如下</w:t>
      </w:r>
      <w:r>
        <w:rPr>
          <w:color w:val="auto"/>
          <w:highlight w:val="none"/>
        </w:rPr>
        <w:t>：</w:t>
      </w:r>
    </w:p>
    <w:p>
      <w:pPr>
        <w:spacing w:before="156" w:after="156" w:line="360" w:lineRule="auto"/>
        <w:ind w:firstLine="0" w:firstLineChars="0"/>
        <w:rPr>
          <w:color w:val="auto"/>
          <w:highlight w:val="none"/>
        </w:rPr>
      </w:pPr>
      <w:bookmarkStart w:id="28" w:name="_Toc6404"/>
      <w:bookmarkStart w:id="29" w:name="_Toc515977239"/>
      <w:bookmarkStart w:id="30" w:name="_Toc515976863"/>
      <w:bookmarkStart w:id="31" w:name="_Toc515976558"/>
      <w:bookmarkStart w:id="32" w:name="_Toc527731090"/>
      <w:r>
        <w:rPr>
          <w:rFonts w:hint="eastAsia"/>
          <w:color w:val="auto"/>
          <w:highlight w:val="none"/>
        </w:rPr>
        <w:t>1.项目区域中的道路结合景观设计，采用下沉绿地进行雨水调蓄，并在绿地内增设溢流井和溢流口；</w:t>
      </w:r>
    </w:p>
    <w:p>
      <w:pPr>
        <w:spacing w:before="156" w:after="156" w:line="360" w:lineRule="auto"/>
        <w:ind w:firstLine="0" w:firstLineChars="0"/>
        <w:rPr>
          <w:color w:val="auto"/>
          <w:highlight w:val="none"/>
        </w:rPr>
      </w:pPr>
      <w:r>
        <w:rPr>
          <w:rFonts w:hint="eastAsia"/>
          <w:color w:val="auto"/>
          <w:highlight w:val="none"/>
        </w:rPr>
        <w:t>2.铺设透水铺装：场地内人行通道、室外停车场等均设计采用透水铺装</w:t>
      </w:r>
      <w:r>
        <w:rPr>
          <w:color w:val="auto"/>
          <w:highlight w:val="none"/>
        </w:rPr>
        <w:t>；</w:t>
      </w:r>
    </w:p>
    <w:p>
      <w:pPr>
        <w:spacing w:before="156" w:after="156" w:line="360" w:lineRule="auto"/>
        <w:ind w:firstLine="0" w:firstLineChars="0"/>
        <w:rPr>
          <w:color w:val="auto"/>
          <w:highlight w:val="none"/>
        </w:rPr>
      </w:pPr>
      <w:r>
        <w:rPr>
          <w:rFonts w:hint="eastAsia"/>
          <w:color w:val="auto"/>
          <w:highlight w:val="none"/>
        </w:rPr>
        <w:t>3.</w:t>
      </w:r>
      <w:r>
        <w:rPr>
          <w:color w:val="auto"/>
          <w:highlight w:val="none"/>
        </w:rPr>
        <w:t>遵循暴雨处理为主、景观设计为辅的方针。</w:t>
      </w:r>
    </w:p>
    <w:p>
      <w:pPr>
        <w:pStyle w:val="3"/>
        <w:spacing w:before="156" w:after="156"/>
        <w:rPr>
          <w:color w:val="auto"/>
          <w:highlight w:val="none"/>
        </w:rPr>
      </w:pPr>
      <w:bookmarkStart w:id="33" w:name="_Toc1087"/>
      <w:r>
        <w:rPr>
          <w:rFonts w:hint="eastAsia"/>
          <w:color w:val="auto"/>
          <w:highlight w:val="none"/>
        </w:rPr>
        <w:t>3.2、相关措施</w:t>
      </w:r>
      <w:bookmarkEnd w:id="28"/>
      <w:bookmarkEnd w:id="29"/>
      <w:bookmarkEnd w:id="30"/>
      <w:bookmarkEnd w:id="31"/>
      <w:bookmarkEnd w:id="32"/>
      <w:bookmarkEnd w:id="33"/>
    </w:p>
    <w:p>
      <w:pPr>
        <w:pStyle w:val="112"/>
        <w:spacing w:before="156" w:after="156"/>
        <w:ind w:left="480" w:hanging="480" w:hangingChars="200"/>
        <w:rPr>
          <w:color w:val="auto"/>
          <w:highlight w:val="none"/>
        </w:rPr>
      </w:pPr>
      <w:bookmarkStart w:id="34" w:name="_Toc515977241"/>
      <w:bookmarkStart w:id="35" w:name="_Toc515976560"/>
      <w:bookmarkStart w:id="36" w:name="_Toc515976865"/>
      <w:r>
        <w:rPr>
          <w:rFonts w:hint="eastAsia"/>
          <w:color w:val="auto"/>
          <w:highlight w:val="none"/>
        </w:rPr>
        <w:t>1）下沉绿地</w:t>
      </w:r>
    </w:p>
    <w:p>
      <w:pPr>
        <w:spacing w:before="156" w:after="156" w:line="360" w:lineRule="auto"/>
        <w:ind w:firstLine="480"/>
        <w:rPr>
          <w:color w:val="auto"/>
          <w:highlight w:val="none"/>
        </w:rPr>
      </w:pPr>
      <w:r>
        <w:rPr>
          <w:rFonts w:hint="eastAsia"/>
          <w:color w:val="auto"/>
          <w:highlight w:val="none"/>
        </w:rPr>
        <w:t>下沉绿地是一种具有渗蓄雨水、削减洪峰流量、减轻地表径流污染等优点的生态型的雨水渗透设施。较普通绿地而言，下沉绿地利用下沉空间充分蓄集雨水，显著增加了雨水下渗时间。</w:t>
      </w:r>
    </w:p>
    <w:p>
      <w:pPr>
        <w:spacing w:before="156" w:after="156" w:line="360" w:lineRule="auto"/>
        <w:ind w:firstLine="480"/>
        <w:rPr>
          <w:color w:val="auto"/>
          <w:highlight w:val="none"/>
        </w:rPr>
      </w:pPr>
      <w:r>
        <w:rPr>
          <w:rFonts w:hint="eastAsia"/>
          <w:color w:val="auto"/>
          <w:highlight w:val="none"/>
        </w:rPr>
        <w:t>典型的下沉绿地结构为：绿地高程低于路面高程，雨水口设在绿地内，雨水口低于路面高程的绿地并高于绿地高程。下沉绿地汇集周围道路、建筑物等区域产生的雨水径流，雨水径流先流入绿地，部分雨水渗入地下，绿地蓄满水后再流入雨水口。</w:t>
      </w:r>
    </w:p>
    <w:p>
      <w:pPr>
        <w:spacing w:before="156" w:after="156" w:line="360" w:lineRule="auto"/>
        <w:ind w:left="480" w:firstLine="480"/>
        <w:jc w:val="both"/>
        <w:rPr>
          <w:color w:val="auto"/>
          <w:highlight w:val="none"/>
        </w:rPr>
      </w:pPr>
      <w:r>
        <w:rPr>
          <w:color w:val="auto"/>
          <w:highlight w:val="none"/>
        </w:rPr>
        <w:drawing>
          <wp:inline distT="0" distB="0" distL="114300" distR="114300">
            <wp:extent cx="4007485" cy="3134995"/>
            <wp:effectExtent l="0" t="0" r="1206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4007485" cy="3134995"/>
                    </a:xfrm>
                    <a:prstGeom prst="rect">
                      <a:avLst/>
                    </a:prstGeom>
                    <a:noFill/>
                    <a:ln>
                      <a:noFill/>
                    </a:ln>
                  </pic:spPr>
                </pic:pic>
              </a:graphicData>
            </a:graphic>
          </wp:inline>
        </w:drawing>
      </w:r>
    </w:p>
    <w:p>
      <w:pPr>
        <w:spacing w:before="156" w:after="156" w:line="360" w:lineRule="auto"/>
        <w:ind w:left="480" w:firstLine="482"/>
        <w:jc w:val="center"/>
        <w:rPr>
          <w:rFonts w:hAnsi="宋体" w:cs="宋体"/>
          <w:b/>
          <w:bCs/>
          <w:color w:val="auto"/>
          <w:highlight w:val="none"/>
        </w:rPr>
      </w:pPr>
      <w:r>
        <w:rPr>
          <w:rFonts w:hint="eastAsia" w:hAnsi="宋体" w:cs="宋体"/>
          <w:b/>
          <w:bCs/>
          <w:color w:val="auto"/>
          <w:highlight w:val="none"/>
        </w:rPr>
        <w:t>图3-1  下沉绿地示意图</w:t>
      </w:r>
    </w:p>
    <w:p>
      <w:pPr>
        <w:spacing w:before="156" w:after="156" w:line="360" w:lineRule="auto"/>
        <w:ind w:left="480" w:firstLine="480"/>
        <w:rPr>
          <w:rFonts w:hint="eastAsia" w:hAnsi="宋体"/>
          <w:color w:val="auto"/>
          <w:highlight w:val="none"/>
        </w:rPr>
      </w:pPr>
      <w:r>
        <w:rPr>
          <w:rFonts w:hint="eastAsia"/>
          <w:color w:val="auto"/>
          <w:highlight w:val="none"/>
        </w:rPr>
        <w:t>景观设计时，下沉绿地高程低于周边路</w:t>
      </w:r>
      <w:r>
        <w:rPr>
          <w:rFonts w:hint="eastAsia" w:hAnsi="宋体"/>
          <w:color w:val="auto"/>
          <w:highlight w:val="none"/>
        </w:rPr>
        <w:t>面高程20cm，以利于周边道路雨水径流的汇入。室外道路排水口移到绿地内，雨水溢流口比绿地高15cm。下沉绿地边缘应设置平道牙，便于雨水顺利流入。同时，下沉绿地处设置警示标识，避免事故发生。</w:t>
      </w:r>
    </w:p>
    <w:p>
      <w:pPr>
        <w:spacing w:before="156" w:after="156" w:line="360" w:lineRule="auto"/>
        <w:ind w:left="480" w:firstLine="480"/>
        <w:rPr>
          <w:rFonts w:hint="eastAsia" w:hAnsi="宋体" w:eastAsia="宋体"/>
          <w:color w:val="auto"/>
          <w:highlight w:val="none"/>
          <w:lang w:eastAsia="zh-CN"/>
        </w:rPr>
      </w:pPr>
      <w:r>
        <w:rPr>
          <w:rFonts w:hint="eastAsia" w:hAnsi="宋体"/>
          <w:color w:val="auto"/>
          <w:highlight w:val="none"/>
          <w:lang w:val="en-US" w:eastAsia="zh-CN"/>
        </w:rPr>
        <w:t>本项目</w:t>
      </w:r>
      <w:r>
        <w:rPr>
          <w:rFonts w:hint="eastAsia" w:hAnsi="宋体"/>
          <w:color w:val="auto"/>
          <w:highlight w:val="none"/>
        </w:rPr>
        <w:t>所有的下沉式绿地均在最低处设置具有沉泥功能的溢流井，并在溢流口周围铺设卵石。雨水进入下沉绿地采用分散进水，在较为集中进水的位置采取消能缓冲措施。绿地采用耐淹植物</w:t>
      </w:r>
      <w:r>
        <w:rPr>
          <w:rFonts w:hint="eastAsia" w:hAnsi="宋体"/>
          <w:color w:val="auto"/>
          <w:highlight w:val="none"/>
          <w:lang w:eastAsia="zh-CN"/>
        </w:rPr>
        <w:t>。</w:t>
      </w:r>
    </w:p>
    <w:p>
      <w:pPr>
        <w:spacing w:before="156" w:after="156" w:line="360" w:lineRule="auto"/>
        <w:ind w:left="480" w:firstLine="480"/>
        <w:jc w:val="both"/>
        <w:rPr>
          <w:color w:val="auto"/>
          <w:highlight w:val="none"/>
        </w:rPr>
      </w:pPr>
      <w:r>
        <w:rPr>
          <w:color w:val="auto"/>
          <w:highlight w:val="none"/>
        </w:rPr>
        <w:drawing>
          <wp:inline distT="0" distB="0" distL="114300" distR="114300">
            <wp:extent cx="4916170" cy="3096260"/>
            <wp:effectExtent l="0" t="0" r="1778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4916170" cy="3096260"/>
                    </a:xfrm>
                    <a:prstGeom prst="rect">
                      <a:avLst/>
                    </a:prstGeom>
                    <a:noFill/>
                    <a:ln w="9525">
                      <a:noFill/>
                    </a:ln>
                  </pic:spPr>
                </pic:pic>
              </a:graphicData>
            </a:graphic>
          </wp:inline>
        </w:drawing>
      </w:r>
    </w:p>
    <w:p>
      <w:pPr>
        <w:spacing w:before="156" w:after="156" w:line="360" w:lineRule="auto"/>
        <w:ind w:left="480" w:firstLine="482"/>
        <w:jc w:val="center"/>
        <w:rPr>
          <w:rFonts w:hAnsi="宋体" w:cs="宋体"/>
          <w:b/>
          <w:bCs/>
          <w:color w:val="auto"/>
          <w:highlight w:val="none"/>
        </w:rPr>
      </w:pPr>
      <w:r>
        <w:rPr>
          <w:rFonts w:hint="eastAsia" w:hAnsi="宋体" w:cs="宋体"/>
          <w:b/>
          <w:bCs/>
          <w:color w:val="auto"/>
          <w:highlight w:val="none"/>
        </w:rPr>
        <w:t>图3-2 下沉绿地实景图</w:t>
      </w:r>
    </w:p>
    <w:bookmarkEnd w:id="34"/>
    <w:bookmarkEnd w:id="35"/>
    <w:bookmarkEnd w:id="36"/>
    <w:p>
      <w:pPr>
        <w:pStyle w:val="112"/>
        <w:spacing w:before="156" w:after="156"/>
        <w:ind w:left="480" w:firstLine="480"/>
        <w:rPr>
          <w:color w:val="auto"/>
          <w:highlight w:val="none"/>
        </w:rPr>
      </w:pPr>
      <w:r>
        <w:rPr>
          <w:rFonts w:hint="eastAsia"/>
          <w:color w:val="auto"/>
          <w:highlight w:val="none"/>
        </w:rPr>
        <w:t>2）透水铺装</w:t>
      </w:r>
    </w:p>
    <w:p>
      <w:pPr>
        <w:spacing w:before="156" w:after="156" w:line="360" w:lineRule="auto"/>
        <w:ind w:left="480" w:leftChars="200" w:firstLine="480"/>
        <w:rPr>
          <w:color w:val="auto"/>
          <w:highlight w:val="none"/>
        </w:rPr>
      </w:pPr>
      <w:r>
        <w:rPr>
          <w:rFonts w:hint="eastAsia"/>
          <w:color w:val="auto"/>
          <w:highlight w:val="none"/>
        </w:rPr>
        <w:t>根据《广州市建设项目雨水径流控制办法》的规定：建设后的硬化地面中，除城镇公共道路外，可渗透地面面积比例不小于40%；人行道、室外停车场、步行街、自行街道和建设工程的外部庭院应当分别设置渗透性铺装设施，其渗透铺装率不低于70%。</w:t>
      </w:r>
    </w:p>
    <w:p>
      <w:pPr>
        <w:spacing w:before="156" w:after="156" w:line="360" w:lineRule="auto"/>
        <w:ind w:left="480" w:leftChars="200" w:firstLine="480"/>
        <w:rPr>
          <w:rFonts w:hint="eastAsia"/>
          <w:color w:val="auto"/>
          <w:highlight w:val="none"/>
        </w:rPr>
      </w:pPr>
      <w:r>
        <w:rPr>
          <w:rFonts w:hint="eastAsia"/>
          <w:color w:val="auto"/>
          <w:highlight w:val="none"/>
        </w:rPr>
        <w:t>本项目场地内人行道、室外停车场等均设计采用透水铺装，透水铺装地面透水面层采用成品透水砖。</w:t>
      </w:r>
    </w:p>
    <w:p>
      <w:pPr>
        <w:spacing w:before="156" w:after="156" w:line="360" w:lineRule="auto"/>
        <w:ind w:left="480" w:leftChars="200" w:firstLine="480"/>
        <w:rPr>
          <w:rFonts w:hint="eastAsia"/>
          <w:color w:val="auto"/>
          <w:highlight w:val="none"/>
          <w:lang w:val="en-US" w:eastAsia="zh-CN"/>
        </w:rPr>
      </w:pPr>
      <w:r>
        <w:rPr>
          <w:rFonts w:hint="eastAsia"/>
          <w:color w:val="auto"/>
          <w:highlight w:val="none"/>
          <w:lang w:val="en-US" w:eastAsia="zh-CN"/>
        </w:rPr>
        <w:t>同时，本项目采用透水系数不小于1.0X10⁻²cm/s的透水砖，满足在当地2年一遇的暴雨强度下持续降雨60min表面不产生径流的要求，合理使用年限为8-10年。如果当土基、土壤透水系数及地下水位等条件不能满足有关规定时，应增加路面排水设计。</w:t>
      </w:r>
    </w:p>
    <w:p>
      <w:pPr>
        <w:spacing w:before="156" w:after="156" w:line="360" w:lineRule="auto"/>
        <w:ind w:firstLine="480"/>
        <w:jc w:val="center"/>
        <w:rPr>
          <w:color w:val="auto"/>
          <w:highlight w:val="none"/>
        </w:rPr>
      </w:pPr>
      <w:r>
        <w:rPr>
          <w:rFonts w:hint="eastAsia"/>
          <w:color w:val="auto"/>
          <w:highlight w:val="none"/>
        </w:rPr>
        <w:drawing>
          <wp:inline distT="0" distB="0" distL="114300" distR="114300">
            <wp:extent cx="6106160" cy="2170430"/>
            <wp:effectExtent l="0" t="0" r="8890" b="12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rcRect t="49841"/>
                    <a:stretch>
                      <a:fillRect/>
                    </a:stretch>
                  </pic:blipFill>
                  <pic:spPr>
                    <a:xfrm>
                      <a:off x="0" y="0"/>
                      <a:ext cx="6106160" cy="2170430"/>
                    </a:xfrm>
                    <a:prstGeom prst="rect">
                      <a:avLst/>
                    </a:prstGeom>
                    <a:noFill/>
                    <a:ln w="9525">
                      <a:noFill/>
                    </a:ln>
                  </pic:spPr>
                </pic:pic>
              </a:graphicData>
            </a:graphic>
          </wp:inline>
        </w:drawing>
      </w:r>
    </w:p>
    <w:p>
      <w:pPr>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图3-3 人行道透水铺装实景图</w:t>
      </w:r>
    </w:p>
    <w:p>
      <w:pPr>
        <w:spacing w:before="156" w:after="156" w:line="360" w:lineRule="auto"/>
        <w:ind w:firstLine="480"/>
        <w:jc w:val="center"/>
        <w:rPr>
          <w:color w:val="auto"/>
          <w:highlight w:val="none"/>
        </w:rPr>
      </w:pPr>
    </w:p>
    <w:p>
      <w:pPr>
        <w:widowControl/>
        <w:spacing w:before="156" w:after="156"/>
        <w:ind w:firstLine="480"/>
        <w:jc w:val="center"/>
        <w:rPr>
          <w:color w:val="auto"/>
          <w:szCs w:val="22"/>
          <w:highlight w:val="none"/>
        </w:rPr>
      </w:pPr>
      <w:r>
        <w:rPr>
          <w:color w:val="auto"/>
          <w:highlight w:val="none"/>
        </w:rPr>
        <w:drawing>
          <wp:inline distT="0" distB="0" distL="114300" distR="114300">
            <wp:extent cx="2158365" cy="2505075"/>
            <wp:effectExtent l="0" t="0" r="13335" b="952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1"/>
                    <a:stretch>
                      <a:fillRect/>
                    </a:stretch>
                  </pic:blipFill>
                  <pic:spPr>
                    <a:xfrm>
                      <a:off x="0" y="0"/>
                      <a:ext cx="2158365" cy="2505075"/>
                    </a:xfrm>
                    <a:prstGeom prst="rect">
                      <a:avLst/>
                    </a:prstGeom>
                    <a:noFill/>
                    <a:ln>
                      <a:noFill/>
                    </a:ln>
                  </pic:spPr>
                </pic:pic>
              </a:graphicData>
            </a:graphic>
          </wp:inline>
        </w:drawing>
      </w:r>
    </w:p>
    <w:p>
      <w:pPr>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图3-4  透水铺装（透水砖）路面做法大样图</w:t>
      </w:r>
      <w:bookmarkStart w:id="37" w:name="_Toc19878"/>
      <w:bookmarkStart w:id="38" w:name="_Toc1733385"/>
    </w:p>
    <w:p>
      <w:pPr>
        <w:pStyle w:val="2"/>
        <w:spacing w:before="156" w:after="156" w:line="360" w:lineRule="auto"/>
        <w:rPr>
          <w:rFonts w:hint="eastAsia"/>
          <w:color w:val="auto"/>
          <w:highlight w:val="none"/>
        </w:rPr>
        <w:sectPr>
          <w:footerReference r:id="rId11" w:type="default"/>
          <w:pgSz w:w="11850" w:h="16783"/>
          <w:pgMar w:top="1440" w:right="1440" w:bottom="1440" w:left="144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spacing w:before="156" w:after="156" w:line="360" w:lineRule="auto"/>
        <w:rPr>
          <w:color w:val="auto"/>
          <w:highlight w:val="none"/>
        </w:rPr>
      </w:pPr>
      <w:bookmarkStart w:id="39" w:name="_Toc343"/>
      <w:r>
        <w:rPr>
          <w:rFonts w:hint="eastAsia"/>
          <w:color w:val="auto"/>
          <w:highlight w:val="none"/>
        </w:rPr>
        <w:t>4、海绵城市的计算</w:t>
      </w:r>
      <w:bookmarkEnd w:id="37"/>
      <w:bookmarkEnd w:id="38"/>
      <w:bookmarkEnd w:id="39"/>
    </w:p>
    <w:p>
      <w:pPr>
        <w:spacing w:before="156" w:after="156" w:line="360" w:lineRule="auto"/>
        <w:ind w:firstLine="480"/>
        <w:rPr>
          <w:color w:val="auto"/>
          <w:highlight w:val="none"/>
        </w:rPr>
      </w:pPr>
      <w:r>
        <w:rPr>
          <w:rFonts w:hint="eastAsia"/>
          <w:color w:val="auto"/>
          <w:highlight w:val="none"/>
        </w:rPr>
        <w:t>本项目采用容积法设计，即以径流总量控制为目标，控制地块内各低影响开发设施的设计调蓄容积之和，即总调蓄容积，一般不低于该地块“单位面积控制容积”的控制要求。</w:t>
      </w:r>
      <w:r>
        <w:rPr>
          <w:rFonts w:hint="eastAsia" w:hAnsi="宋体" w:cs="宋体"/>
          <w:color w:val="auto"/>
          <w:highlight w:val="none"/>
        </w:rPr>
        <w:t>场地内通过设置</w:t>
      </w:r>
      <w:r>
        <w:rPr>
          <w:rFonts w:hint="eastAsia"/>
          <w:color w:val="auto"/>
          <w:highlight w:val="none"/>
        </w:rPr>
        <w:t>下沉绿地、透水铺装</w:t>
      </w:r>
      <w:r>
        <w:rPr>
          <w:rFonts w:hint="eastAsia" w:hAnsi="宋体" w:cs="宋体"/>
          <w:color w:val="auto"/>
          <w:highlight w:val="none"/>
        </w:rPr>
        <w:t>等LID设施，对排水系统、绿地系统、道路系统等区域的雨水进行有效吸纳、蓄渗和缓释，有效控制雨水径流，实现海绵建设总体控制目标。</w:t>
      </w:r>
    </w:p>
    <w:p>
      <w:pPr>
        <w:spacing w:before="156" w:after="156" w:line="360" w:lineRule="auto"/>
        <w:ind w:firstLine="480"/>
        <w:rPr>
          <w:color w:val="auto"/>
          <w:highlight w:val="none"/>
        </w:rPr>
      </w:pPr>
      <w:r>
        <w:rPr>
          <w:rFonts w:hint="eastAsia"/>
          <w:color w:val="auto"/>
          <w:highlight w:val="none"/>
        </w:rPr>
        <w:t>容积法：低影响开发设施以径流总量和径流污染为控制目标进行设计时，设计调蓄容积计算公式如下：</w:t>
      </w:r>
    </w:p>
    <w:p>
      <w:pPr>
        <w:spacing w:before="156" w:after="156" w:line="360" w:lineRule="auto"/>
        <w:ind w:firstLine="480"/>
        <w:jc w:val="center"/>
        <w:rPr>
          <w:color w:val="auto"/>
          <w:highlight w:val="none"/>
        </w:rPr>
      </w:pPr>
      <w:r>
        <w:rPr>
          <w:rFonts w:hAnsi="宋体"/>
          <w:color w:val="auto"/>
          <w:position w:val="-10"/>
          <w:highlight w:val="none"/>
        </w:rPr>
        <w:object>
          <v:shape id="_x0000_i1025" o:spt="75" type="#_x0000_t75" style="height:27.15pt;width:93.05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p>
    <w:p>
      <w:pPr>
        <w:spacing w:before="156" w:after="156" w:line="360" w:lineRule="auto"/>
        <w:ind w:firstLine="480"/>
        <w:rPr>
          <w:color w:val="auto"/>
          <w:highlight w:val="none"/>
        </w:rPr>
      </w:pPr>
      <w:r>
        <w:rPr>
          <w:rFonts w:hint="eastAsia"/>
          <w:color w:val="auto"/>
          <w:highlight w:val="none"/>
        </w:rPr>
        <w:t>式中：V--设计调蓄容积，m³；</w:t>
      </w:r>
    </w:p>
    <w:p>
      <w:pPr>
        <w:spacing w:before="156" w:after="156" w:line="360" w:lineRule="auto"/>
        <w:ind w:left="480" w:leftChars="200" w:firstLine="720" w:firstLineChars="300"/>
        <w:rPr>
          <w:color w:val="auto"/>
          <w:highlight w:val="none"/>
        </w:rPr>
      </w:pPr>
      <w:r>
        <w:rPr>
          <w:rFonts w:hAnsi="宋体"/>
          <w:color w:val="auto"/>
          <w:highlight w:val="none"/>
        </w:rPr>
        <w:drawing>
          <wp:inline distT="0" distB="0" distL="114300" distR="114300">
            <wp:extent cx="133350" cy="161925"/>
            <wp:effectExtent l="0" t="0" r="0" b="762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24"/>
                    <a:stretch>
                      <a:fillRect/>
                    </a:stretch>
                  </pic:blipFill>
                  <pic:spPr>
                    <a:xfrm>
                      <a:off x="0" y="0"/>
                      <a:ext cx="133350" cy="161925"/>
                    </a:xfrm>
                    <a:prstGeom prst="rect">
                      <a:avLst/>
                    </a:prstGeom>
                    <a:noFill/>
                    <a:ln w="9525">
                      <a:noFill/>
                    </a:ln>
                  </pic:spPr>
                </pic:pic>
              </a:graphicData>
            </a:graphic>
          </wp:inline>
        </w:drawing>
      </w:r>
      <w:r>
        <w:rPr>
          <w:rFonts w:hint="eastAsia"/>
          <w:color w:val="auto"/>
          <w:highlight w:val="none"/>
        </w:rPr>
        <w:t>--综合雨量径流系数；</w:t>
      </w:r>
    </w:p>
    <w:p>
      <w:pPr>
        <w:spacing w:before="156" w:after="156" w:line="360" w:lineRule="auto"/>
        <w:ind w:firstLine="1200" w:firstLineChars="500"/>
        <w:rPr>
          <w:color w:val="auto"/>
          <w:highlight w:val="none"/>
        </w:rPr>
      </w:pPr>
      <w:r>
        <w:rPr>
          <w:rFonts w:hint="eastAsia"/>
          <w:color w:val="auto"/>
          <w:highlight w:val="none"/>
        </w:rPr>
        <w:t>h--设计降雨量，mm；</w:t>
      </w:r>
    </w:p>
    <w:p>
      <w:pPr>
        <w:spacing w:before="156" w:after="156" w:line="360" w:lineRule="auto"/>
        <w:ind w:firstLine="1200" w:firstLineChars="500"/>
        <w:rPr>
          <w:color w:val="auto"/>
          <w:highlight w:val="none"/>
        </w:rPr>
      </w:pPr>
      <w:r>
        <w:rPr>
          <w:rFonts w:hint="eastAsia"/>
          <w:color w:val="auto"/>
          <w:highlight w:val="none"/>
        </w:rPr>
        <w:t>F--汇水面积，ha；</w:t>
      </w:r>
    </w:p>
    <w:p>
      <w:pPr>
        <w:tabs>
          <w:tab w:val="left" w:pos="851"/>
        </w:tabs>
        <w:spacing w:before="156" w:after="156" w:line="360" w:lineRule="auto"/>
        <w:ind w:firstLine="480"/>
        <w:rPr>
          <w:color w:val="auto"/>
          <w:highlight w:val="none"/>
        </w:rPr>
      </w:pPr>
      <w:bookmarkStart w:id="40" w:name="_Toc515976869"/>
      <w:bookmarkStart w:id="41" w:name="_Toc527731092"/>
      <w:bookmarkStart w:id="42" w:name="_Toc515977245"/>
      <w:bookmarkStart w:id="43" w:name="_Toc515976564"/>
      <w:r>
        <w:rPr>
          <w:rFonts w:hint="eastAsia"/>
          <w:color w:val="auto"/>
          <w:highlight w:val="none"/>
        </w:rPr>
        <w:t>根据《广州市海绵城市专项规划》（2016-2030），广州市海绵城市建设分区年径流总量控制指标分解图可知，本项目位于广州市海绵控制分区黄埔片区05-06-01海绵分区，年径流总量控制率为77%，对应设计降雨量为32.50mm。</w:t>
      </w:r>
    </w:p>
    <w:p>
      <w:pPr>
        <w:pStyle w:val="3"/>
        <w:spacing w:before="156" w:after="156"/>
        <w:rPr>
          <w:color w:val="auto"/>
          <w:highlight w:val="none"/>
        </w:rPr>
      </w:pPr>
      <w:bookmarkStart w:id="44" w:name="_Toc28506"/>
      <w:r>
        <w:rPr>
          <w:rFonts w:hint="eastAsia"/>
          <w:color w:val="auto"/>
          <w:highlight w:val="none"/>
        </w:rPr>
        <w:t>4.1、汇水分区的划分</w:t>
      </w:r>
      <w:bookmarkEnd w:id="40"/>
      <w:bookmarkEnd w:id="41"/>
      <w:bookmarkEnd w:id="42"/>
      <w:bookmarkEnd w:id="43"/>
      <w:bookmarkEnd w:id="44"/>
    </w:p>
    <w:p>
      <w:pPr>
        <w:spacing w:before="156" w:after="156"/>
        <w:ind w:firstLine="480"/>
        <w:rPr>
          <w:color w:val="auto"/>
          <w:highlight w:val="none"/>
        </w:rPr>
      </w:pPr>
      <w:r>
        <w:rPr>
          <w:rFonts w:hint="eastAsia"/>
          <w:color w:val="auto"/>
          <w:highlight w:val="none"/>
        </w:rPr>
        <w:t>根据项目的竖向和排水组织关系，本项目场地为两个汇水分区，排水方向整体是由东北侧排向西南侧，本项目汇水分区平面详见：HM-0</w:t>
      </w:r>
      <w:r>
        <w:rPr>
          <w:rFonts w:hint="eastAsia"/>
          <w:color w:val="auto"/>
          <w:highlight w:val="none"/>
          <w:lang w:val="en-US" w:eastAsia="zh-CN"/>
        </w:rPr>
        <w:t>3</w:t>
      </w:r>
      <w:r>
        <w:rPr>
          <w:rFonts w:hint="eastAsia"/>
          <w:color w:val="auto"/>
          <w:highlight w:val="none"/>
        </w:rPr>
        <w:t xml:space="preserve"> 场地竖向及径流路径设计图。</w:t>
      </w:r>
    </w:p>
    <w:p>
      <w:pPr>
        <w:spacing w:before="156" w:after="156" w:line="360" w:lineRule="auto"/>
        <w:ind w:firstLine="480"/>
        <w:rPr>
          <w:rFonts w:hint="eastAsia"/>
          <w:color w:val="auto"/>
          <w:highlight w:val="none"/>
        </w:rPr>
      </w:pPr>
      <w:r>
        <w:rPr>
          <w:rFonts w:hint="eastAsia"/>
          <w:color w:val="auto"/>
          <w:highlight w:val="none"/>
        </w:rPr>
        <w:t>根据海绵城市设施分布情况，本项目雨水系统主要流程如下：</w:t>
      </w:r>
      <w:r>
        <w:rPr>
          <w:color w:val="auto"/>
          <w:highlight w:val="none"/>
        </w:rPr>
        <w:br w:type="textWrapping"/>
      </w:r>
      <w:r>
        <w:rPr>
          <w:color w:val="auto"/>
          <w:highlight w:val="none"/>
        </w:rPr>
        <w:br w:type="textWrapping"/>
      </w:r>
    </w:p>
    <w:p>
      <w:pPr>
        <w:spacing w:before="156" w:after="156" w:line="360" w:lineRule="auto"/>
        <w:ind w:firstLine="0" w:firstLineChars="0"/>
        <w:jc w:val="center"/>
        <w:rPr>
          <w:color w:val="auto"/>
          <w:highlight w:val="none"/>
        </w:rPr>
      </w:pPr>
      <w:r>
        <w:rPr>
          <w:color w:val="auto"/>
          <w:highlight w:val="none"/>
        </w:rPr>
        <w:drawing>
          <wp:inline distT="0" distB="0" distL="0" distR="0">
            <wp:extent cx="4724400" cy="1200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4724400" cy="1200150"/>
                    </a:xfrm>
                    <a:prstGeom prst="rect">
                      <a:avLst/>
                    </a:prstGeom>
                  </pic:spPr>
                </pic:pic>
              </a:graphicData>
            </a:graphic>
          </wp:inline>
        </w:drawing>
      </w:r>
    </w:p>
    <w:p>
      <w:pPr>
        <w:spacing w:before="156" w:after="156" w:line="360" w:lineRule="auto"/>
        <w:ind w:firstLine="0" w:firstLineChars="0"/>
        <w:jc w:val="center"/>
        <w:rPr>
          <w:color w:val="auto"/>
          <w:highlight w:val="none"/>
        </w:rPr>
      </w:pPr>
      <w:r>
        <w:rPr>
          <w:rFonts w:hint="eastAsia" w:ascii="Calibri" w:hAnsi="Calibri"/>
          <w:b/>
          <w:color w:val="auto"/>
          <w:kern w:val="2"/>
          <w:highlight w:val="none"/>
        </w:rPr>
        <w:t>图</w:t>
      </w:r>
      <w:r>
        <w:rPr>
          <w:rFonts w:hint="eastAsia"/>
          <w:b/>
          <w:color w:val="auto"/>
          <w:kern w:val="2"/>
          <w:highlight w:val="none"/>
        </w:rPr>
        <w:t>4-1 雨水系统流程图</w:t>
      </w:r>
    </w:p>
    <w:p>
      <w:pPr>
        <w:pStyle w:val="3"/>
        <w:spacing w:before="156" w:after="156"/>
        <w:rPr>
          <w:color w:val="auto"/>
          <w:highlight w:val="none"/>
        </w:rPr>
      </w:pPr>
      <w:bookmarkStart w:id="45" w:name="_Toc17854"/>
      <w:bookmarkStart w:id="46" w:name="_Toc515976870"/>
      <w:bookmarkStart w:id="47" w:name="_Toc515977246"/>
      <w:bookmarkStart w:id="48" w:name="_Toc515976565"/>
      <w:bookmarkStart w:id="49" w:name="_Toc9567"/>
      <w:bookmarkStart w:id="50" w:name="_Toc527731093"/>
      <w:r>
        <w:rPr>
          <w:rFonts w:hint="eastAsia"/>
          <w:color w:val="auto"/>
          <w:highlight w:val="none"/>
        </w:rPr>
        <w:t>4.2</w:t>
      </w:r>
      <w:bookmarkEnd w:id="45"/>
      <w:bookmarkEnd w:id="46"/>
      <w:bookmarkEnd w:id="47"/>
      <w:bookmarkEnd w:id="48"/>
      <w:r>
        <w:rPr>
          <w:rFonts w:hint="eastAsia"/>
          <w:color w:val="auto"/>
          <w:highlight w:val="none"/>
        </w:rPr>
        <w:t>、通过综合雨量径流系数的方法所需的调蓄容积</w:t>
      </w:r>
      <w:bookmarkEnd w:id="49"/>
      <w:bookmarkEnd w:id="50"/>
    </w:p>
    <w:p>
      <w:pPr>
        <w:spacing w:before="156" w:after="156" w:line="360" w:lineRule="auto"/>
        <w:ind w:firstLine="480"/>
        <w:rPr>
          <w:b/>
          <w:color w:val="auto"/>
          <w:highlight w:val="none"/>
        </w:rPr>
      </w:pPr>
      <w:r>
        <w:rPr>
          <w:rFonts w:hint="eastAsia" w:hAnsi="宋体" w:cs="宋体"/>
          <w:color w:val="auto"/>
          <w:highlight w:val="none"/>
        </w:rPr>
        <w:t>本项目下垫面类型包括建筑硬化屋面、</w:t>
      </w:r>
      <w:r>
        <w:rPr>
          <w:rFonts w:hint="eastAsia" w:hAnsi="宋体" w:cs="宋体"/>
          <w:color w:val="auto"/>
          <w:highlight w:val="none"/>
          <w:lang w:val="en-US" w:eastAsia="zh-CN"/>
        </w:rPr>
        <w:t>绿化屋面</w:t>
      </w:r>
      <w:r>
        <w:rPr>
          <w:rFonts w:hint="eastAsia" w:hAnsi="宋体" w:cs="宋体"/>
          <w:color w:val="auto"/>
          <w:highlight w:val="none"/>
        </w:rPr>
        <w:t>、下沉绿地、透水铺装、不透水铺装等。根据本项目所需控制的调蓄容积，本项目低影响开发设施总体布局详：HM-02 海绵设施分布总图。</w:t>
      </w:r>
    </w:p>
    <w:p>
      <w:pPr>
        <w:spacing w:before="156" w:after="156" w:line="360" w:lineRule="auto"/>
        <w:ind w:firstLine="480"/>
        <w:rPr>
          <w:rFonts w:hAnsi="宋体" w:cs="宋体"/>
          <w:color w:val="auto"/>
          <w:highlight w:val="none"/>
        </w:rPr>
      </w:pPr>
      <w:r>
        <w:rPr>
          <w:rFonts w:hint="eastAsia" w:hAnsi="宋体" w:cs="宋体"/>
          <w:color w:val="auto"/>
          <w:highlight w:val="none"/>
        </w:rPr>
        <w:t>根据《室外排水设计规范》GB 50014-2006（2016年版）中表3.2.2-1和《海绵城市建设技术指南——低影响开发雨水系统构建》中表4-3，可分别确定各类下垫面的综合雨量径流系数取值。</w:t>
      </w:r>
    </w:p>
    <w:p>
      <w:pPr>
        <w:spacing w:before="156" w:after="156"/>
        <w:ind w:firstLine="0" w:firstLineChars="0"/>
        <w:jc w:val="center"/>
        <w:rPr>
          <w:rFonts w:cs="宋体"/>
          <w:color w:val="auto"/>
          <w:highlight w:val="none"/>
        </w:rPr>
      </w:pPr>
      <w:r>
        <w:rPr>
          <w:rFonts w:hint="eastAsia" w:cs="宋体"/>
          <w:color w:val="auto"/>
          <w:highlight w:val="none"/>
        </w:rPr>
        <w:drawing>
          <wp:inline distT="0" distB="0" distL="0" distR="0">
            <wp:extent cx="3630295" cy="2027555"/>
            <wp:effectExtent l="0" t="0" r="8255" b="1079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noChangeArrowheads="1"/>
                    </pic:cNvPicPr>
                  </pic:nvPicPr>
                  <pic:blipFill>
                    <a:blip r:embed="rId26"/>
                    <a:srcRect/>
                    <a:stretch>
                      <a:fillRect/>
                    </a:stretch>
                  </pic:blipFill>
                  <pic:spPr>
                    <a:xfrm>
                      <a:off x="0" y="0"/>
                      <a:ext cx="3630295" cy="2027555"/>
                    </a:xfrm>
                    <a:prstGeom prst="rect">
                      <a:avLst/>
                    </a:prstGeom>
                    <a:noFill/>
                    <a:ln w="9525">
                      <a:noFill/>
                      <a:miter lim="800000"/>
                      <a:headEnd/>
                      <a:tailEnd/>
                    </a:ln>
                  </pic:spPr>
                </pic:pic>
              </a:graphicData>
            </a:graphic>
          </wp:inline>
        </w:drawing>
      </w:r>
    </w:p>
    <w:p>
      <w:pPr>
        <w:spacing w:before="156" w:after="156" w:line="360" w:lineRule="auto"/>
        <w:ind w:firstLine="480"/>
        <w:jc w:val="center"/>
        <w:rPr>
          <w:rFonts w:hAnsi="宋体" w:cs="宋体"/>
          <w:color w:val="auto"/>
          <w:highlight w:val="none"/>
        </w:rPr>
      </w:pPr>
      <w:r>
        <w:rPr>
          <w:rFonts w:hint="eastAsia" w:cs="宋体"/>
          <w:color w:val="auto"/>
          <w:highlight w:val="none"/>
        </w:rPr>
        <w:drawing>
          <wp:inline distT="0" distB="0" distL="0" distR="0">
            <wp:extent cx="3844290" cy="3418205"/>
            <wp:effectExtent l="0" t="0" r="3810" b="1079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noChangeArrowheads="1"/>
                    </pic:cNvPicPr>
                  </pic:nvPicPr>
                  <pic:blipFill>
                    <a:blip r:embed="rId27"/>
                    <a:srcRect/>
                    <a:stretch>
                      <a:fillRect/>
                    </a:stretch>
                  </pic:blipFill>
                  <pic:spPr>
                    <a:xfrm>
                      <a:off x="0" y="0"/>
                      <a:ext cx="3844290" cy="3418205"/>
                    </a:xfrm>
                    <a:prstGeom prst="rect">
                      <a:avLst/>
                    </a:prstGeom>
                    <a:noFill/>
                    <a:ln w="9525">
                      <a:noFill/>
                      <a:miter lim="800000"/>
                      <a:headEnd/>
                      <a:tailEnd/>
                    </a:ln>
                  </pic:spPr>
                </pic:pic>
              </a:graphicData>
            </a:graphic>
          </wp:inline>
        </w:drawing>
      </w:r>
    </w:p>
    <w:p>
      <w:pPr>
        <w:spacing w:before="156" w:after="156" w:line="360" w:lineRule="auto"/>
        <w:ind w:firstLine="480"/>
        <w:rPr>
          <w:rFonts w:hAnsi="宋体" w:cs="宋体"/>
          <w:color w:val="auto"/>
          <w:highlight w:val="none"/>
        </w:rPr>
      </w:pPr>
      <w:r>
        <w:rPr>
          <w:rFonts w:hint="eastAsia" w:hAnsi="宋体" w:cs="宋体"/>
          <w:color w:val="auto"/>
          <w:highlight w:val="none"/>
        </w:rPr>
        <w:t>本项目汇水分区综合雨量径流系数可按下垫面种类加权平均计算：</w:t>
      </w:r>
    </w:p>
    <w:p>
      <w:pPr>
        <w:spacing w:before="156" w:after="156" w:line="360" w:lineRule="auto"/>
        <w:ind w:firstLine="480"/>
        <w:jc w:val="center"/>
        <w:rPr>
          <w:rFonts w:hAnsi="宋体"/>
          <w:color w:val="auto"/>
          <w:highlight w:val="none"/>
        </w:rPr>
      </w:pPr>
      <w:r>
        <w:rPr>
          <w:rFonts w:hAnsi="宋体"/>
          <w:color w:val="auto"/>
          <w:position w:val="-24"/>
          <w:highlight w:val="none"/>
        </w:rPr>
        <w:object>
          <v:shape id="_x0000_i1026" o:spt="75" type="#_x0000_t75" style="height:34.5pt;width:69pt;" o:ole="t" filled="f" o:preferrelative="t" stroked="f" coordsize="21600,21600">
            <v:path/>
            <v:fill on="f" focussize="0,0"/>
            <v:stroke on="f" joinstyle="miter"/>
            <v:imagedata r:id="rId29" o:title=""/>
            <o:lock v:ext="edit" aspectratio="t"/>
            <w10:wrap type="none"/>
            <w10:anchorlock/>
          </v:shape>
          <o:OLEObject Type="Embed" ProgID="Equation.3" ShapeID="_x0000_i1026" DrawAspect="Content" ObjectID="_1468075726" r:id="rId28">
            <o:LockedField>false</o:LockedField>
          </o:OLEObject>
        </w:object>
      </w:r>
    </w:p>
    <w:p>
      <w:pPr>
        <w:spacing w:before="156" w:after="156" w:line="360" w:lineRule="auto"/>
        <w:ind w:firstLine="480"/>
        <w:rPr>
          <w:rFonts w:hAnsi="宋体" w:cs="宋体"/>
          <w:color w:val="auto"/>
          <w:highlight w:val="none"/>
        </w:rPr>
      </w:pPr>
      <w:r>
        <w:rPr>
          <w:rFonts w:hint="eastAsia" w:hAnsi="宋体" w:cs="宋体"/>
          <w:color w:val="auto"/>
          <w:highlight w:val="none"/>
        </w:rPr>
        <w:t>式中：</w:t>
      </w:r>
      <w:r>
        <w:rPr>
          <w:rFonts w:hint="eastAsia" w:hAnsi="宋体"/>
          <w:color w:val="auto"/>
          <w:highlight w:val="none"/>
        </w:rPr>
        <w:t>Ψ</w:t>
      </w:r>
      <w:r>
        <w:rPr>
          <w:rFonts w:hint="eastAsia" w:hAnsi="宋体"/>
          <w:color w:val="auto"/>
          <w:highlight w:val="none"/>
          <w:vertAlign w:val="subscript"/>
        </w:rPr>
        <w:t>Z</w:t>
      </w:r>
      <w:r>
        <w:rPr>
          <w:rFonts w:hint="eastAsia" w:hAnsi="宋体" w:cs="宋体"/>
          <w:color w:val="auto"/>
          <w:highlight w:val="none"/>
        </w:rPr>
        <w:t xml:space="preserve"> --综合径流系数；</w:t>
      </w:r>
    </w:p>
    <w:p>
      <w:pPr>
        <w:spacing w:before="156" w:after="156" w:line="360" w:lineRule="auto"/>
        <w:ind w:firstLine="1200" w:firstLineChars="500"/>
        <w:rPr>
          <w:rFonts w:hAnsi="宋体" w:cs="宋体"/>
          <w:color w:val="auto"/>
          <w:highlight w:val="none"/>
        </w:rPr>
      </w:pPr>
      <w:r>
        <w:rPr>
          <w:rFonts w:hint="eastAsia" w:hAnsi="宋体" w:cs="宋体"/>
          <w:color w:val="auto"/>
          <w:highlight w:val="none"/>
        </w:rPr>
        <w:t>F --汇水面积，㎡；</w:t>
      </w:r>
    </w:p>
    <w:p>
      <w:pPr>
        <w:spacing w:before="156" w:after="156" w:line="360" w:lineRule="auto"/>
        <w:ind w:firstLine="1200" w:firstLineChars="500"/>
        <w:rPr>
          <w:rFonts w:hAnsi="宋体" w:cs="宋体"/>
          <w:color w:val="auto"/>
          <w:highlight w:val="none"/>
        </w:rPr>
      </w:pPr>
      <w:r>
        <w:rPr>
          <w:rFonts w:hint="eastAsia" w:hAnsi="宋体"/>
          <w:color w:val="auto"/>
          <w:highlight w:val="none"/>
        </w:rPr>
        <w:t>F</w:t>
      </w:r>
      <w:r>
        <w:rPr>
          <w:rFonts w:hint="eastAsia" w:hAnsi="宋体"/>
          <w:color w:val="auto"/>
          <w:highlight w:val="none"/>
          <w:vertAlign w:val="subscript"/>
        </w:rPr>
        <w:t>i</w:t>
      </w:r>
      <w:r>
        <w:rPr>
          <w:rFonts w:hint="eastAsia" w:hAnsi="宋体" w:cs="宋体"/>
          <w:color w:val="auto"/>
          <w:highlight w:val="none"/>
        </w:rPr>
        <w:t xml:space="preserve"> --汇水面上各类下垫面面积，㎡；</w:t>
      </w:r>
    </w:p>
    <w:p>
      <w:pPr>
        <w:spacing w:before="156" w:after="156" w:line="360" w:lineRule="auto"/>
        <w:ind w:firstLine="1200" w:firstLineChars="500"/>
        <w:rPr>
          <w:rFonts w:hAnsi="宋体" w:cs="宋体"/>
          <w:color w:val="auto"/>
          <w:highlight w:val="none"/>
        </w:rPr>
      </w:pPr>
      <w:r>
        <w:rPr>
          <w:rFonts w:hint="eastAsia" w:hAnsi="宋体"/>
          <w:color w:val="auto"/>
          <w:highlight w:val="none"/>
        </w:rPr>
        <w:t>Ψ</w:t>
      </w:r>
      <w:r>
        <w:rPr>
          <w:rFonts w:hint="eastAsia" w:hAnsi="宋体"/>
          <w:color w:val="auto"/>
          <w:highlight w:val="none"/>
          <w:vertAlign w:val="subscript"/>
        </w:rPr>
        <w:t>i</w:t>
      </w:r>
      <w:r>
        <w:rPr>
          <w:rFonts w:hint="eastAsia" w:hAnsi="宋体" w:cs="宋体"/>
          <w:color w:val="auto"/>
          <w:highlight w:val="none"/>
        </w:rPr>
        <w:t>--各类下垫面的径流系数；</w:t>
      </w:r>
    </w:p>
    <w:p>
      <w:pPr>
        <w:spacing w:before="156" w:after="156" w:line="360" w:lineRule="auto"/>
        <w:ind w:firstLine="480"/>
        <w:rPr>
          <w:rFonts w:hint="eastAsia" w:hAnsi="宋体" w:cs="宋体"/>
          <w:color w:val="auto"/>
          <w:highlight w:val="none"/>
        </w:rPr>
      </w:pPr>
      <w:r>
        <w:rPr>
          <w:rFonts w:hint="eastAsia" w:hAnsi="宋体" w:cs="宋体"/>
          <w:color w:val="auto"/>
          <w:highlight w:val="none"/>
        </w:rPr>
        <w:t>本项目设计调蓄容积具体计算过程如下表所示（按拟改造后设下垫面计算）</w:t>
      </w:r>
    </w:p>
    <w:p>
      <w:pPr>
        <w:spacing w:before="156" w:after="156" w:line="360" w:lineRule="auto"/>
        <w:ind w:firstLine="480"/>
        <w:jc w:val="center"/>
        <w:rPr>
          <w:rFonts w:hAnsi="宋体" w:cs="宋体"/>
          <w:b/>
          <w:bCs/>
          <w:color w:val="auto"/>
          <w:highlight w:val="none"/>
        </w:rPr>
      </w:pPr>
      <w:r>
        <w:rPr>
          <w:rFonts w:hint="eastAsia" w:hAnsi="宋体" w:cs="宋体"/>
          <w:b/>
          <w:bCs/>
          <w:color w:val="auto"/>
          <w:highlight w:val="none"/>
          <w:lang w:eastAsia="zh-CN"/>
        </w:rPr>
        <w:t>表</w:t>
      </w:r>
      <w:r>
        <w:rPr>
          <w:rFonts w:hint="eastAsia" w:hAnsi="宋体" w:cs="宋体"/>
          <w:b/>
          <w:bCs/>
          <w:color w:val="auto"/>
          <w:highlight w:val="none"/>
        </w:rPr>
        <w:t>4-1  项目</w:t>
      </w:r>
      <w:r>
        <w:rPr>
          <w:rFonts w:hint="eastAsia" w:hAnsi="宋体" w:cs="宋体"/>
          <w:b/>
          <w:bCs/>
          <w:color w:val="auto"/>
          <w:highlight w:val="none"/>
          <w:lang w:val="en-US" w:eastAsia="zh-CN"/>
        </w:rPr>
        <w:t>建成后</w:t>
      </w:r>
      <w:r>
        <w:rPr>
          <w:rFonts w:hint="eastAsia" w:hAnsi="宋体" w:cs="宋体"/>
          <w:b/>
          <w:bCs/>
          <w:color w:val="auto"/>
          <w:highlight w:val="none"/>
        </w:rPr>
        <w:t>总地块综合雨量径流系数</w:t>
      </w:r>
    </w:p>
    <w:tbl>
      <w:tblPr>
        <w:tblStyle w:val="43"/>
        <w:tblW w:w="8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996"/>
        <w:gridCol w:w="2052"/>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Merge w:val="restart"/>
            <w:vAlign w:val="center"/>
          </w:tcPr>
          <w:p>
            <w:pPr>
              <w:pStyle w:val="51"/>
              <w:spacing w:before="31" w:after="31"/>
              <w:rPr>
                <w:color w:val="auto"/>
                <w:szCs w:val="21"/>
                <w:highlight w:val="none"/>
              </w:rPr>
            </w:pPr>
            <w:r>
              <w:rPr>
                <w:color w:val="auto"/>
                <w:szCs w:val="21"/>
                <w:highlight w:val="none"/>
              </w:rPr>
              <w:t>下垫面类型</w:t>
            </w:r>
          </w:p>
        </w:tc>
        <w:tc>
          <w:tcPr>
            <w:tcW w:w="996" w:type="dxa"/>
            <w:vMerge w:val="restart"/>
            <w:vAlign w:val="center"/>
          </w:tcPr>
          <w:p>
            <w:pPr>
              <w:pStyle w:val="51"/>
              <w:spacing w:before="31" w:after="31"/>
              <w:rPr>
                <w:color w:val="auto"/>
                <w:szCs w:val="21"/>
                <w:highlight w:val="none"/>
              </w:rPr>
            </w:pPr>
            <w:r>
              <w:rPr>
                <w:color w:val="auto"/>
                <w:szCs w:val="21"/>
                <w:highlight w:val="none"/>
              </w:rPr>
              <w:t>编号</w:t>
            </w:r>
          </w:p>
        </w:tc>
        <w:tc>
          <w:tcPr>
            <w:tcW w:w="2052" w:type="dxa"/>
            <w:vAlign w:val="center"/>
          </w:tcPr>
          <w:p>
            <w:pPr>
              <w:pStyle w:val="51"/>
              <w:spacing w:before="31" w:after="31"/>
              <w:rPr>
                <w:color w:val="auto"/>
                <w:szCs w:val="21"/>
                <w:highlight w:val="none"/>
              </w:rPr>
            </w:pPr>
            <w:r>
              <w:rPr>
                <w:color w:val="auto"/>
                <w:szCs w:val="21"/>
                <w:highlight w:val="none"/>
              </w:rPr>
              <w:t>面积（㎡）</w:t>
            </w:r>
          </w:p>
        </w:tc>
        <w:tc>
          <w:tcPr>
            <w:tcW w:w="3200" w:type="dxa"/>
            <w:vAlign w:val="center"/>
          </w:tcPr>
          <w:p>
            <w:pPr>
              <w:pStyle w:val="51"/>
              <w:spacing w:before="31" w:after="31"/>
              <w:rPr>
                <w:color w:val="auto"/>
                <w:szCs w:val="21"/>
                <w:highlight w:val="none"/>
              </w:rPr>
            </w:pPr>
            <w:r>
              <w:rPr>
                <w:color w:val="auto"/>
                <w:szCs w:val="21"/>
                <w:highlight w:val="none"/>
              </w:rPr>
              <w:t>综合雨量径流系数取值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Merge w:val="continue"/>
            <w:vAlign w:val="center"/>
          </w:tcPr>
          <w:p>
            <w:pPr>
              <w:pStyle w:val="51"/>
              <w:spacing w:before="31" w:after="31"/>
              <w:rPr>
                <w:color w:val="auto"/>
                <w:szCs w:val="21"/>
                <w:highlight w:val="none"/>
              </w:rPr>
            </w:pPr>
          </w:p>
        </w:tc>
        <w:tc>
          <w:tcPr>
            <w:tcW w:w="996" w:type="dxa"/>
            <w:vMerge w:val="continue"/>
            <w:vAlign w:val="center"/>
          </w:tcPr>
          <w:p>
            <w:pPr>
              <w:pStyle w:val="51"/>
              <w:spacing w:before="31" w:after="31"/>
              <w:rPr>
                <w:color w:val="auto"/>
                <w:szCs w:val="21"/>
                <w:highlight w:val="none"/>
              </w:rPr>
            </w:pPr>
          </w:p>
        </w:tc>
        <w:tc>
          <w:tcPr>
            <w:tcW w:w="2052" w:type="dxa"/>
            <w:vAlign w:val="center"/>
          </w:tcPr>
          <w:p>
            <w:pPr>
              <w:pStyle w:val="51"/>
              <w:spacing w:before="31" w:after="31"/>
              <w:rPr>
                <w:color w:val="auto"/>
                <w:szCs w:val="21"/>
                <w:highlight w:val="none"/>
              </w:rPr>
            </w:pPr>
            <w:r>
              <w:rPr>
                <w:color w:val="auto"/>
                <w:szCs w:val="21"/>
                <w:highlight w:val="none"/>
              </w:rPr>
              <w:t>A</w:t>
            </w:r>
          </w:p>
        </w:tc>
        <w:tc>
          <w:tcPr>
            <w:tcW w:w="3200" w:type="dxa"/>
            <w:vAlign w:val="center"/>
          </w:tcPr>
          <w:p>
            <w:pPr>
              <w:pStyle w:val="51"/>
              <w:spacing w:before="31" w:after="31"/>
              <w:rPr>
                <w:color w:val="auto"/>
                <w:szCs w:val="21"/>
                <w:highlight w:val="none"/>
              </w:rPr>
            </w:pPr>
            <w:r>
              <w:rPr>
                <w:color w:val="auto"/>
                <w:szCs w:val="21"/>
                <w:highlight w:val="none"/>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硬质屋面</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1</w:t>
            </w:r>
          </w:p>
        </w:tc>
        <w:tc>
          <w:tcPr>
            <w:tcW w:w="205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6647.43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绿化屋面</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2</w:t>
            </w:r>
          </w:p>
        </w:tc>
        <w:tc>
          <w:tcPr>
            <w:tcW w:w="205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1235.57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室外绿地</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3</w:t>
            </w:r>
          </w:p>
        </w:tc>
        <w:tc>
          <w:tcPr>
            <w:tcW w:w="205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5050.05 </w:t>
            </w:r>
          </w:p>
        </w:tc>
        <w:tc>
          <w:tcPr>
            <w:tcW w:w="3200"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透水铺装（透水砖）</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4</w:t>
            </w:r>
          </w:p>
        </w:tc>
        <w:tc>
          <w:tcPr>
            <w:tcW w:w="205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5488.50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不透水铺装</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5</w:t>
            </w:r>
          </w:p>
        </w:tc>
        <w:tc>
          <w:tcPr>
            <w:tcW w:w="205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1199.65 </w:t>
            </w:r>
          </w:p>
        </w:tc>
        <w:tc>
          <w:tcPr>
            <w:tcW w:w="3200"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合计</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7</w:t>
            </w:r>
          </w:p>
        </w:tc>
        <w:tc>
          <w:tcPr>
            <w:tcW w:w="205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19621.20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0.516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color w:val="auto"/>
                <w:szCs w:val="21"/>
                <w:highlight w:val="none"/>
              </w:rPr>
            </w:pPr>
            <w:r>
              <w:rPr>
                <w:rFonts w:hint="eastAsia"/>
                <w:color w:val="auto"/>
                <w:szCs w:val="21"/>
                <w:highlight w:val="none"/>
              </w:rPr>
              <w:t>综合径流系数</w:t>
            </w:r>
          </w:p>
        </w:tc>
        <w:tc>
          <w:tcPr>
            <w:tcW w:w="6248" w:type="dxa"/>
            <w:gridSpan w:val="3"/>
            <w:vAlign w:val="center"/>
          </w:tcPr>
          <w:p>
            <w:pPr>
              <w:pStyle w:val="51"/>
              <w:spacing w:before="31" w:after="31"/>
              <w:jc w:val="center"/>
              <w:rPr>
                <w:rFonts w:hint="default" w:eastAsia="宋体"/>
                <w:color w:val="auto"/>
                <w:szCs w:val="21"/>
                <w:highlight w:val="none"/>
                <w:lang w:val="en-US" w:eastAsia="zh-CN"/>
              </w:rPr>
            </w:pPr>
            <w:r>
              <w:rPr>
                <w:rFonts w:hint="eastAsia"/>
                <w:color w:val="auto"/>
                <w:szCs w:val="21"/>
                <w:highlight w:val="none"/>
              </w:rPr>
              <w:t>ψZ =(A1*B1+A2*B2+A3*B3+A4*B4+A5*B5</w:t>
            </w:r>
            <w:r>
              <w:rPr>
                <w:rFonts w:hint="eastAsia"/>
                <w:color w:val="auto"/>
                <w:szCs w:val="21"/>
                <w:highlight w:val="none"/>
                <w:lang w:val="en-US" w:eastAsia="zh-CN"/>
              </w:rPr>
              <w:t>+</w:t>
            </w:r>
            <w:r>
              <w:rPr>
                <w:rFonts w:hint="eastAsia"/>
                <w:color w:val="auto"/>
                <w:szCs w:val="21"/>
                <w:highlight w:val="none"/>
              </w:rPr>
              <w:t>A</w:t>
            </w:r>
            <w:r>
              <w:rPr>
                <w:rFonts w:hint="eastAsia"/>
                <w:color w:val="auto"/>
                <w:szCs w:val="21"/>
                <w:highlight w:val="none"/>
                <w:lang w:val="en-US" w:eastAsia="zh-CN"/>
              </w:rPr>
              <w:t>6</w:t>
            </w:r>
            <w:r>
              <w:rPr>
                <w:rFonts w:hint="eastAsia"/>
                <w:color w:val="auto"/>
                <w:szCs w:val="21"/>
                <w:highlight w:val="none"/>
              </w:rPr>
              <w:t>*B</w:t>
            </w:r>
            <w:r>
              <w:rPr>
                <w:rFonts w:hint="eastAsia"/>
                <w:color w:val="auto"/>
                <w:szCs w:val="21"/>
                <w:highlight w:val="none"/>
                <w:lang w:val="en-US" w:eastAsia="zh-CN"/>
              </w:rPr>
              <w:t>6</w:t>
            </w:r>
            <w:r>
              <w:rPr>
                <w:rFonts w:hint="eastAsia"/>
                <w:color w:val="auto"/>
                <w:szCs w:val="21"/>
                <w:highlight w:val="none"/>
              </w:rPr>
              <w:t>)/A</w:t>
            </w:r>
            <w:r>
              <w:rPr>
                <w:rFonts w:hint="eastAsia"/>
                <w:color w:val="auto"/>
                <w:szCs w:val="21"/>
                <w:highlight w:val="none"/>
                <w:lang w:val="en-US" w:eastAsia="zh-CN"/>
              </w:rPr>
              <w:t>7</w:t>
            </w:r>
            <w:r>
              <w:rPr>
                <w:rFonts w:hint="eastAsia"/>
                <w:color w:val="auto"/>
                <w:szCs w:val="21"/>
                <w:highlight w:val="none"/>
              </w:rPr>
              <w:t>=0.</w:t>
            </w:r>
            <w:r>
              <w:rPr>
                <w:rFonts w:hint="eastAsia"/>
                <w:color w:val="auto"/>
                <w:szCs w:val="21"/>
                <w:highlight w:val="none"/>
                <w:lang w:val="en-US" w:eastAsia="zh-CN"/>
              </w:rPr>
              <w:t>516</w:t>
            </w:r>
          </w:p>
        </w:tc>
      </w:tr>
    </w:tbl>
    <w:p>
      <w:pPr>
        <w:spacing w:before="156" w:after="156" w:line="360" w:lineRule="auto"/>
        <w:ind w:left="0" w:leftChars="0" w:firstLine="0" w:firstLineChars="0"/>
        <w:rPr>
          <w:rFonts w:hint="eastAsia" w:hAnsi="宋体" w:cs="宋体"/>
          <w:color w:val="auto"/>
          <w:sz w:val="21"/>
          <w:highlight w:val="none"/>
          <w:lang w:val="en-US" w:eastAsia="zh-CN"/>
        </w:rPr>
      </w:pPr>
      <w:r>
        <w:rPr>
          <w:rFonts w:hint="eastAsia" w:hAnsi="宋体" w:cs="宋体"/>
          <w:color w:val="auto"/>
          <w:sz w:val="21"/>
          <w:highlight w:val="none"/>
          <w:lang w:val="en-US" w:eastAsia="zh-CN"/>
        </w:rPr>
        <w:t>注：1、本项目规划建设面积为19621.20㎡，绿地面积为3669.73㎡。</w:t>
      </w:r>
    </w:p>
    <w:p>
      <w:pPr>
        <w:numPr>
          <w:ilvl w:val="0"/>
          <w:numId w:val="3"/>
        </w:numPr>
        <w:spacing w:before="156" w:after="156" w:line="360" w:lineRule="auto"/>
        <w:ind w:left="0" w:leftChars="0" w:firstLine="420" w:firstLineChars="200"/>
        <w:rPr>
          <w:rFonts w:hint="eastAsia" w:hAnsi="宋体" w:cs="宋体"/>
          <w:color w:val="auto"/>
          <w:sz w:val="21"/>
          <w:highlight w:val="none"/>
          <w:lang w:val="en-US" w:eastAsia="zh-CN"/>
        </w:rPr>
      </w:pPr>
      <w:r>
        <w:rPr>
          <w:rFonts w:hint="eastAsia" w:hAnsi="宋体" w:cs="宋体"/>
          <w:color w:val="auto"/>
          <w:sz w:val="21"/>
          <w:highlight w:val="none"/>
          <w:lang w:val="en-US" w:eastAsia="zh-CN"/>
        </w:rPr>
        <w:t>项目硬质屋面面积为19621.20㎡，室外道路广场面积=规划建设用地面积-屋面面积-绿地面积=19621.20-6647.43-5050.05=6888.15㎡，各类型铺装面积如上表所示，具体位置详见“ HM-02 海绵设施分布总平面图 ”。</w:t>
      </w:r>
    </w:p>
    <w:p>
      <w:pPr>
        <w:spacing w:before="156" w:after="156" w:line="360" w:lineRule="auto"/>
        <w:ind w:firstLine="480"/>
        <w:jc w:val="center"/>
        <w:rPr>
          <w:rFonts w:hint="eastAsia" w:hAnsi="宋体" w:eastAsia="宋体" w:cs="宋体"/>
          <w:b/>
          <w:bCs/>
          <w:color w:val="auto"/>
          <w:highlight w:val="none"/>
          <w:lang w:eastAsia="zh-CN"/>
        </w:rPr>
      </w:pPr>
      <w:r>
        <w:rPr>
          <w:rFonts w:hint="eastAsia" w:hAnsi="宋体" w:cs="宋体"/>
          <w:b/>
          <w:bCs/>
          <w:color w:val="auto"/>
          <w:highlight w:val="none"/>
          <w:lang w:eastAsia="zh-CN"/>
        </w:rPr>
        <w:t>表</w:t>
      </w:r>
      <w:r>
        <w:rPr>
          <w:rFonts w:hint="eastAsia" w:hAnsi="宋体" w:cs="宋体"/>
          <w:b/>
          <w:bCs/>
          <w:color w:val="auto"/>
          <w:highlight w:val="none"/>
        </w:rPr>
        <w:t>4-</w:t>
      </w:r>
      <w:r>
        <w:rPr>
          <w:rFonts w:hint="eastAsia" w:hAnsi="宋体" w:cs="宋体"/>
          <w:b/>
          <w:bCs/>
          <w:color w:val="auto"/>
          <w:highlight w:val="none"/>
          <w:lang w:val="en-US" w:eastAsia="zh-CN"/>
        </w:rPr>
        <w:t>2</w:t>
      </w:r>
      <w:r>
        <w:rPr>
          <w:rFonts w:hint="eastAsia" w:hAnsi="宋体" w:cs="宋体"/>
          <w:b/>
          <w:bCs/>
          <w:color w:val="auto"/>
          <w:highlight w:val="none"/>
        </w:rPr>
        <w:t xml:space="preserve">  项目</w:t>
      </w:r>
      <w:r>
        <w:rPr>
          <w:rFonts w:hint="eastAsia" w:hAnsi="宋体" w:cs="宋体"/>
          <w:b/>
          <w:bCs/>
          <w:color w:val="auto"/>
          <w:highlight w:val="none"/>
          <w:lang w:val="en-US" w:eastAsia="zh-CN"/>
        </w:rPr>
        <w:t>建成后</w:t>
      </w:r>
      <w:r>
        <w:rPr>
          <w:rFonts w:hint="eastAsia" w:hAnsi="宋体" w:cs="宋体"/>
          <w:b/>
          <w:bCs/>
          <w:color w:val="auto"/>
          <w:highlight w:val="none"/>
        </w:rPr>
        <w:t>总地块综合雨量径流系数</w:t>
      </w:r>
      <w:r>
        <w:rPr>
          <w:rFonts w:hint="eastAsia" w:hAnsi="宋体" w:cs="宋体"/>
          <w:b/>
          <w:bCs/>
          <w:color w:val="auto"/>
          <w:highlight w:val="none"/>
          <w:lang w:eastAsia="zh-CN"/>
        </w:rPr>
        <w:t>（</w:t>
      </w:r>
      <w:r>
        <w:rPr>
          <w:rFonts w:hint="eastAsia" w:hAnsi="宋体" w:cs="宋体"/>
          <w:b/>
          <w:bCs/>
          <w:color w:val="auto"/>
          <w:highlight w:val="none"/>
          <w:lang w:val="en-US" w:eastAsia="zh-CN"/>
        </w:rPr>
        <w:t>第一分区</w:t>
      </w:r>
      <w:r>
        <w:rPr>
          <w:rFonts w:hint="eastAsia" w:hAnsi="宋体" w:cs="宋体"/>
          <w:b/>
          <w:bCs/>
          <w:color w:val="auto"/>
          <w:highlight w:val="none"/>
          <w:lang w:eastAsia="zh-CN"/>
        </w:rPr>
        <w:t>）</w:t>
      </w:r>
    </w:p>
    <w:tbl>
      <w:tblPr>
        <w:tblStyle w:val="43"/>
        <w:tblW w:w="8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996"/>
        <w:gridCol w:w="2052"/>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Merge w:val="restart"/>
            <w:vAlign w:val="center"/>
          </w:tcPr>
          <w:p>
            <w:pPr>
              <w:pStyle w:val="51"/>
              <w:spacing w:before="31" w:after="31"/>
              <w:rPr>
                <w:color w:val="auto"/>
                <w:szCs w:val="21"/>
                <w:highlight w:val="none"/>
              </w:rPr>
            </w:pPr>
            <w:r>
              <w:rPr>
                <w:color w:val="auto"/>
                <w:szCs w:val="21"/>
                <w:highlight w:val="none"/>
              </w:rPr>
              <w:t>下垫面类型</w:t>
            </w:r>
          </w:p>
        </w:tc>
        <w:tc>
          <w:tcPr>
            <w:tcW w:w="996" w:type="dxa"/>
            <w:vMerge w:val="restart"/>
            <w:vAlign w:val="center"/>
          </w:tcPr>
          <w:p>
            <w:pPr>
              <w:pStyle w:val="51"/>
              <w:spacing w:before="31" w:after="31"/>
              <w:rPr>
                <w:color w:val="auto"/>
                <w:szCs w:val="21"/>
                <w:highlight w:val="none"/>
              </w:rPr>
            </w:pPr>
            <w:r>
              <w:rPr>
                <w:color w:val="auto"/>
                <w:szCs w:val="21"/>
                <w:highlight w:val="none"/>
              </w:rPr>
              <w:t>编号</w:t>
            </w:r>
          </w:p>
        </w:tc>
        <w:tc>
          <w:tcPr>
            <w:tcW w:w="2052" w:type="dxa"/>
            <w:vAlign w:val="center"/>
          </w:tcPr>
          <w:p>
            <w:pPr>
              <w:pStyle w:val="51"/>
              <w:spacing w:before="31" w:after="31"/>
              <w:rPr>
                <w:color w:val="auto"/>
                <w:szCs w:val="21"/>
                <w:highlight w:val="none"/>
              </w:rPr>
            </w:pPr>
            <w:r>
              <w:rPr>
                <w:color w:val="auto"/>
                <w:szCs w:val="21"/>
                <w:highlight w:val="none"/>
              </w:rPr>
              <w:t>面积（㎡）</w:t>
            </w:r>
          </w:p>
        </w:tc>
        <w:tc>
          <w:tcPr>
            <w:tcW w:w="3200" w:type="dxa"/>
            <w:vAlign w:val="center"/>
          </w:tcPr>
          <w:p>
            <w:pPr>
              <w:pStyle w:val="51"/>
              <w:spacing w:before="31" w:after="31"/>
              <w:rPr>
                <w:color w:val="auto"/>
                <w:szCs w:val="21"/>
                <w:highlight w:val="none"/>
              </w:rPr>
            </w:pPr>
            <w:r>
              <w:rPr>
                <w:color w:val="auto"/>
                <w:szCs w:val="21"/>
                <w:highlight w:val="none"/>
              </w:rPr>
              <w:t>综合雨量径流系数取值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Merge w:val="continue"/>
            <w:vAlign w:val="center"/>
          </w:tcPr>
          <w:p>
            <w:pPr>
              <w:pStyle w:val="51"/>
              <w:spacing w:before="31" w:after="31"/>
              <w:rPr>
                <w:color w:val="auto"/>
                <w:szCs w:val="21"/>
                <w:highlight w:val="none"/>
              </w:rPr>
            </w:pPr>
          </w:p>
        </w:tc>
        <w:tc>
          <w:tcPr>
            <w:tcW w:w="996" w:type="dxa"/>
            <w:vMerge w:val="continue"/>
            <w:vAlign w:val="center"/>
          </w:tcPr>
          <w:p>
            <w:pPr>
              <w:pStyle w:val="51"/>
              <w:spacing w:before="31" w:after="31"/>
              <w:rPr>
                <w:color w:val="auto"/>
                <w:szCs w:val="21"/>
                <w:highlight w:val="none"/>
              </w:rPr>
            </w:pPr>
          </w:p>
        </w:tc>
        <w:tc>
          <w:tcPr>
            <w:tcW w:w="2052" w:type="dxa"/>
            <w:vAlign w:val="center"/>
          </w:tcPr>
          <w:p>
            <w:pPr>
              <w:pStyle w:val="51"/>
              <w:spacing w:before="31" w:after="31"/>
              <w:rPr>
                <w:color w:val="auto"/>
                <w:szCs w:val="21"/>
                <w:highlight w:val="none"/>
              </w:rPr>
            </w:pPr>
            <w:r>
              <w:rPr>
                <w:color w:val="auto"/>
                <w:szCs w:val="21"/>
                <w:highlight w:val="none"/>
              </w:rPr>
              <w:t>A</w:t>
            </w:r>
          </w:p>
        </w:tc>
        <w:tc>
          <w:tcPr>
            <w:tcW w:w="3200" w:type="dxa"/>
            <w:vAlign w:val="center"/>
          </w:tcPr>
          <w:p>
            <w:pPr>
              <w:pStyle w:val="51"/>
              <w:spacing w:before="31" w:after="31"/>
              <w:rPr>
                <w:color w:val="auto"/>
                <w:szCs w:val="21"/>
                <w:highlight w:val="none"/>
              </w:rPr>
            </w:pPr>
            <w:r>
              <w:rPr>
                <w:color w:val="auto"/>
                <w:szCs w:val="21"/>
                <w:highlight w:val="none"/>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硬质屋面</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1</w:t>
            </w:r>
          </w:p>
        </w:tc>
        <w:tc>
          <w:tcPr>
            <w:tcW w:w="205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2409.29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绿化屋面</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2</w:t>
            </w:r>
          </w:p>
        </w:tc>
        <w:tc>
          <w:tcPr>
            <w:tcW w:w="205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927.36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室外绿地</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3</w:t>
            </w:r>
          </w:p>
        </w:tc>
        <w:tc>
          <w:tcPr>
            <w:tcW w:w="205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1741.72 </w:t>
            </w:r>
          </w:p>
        </w:tc>
        <w:tc>
          <w:tcPr>
            <w:tcW w:w="3200"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透水铺装（透水砖）</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4</w:t>
            </w:r>
          </w:p>
        </w:tc>
        <w:tc>
          <w:tcPr>
            <w:tcW w:w="205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1886.40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不透水铺装</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5</w:t>
            </w:r>
          </w:p>
        </w:tc>
        <w:tc>
          <w:tcPr>
            <w:tcW w:w="205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880.81 </w:t>
            </w:r>
          </w:p>
        </w:tc>
        <w:tc>
          <w:tcPr>
            <w:tcW w:w="3200"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合计</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7</w:t>
            </w:r>
          </w:p>
        </w:tc>
        <w:tc>
          <w:tcPr>
            <w:tcW w:w="205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7845.58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0.544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color w:val="auto"/>
                <w:szCs w:val="21"/>
                <w:highlight w:val="none"/>
              </w:rPr>
            </w:pPr>
            <w:r>
              <w:rPr>
                <w:rFonts w:hint="eastAsia"/>
                <w:color w:val="auto"/>
                <w:szCs w:val="21"/>
                <w:highlight w:val="none"/>
              </w:rPr>
              <w:t>综合径流系数</w:t>
            </w:r>
          </w:p>
        </w:tc>
        <w:tc>
          <w:tcPr>
            <w:tcW w:w="6248" w:type="dxa"/>
            <w:gridSpan w:val="3"/>
            <w:vAlign w:val="center"/>
          </w:tcPr>
          <w:p>
            <w:pPr>
              <w:pStyle w:val="51"/>
              <w:spacing w:before="31" w:after="31"/>
              <w:jc w:val="center"/>
              <w:rPr>
                <w:rFonts w:hint="default" w:eastAsia="宋体"/>
                <w:color w:val="auto"/>
                <w:szCs w:val="21"/>
                <w:highlight w:val="none"/>
                <w:lang w:val="en-US" w:eastAsia="zh-CN"/>
              </w:rPr>
            </w:pPr>
            <w:r>
              <w:rPr>
                <w:rFonts w:hint="eastAsia"/>
                <w:color w:val="auto"/>
                <w:szCs w:val="21"/>
                <w:highlight w:val="none"/>
              </w:rPr>
              <w:t>ψZ =(A1*B1+A2*B2+A3*B3+A4*B4+A5*B5</w:t>
            </w:r>
            <w:r>
              <w:rPr>
                <w:rFonts w:hint="eastAsia"/>
                <w:color w:val="auto"/>
                <w:szCs w:val="21"/>
                <w:highlight w:val="none"/>
                <w:lang w:val="en-US" w:eastAsia="zh-CN"/>
              </w:rPr>
              <w:t>+</w:t>
            </w:r>
            <w:r>
              <w:rPr>
                <w:rFonts w:hint="eastAsia"/>
                <w:color w:val="auto"/>
                <w:szCs w:val="21"/>
                <w:highlight w:val="none"/>
              </w:rPr>
              <w:t>A</w:t>
            </w:r>
            <w:r>
              <w:rPr>
                <w:rFonts w:hint="eastAsia"/>
                <w:color w:val="auto"/>
                <w:szCs w:val="21"/>
                <w:highlight w:val="none"/>
                <w:lang w:val="en-US" w:eastAsia="zh-CN"/>
              </w:rPr>
              <w:t>6</w:t>
            </w:r>
            <w:r>
              <w:rPr>
                <w:rFonts w:hint="eastAsia"/>
                <w:color w:val="auto"/>
                <w:szCs w:val="21"/>
                <w:highlight w:val="none"/>
              </w:rPr>
              <w:t>*B</w:t>
            </w:r>
            <w:r>
              <w:rPr>
                <w:rFonts w:hint="eastAsia"/>
                <w:color w:val="auto"/>
                <w:szCs w:val="21"/>
                <w:highlight w:val="none"/>
                <w:lang w:val="en-US" w:eastAsia="zh-CN"/>
              </w:rPr>
              <w:t>6</w:t>
            </w:r>
            <w:r>
              <w:rPr>
                <w:rFonts w:hint="eastAsia"/>
                <w:color w:val="auto"/>
                <w:szCs w:val="21"/>
                <w:highlight w:val="none"/>
              </w:rPr>
              <w:t>)/A</w:t>
            </w:r>
            <w:r>
              <w:rPr>
                <w:rFonts w:hint="eastAsia"/>
                <w:color w:val="auto"/>
                <w:szCs w:val="21"/>
                <w:highlight w:val="none"/>
                <w:lang w:val="en-US" w:eastAsia="zh-CN"/>
              </w:rPr>
              <w:t>7</w:t>
            </w:r>
            <w:r>
              <w:rPr>
                <w:rFonts w:hint="eastAsia"/>
                <w:color w:val="auto"/>
                <w:szCs w:val="21"/>
                <w:highlight w:val="none"/>
              </w:rPr>
              <w:t>=0.</w:t>
            </w:r>
            <w:r>
              <w:rPr>
                <w:rFonts w:hint="eastAsia"/>
                <w:color w:val="auto"/>
                <w:szCs w:val="21"/>
                <w:highlight w:val="none"/>
                <w:lang w:val="en-US" w:eastAsia="zh-CN"/>
              </w:rPr>
              <w:t>544</w:t>
            </w:r>
          </w:p>
        </w:tc>
      </w:tr>
    </w:tbl>
    <w:p>
      <w:pPr>
        <w:spacing w:before="156" w:after="156" w:line="360" w:lineRule="auto"/>
        <w:ind w:firstLine="480"/>
        <w:jc w:val="center"/>
        <w:rPr>
          <w:rFonts w:hint="eastAsia" w:hAnsi="宋体" w:eastAsia="宋体" w:cs="宋体"/>
          <w:b/>
          <w:bCs/>
          <w:color w:val="auto"/>
          <w:highlight w:val="none"/>
          <w:lang w:eastAsia="zh-CN"/>
        </w:rPr>
      </w:pPr>
      <w:r>
        <w:rPr>
          <w:rFonts w:hint="eastAsia" w:hAnsi="宋体" w:cs="宋体"/>
          <w:b/>
          <w:bCs/>
          <w:color w:val="auto"/>
          <w:highlight w:val="none"/>
          <w:lang w:eastAsia="zh-CN"/>
        </w:rPr>
        <w:t>表</w:t>
      </w:r>
      <w:r>
        <w:rPr>
          <w:rFonts w:hint="eastAsia" w:hAnsi="宋体" w:cs="宋体"/>
          <w:b/>
          <w:bCs/>
          <w:color w:val="auto"/>
          <w:highlight w:val="none"/>
        </w:rPr>
        <w:t>4-</w:t>
      </w:r>
      <w:r>
        <w:rPr>
          <w:rFonts w:hint="eastAsia" w:hAnsi="宋体" w:cs="宋体"/>
          <w:b/>
          <w:bCs/>
          <w:color w:val="auto"/>
          <w:highlight w:val="none"/>
          <w:lang w:val="en-US" w:eastAsia="zh-CN"/>
        </w:rPr>
        <w:t>3</w:t>
      </w:r>
      <w:r>
        <w:rPr>
          <w:rFonts w:hint="eastAsia" w:hAnsi="宋体" w:cs="宋体"/>
          <w:b/>
          <w:bCs/>
          <w:color w:val="auto"/>
          <w:highlight w:val="none"/>
        </w:rPr>
        <w:t xml:space="preserve">  项目</w:t>
      </w:r>
      <w:r>
        <w:rPr>
          <w:rFonts w:hint="eastAsia" w:hAnsi="宋体" w:cs="宋体"/>
          <w:b/>
          <w:bCs/>
          <w:color w:val="auto"/>
          <w:highlight w:val="none"/>
          <w:lang w:val="en-US" w:eastAsia="zh-CN"/>
        </w:rPr>
        <w:t>建成后</w:t>
      </w:r>
      <w:r>
        <w:rPr>
          <w:rFonts w:hint="eastAsia" w:hAnsi="宋体" w:cs="宋体"/>
          <w:b/>
          <w:bCs/>
          <w:color w:val="auto"/>
          <w:highlight w:val="none"/>
        </w:rPr>
        <w:t>总地块综合雨量径流系数</w:t>
      </w:r>
      <w:r>
        <w:rPr>
          <w:rFonts w:hint="eastAsia" w:hAnsi="宋体" w:cs="宋体"/>
          <w:b/>
          <w:bCs/>
          <w:color w:val="auto"/>
          <w:highlight w:val="none"/>
          <w:lang w:eastAsia="zh-CN"/>
        </w:rPr>
        <w:t>（</w:t>
      </w:r>
      <w:r>
        <w:rPr>
          <w:rFonts w:hint="eastAsia" w:hAnsi="宋体" w:cs="宋体"/>
          <w:b/>
          <w:bCs/>
          <w:color w:val="auto"/>
          <w:highlight w:val="none"/>
          <w:lang w:val="en-US" w:eastAsia="zh-CN"/>
        </w:rPr>
        <w:t>第二分区</w:t>
      </w:r>
      <w:r>
        <w:rPr>
          <w:rFonts w:hint="eastAsia" w:hAnsi="宋体" w:cs="宋体"/>
          <w:b/>
          <w:bCs/>
          <w:color w:val="auto"/>
          <w:highlight w:val="none"/>
          <w:lang w:eastAsia="zh-CN"/>
        </w:rPr>
        <w:t>）</w:t>
      </w:r>
    </w:p>
    <w:tbl>
      <w:tblPr>
        <w:tblStyle w:val="43"/>
        <w:tblW w:w="8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996"/>
        <w:gridCol w:w="2052"/>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Merge w:val="restart"/>
            <w:vAlign w:val="center"/>
          </w:tcPr>
          <w:p>
            <w:pPr>
              <w:pStyle w:val="51"/>
              <w:spacing w:before="31" w:after="31"/>
              <w:rPr>
                <w:color w:val="auto"/>
                <w:szCs w:val="21"/>
                <w:highlight w:val="none"/>
              </w:rPr>
            </w:pPr>
            <w:r>
              <w:rPr>
                <w:color w:val="auto"/>
                <w:szCs w:val="21"/>
                <w:highlight w:val="none"/>
              </w:rPr>
              <w:t>下垫面类型</w:t>
            </w:r>
          </w:p>
        </w:tc>
        <w:tc>
          <w:tcPr>
            <w:tcW w:w="996" w:type="dxa"/>
            <w:vMerge w:val="restart"/>
            <w:vAlign w:val="center"/>
          </w:tcPr>
          <w:p>
            <w:pPr>
              <w:pStyle w:val="51"/>
              <w:spacing w:before="31" w:after="31"/>
              <w:rPr>
                <w:color w:val="auto"/>
                <w:szCs w:val="21"/>
                <w:highlight w:val="none"/>
              </w:rPr>
            </w:pPr>
            <w:r>
              <w:rPr>
                <w:color w:val="auto"/>
                <w:szCs w:val="21"/>
                <w:highlight w:val="none"/>
              </w:rPr>
              <w:t>编号</w:t>
            </w:r>
          </w:p>
        </w:tc>
        <w:tc>
          <w:tcPr>
            <w:tcW w:w="2052" w:type="dxa"/>
            <w:vAlign w:val="center"/>
          </w:tcPr>
          <w:p>
            <w:pPr>
              <w:pStyle w:val="51"/>
              <w:spacing w:before="31" w:after="31"/>
              <w:rPr>
                <w:color w:val="auto"/>
                <w:szCs w:val="21"/>
                <w:highlight w:val="none"/>
              </w:rPr>
            </w:pPr>
            <w:r>
              <w:rPr>
                <w:color w:val="auto"/>
                <w:szCs w:val="21"/>
                <w:highlight w:val="none"/>
              </w:rPr>
              <w:t>面积（㎡）</w:t>
            </w:r>
          </w:p>
        </w:tc>
        <w:tc>
          <w:tcPr>
            <w:tcW w:w="3200" w:type="dxa"/>
            <w:vAlign w:val="center"/>
          </w:tcPr>
          <w:p>
            <w:pPr>
              <w:pStyle w:val="51"/>
              <w:spacing w:before="31" w:after="31"/>
              <w:rPr>
                <w:color w:val="auto"/>
                <w:szCs w:val="21"/>
                <w:highlight w:val="none"/>
              </w:rPr>
            </w:pPr>
            <w:r>
              <w:rPr>
                <w:color w:val="auto"/>
                <w:szCs w:val="21"/>
                <w:highlight w:val="none"/>
              </w:rPr>
              <w:t>综合雨量径流系数取值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Merge w:val="continue"/>
            <w:vAlign w:val="center"/>
          </w:tcPr>
          <w:p>
            <w:pPr>
              <w:pStyle w:val="51"/>
              <w:spacing w:before="31" w:after="31"/>
              <w:rPr>
                <w:color w:val="auto"/>
                <w:szCs w:val="21"/>
                <w:highlight w:val="none"/>
              </w:rPr>
            </w:pPr>
          </w:p>
        </w:tc>
        <w:tc>
          <w:tcPr>
            <w:tcW w:w="996" w:type="dxa"/>
            <w:vMerge w:val="continue"/>
            <w:vAlign w:val="center"/>
          </w:tcPr>
          <w:p>
            <w:pPr>
              <w:pStyle w:val="51"/>
              <w:spacing w:before="31" w:after="31"/>
              <w:rPr>
                <w:color w:val="auto"/>
                <w:szCs w:val="21"/>
                <w:highlight w:val="none"/>
              </w:rPr>
            </w:pPr>
          </w:p>
        </w:tc>
        <w:tc>
          <w:tcPr>
            <w:tcW w:w="2052" w:type="dxa"/>
            <w:vAlign w:val="center"/>
          </w:tcPr>
          <w:p>
            <w:pPr>
              <w:pStyle w:val="51"/>
              <w:spacing w:before="31" w:after="31"/>
              <w:rPr>
                <w:color w:val="auto"/>
                <w:szCs w:val="21"/>
                <w:highlight w:val="none"/>
              </w:rPr>
            </w:pPr>
            <w:r>
              <w:rPr>
                <w:color w:val="auto"/>
                <w:szCs w:val="21"/>
                <w:highlight w:val="none"/>
              </w:rPr>
              <w:t>A</w:t>
            </w:r>
          </w:p>
        </w:tc>
        <w:tc>
          <w:tcPr>
            <w:tcW w:w="3200" w:type="dxa"/>
            <w:vAlign w:val="center"/>
          </w:tcPr>
          <w:p>
            <w:pPr>
              <w:pStyle w:val="51"/>
              <w:spacing w:before="31" w:after="31"/>
              <w:rPr>
                <w:color w:val="auto"/>
                <w:szCs w:val="21"/>
                <w:highlight w:val="none"/>
              </w:rPr>
            </w:pPr>
            <w:r>
              <w:rPr>
                <w:color w:val="auto"/>
                <w:szCs w:val="21"/>
                <w:highlight w:val="none"/>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硬质屋面</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1</w:t>
            </w:r>
          </w:p>
        </w:tc>
        <w:tc>
          <w:tcPr>
            <w:tcW w:w="205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4238.14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绿化屋面</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2</w:t>
            </w:r>
          </w:p>
        </w:tc>
        <w:tc>
          <w:tcPr>
            <w:tcW w:w="205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308.21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室外绿地</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3</w:t>
            </w:r>
          </w:p>
        </w:tc>
        <w:tc>
          <w:tcPr>
            <w:tcW w:w="205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3308.33 </w:t>
            </w:r>
          </w:p>
        </w:tc>
        <w:tc>
          <w:tcPr>
            <w:tcW w:w="3200"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透水铺装（透水砖）</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4</w:t>
            </w:r>
          </w:p>
        </w:tc>
        <w:tc>
          <w:tcPr>
            <w:tcW w:w="205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3602.10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不透水铺装</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5</w:t>
            </w:r>
          </w:p>
        </w:tc>
        <w:tc>
          <w:tcPr>
            <w:tcW w:w="205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318.84 </w:t>
            </w:r>
          </w:p>
        </w:tc>
        <w:tc>
          <w:tcPr>
            <w:tcW w:w="3200"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合计</w:t>
            </w:r>
          </w:p>
        </w:tc>
        <w:tc>
          <w:tcPr>
            <w:tcW w:w="996"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7</w:t>
            </w:r>
          </w:p>
        </w:tc>
        <w:tc>
          <w:tcPr>
            <w:tcW w:w="205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11775.62 </w:t>
            </w:r>
          </w:p>
        </w:tc>
        <w:tc>
          <w:tcPr>
            <w:tcW w:w="320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0.518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43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综合径流系数</w:t>
            </w:r>
          </w:p>
        </w:tc>
        <w:tc>
          <w:tcPr>
            <w:tcW w:w="6248" w:type="dxa"/>
            <w:gridSpan w:val="3"/>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ψZ =(A1*B1+A2*B2+A3*B3+A4*B4+A5*B5+A6*B6)/A7=0.518</w:t>
            </w:r>
          </w:p>
        </w:tc>
      </w:tr>
    </w:tbl>
    <w:p>
      <w:pPr>
        <w:autoSpaceDE/>
        <w:autoSpaceDN/>
        <w:adjustRightInd/>
        <w:spacing w:before="156" w:after="156" w:line="360" w:lineRule="auto"/>
        <w:ind w:firstLine="0" w:firstLineChars="0"/>
        <w:jc w:val="center"/>
        <w:rPr>
          <w:rFonts w:hAnsi="宋体" w:cs="宋体"/>
          <w:b/>
          <w:bCs/>
          <w:color w:val="auto"/>
          <w:highlight w:val="none"/>
        </w:rPr>
      </w:pPr>
      <w:r>
        <w:rPr>
          <w:rFonts w:hint="eastAsia" w:hAnsi="宋体" w:cs="宋体"/>
          <w:b/>
          <w:bCs/>
          <w:color w:val="auto"/>
          <w:highlight w:val="none"/>
        </w:rPr>
        <w:t>表4-</w:t>
      </w:r>
      <w:r>
        <w:rPr>
          <w:rFonts w:hint="eastAsia" w:hAnsi="宋体" w:cs="宋体"/>
          <w:b/>
          <w:bCs/>
          <w:color w:val="auto"/>
          <w:highlight w:val="none"/>
          <w:lang w:val="en-US" w:eastAsia="zh-CN"/>
        </w:rPr>
        <w:t>4</w:t>
      </w:r>
      <w:r>
        <w:rPr>
          <w:rFonts w:hint="eastAsia" w:hAnsi="宋体" w:cs="宋体"/>
          <w:b/>
          <w:bCs/>
          <w:color w:val="auto"/>
          <w:highlight w:val="none"/>
        </w:rPr>
        <w:t xml:space="preserve">  场地设计所需调蓄容积计算</w:t>
      </w:r>
    </w:p>
    <w:tbl>
      <w:tblPr>
        <w:tblStyle w:val="43"/>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318"/>
        <w:gridCol w:w="1434"/>
        <w:gridCol w:w="1130"/>
        <w:gridCol w:w="1557"/>
        <w:gridCol w:w="145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pStyle w:val="51"/>
              <w:spacing w:before="31" w:after="31"/>
              <w:rPr>
                <w:rFonts w:hint="eastAsia"/>
                <w:color w:val="auto"/>
                <w:highlight w:val="none"/>
              </w:rPr>
            </w:pPr>
            <w:r>
              <w:rPr>
                <w:rFonts w:hint="eastAsia"/>
                <w:color w:val="auto"/>
                <w:highlight w:val="none"/>
              </w:rPr>
              <w:t>序号</w:t>
            </w:r>
          </w:p>
        </w:tc>
        <w:tc>
          <w:tcPr>
            <w:tcW w:w="1318" w:type="dxa"/>
            <w:vAlign w:val="center"/>
          </w:tcPr>
          <w:p>
            <w:pPr>
              <w:pStyle w:val="51"/>
              <w:spacing w:before="31" w:after="31"/>
              <w:rPr>
                <w:rFonts w:hint="eastAsia"/>
                <w:color w:val="auto"/>
                <w:highlight w:val="none"/>
              </w:rPr>
            </w:pPr>
            <w:r>
              <w:rPr>
                <w:rFonts w:hint="eastAsia"/>
                <w:color w:val="auto"/>
                <w:highlight w:val="none"/>
              </w:rPr>
              <w:t>汇水</w:t>
            </w:r>
          </w:p>
          <w:p>
            <w:pPr>
              <w:pStyle w:val="51"/>
              <w:spacing w:before="31" w:after="31"/>
              <w:rPr>
                <w:rFonts w:hint="eastAsia"/>
                <w:color w:val="auto"/>
                <w:highlight w:val="none"/>
              </w:rPr>
            </w:pPr>
            <w:r>
              <w:rPr>
                <w:rFonts w:hint="eastAsia"/>
                <w:color w:val="auto"/>
                <w:highlight w:val="none"/>
              </w:rPr>
              <w:t>分区</w:t>
            </w:r>
          </w:p>
        </w:tc>
        <w:tc>
          <w:tcPr>
            <w:tcW w:w="1434" w:type="dxa"/>
            <w:vAlign w:val="center"/>
          </w:tcPr>
          <w:p>
            <w:pPr>
              <w:pStyle w:val="51"/>
              <w:spacing w:before="31" w:after="31"/>
              <w:rPr>
                <w:rFonts w:hint="eastAsia"/>
                <w:color w:val="auto"/>
                <w:highlight w:val="none"/>
              </w:rPr>
            </w:pPr>
            <w:r>
              <w:rPr>
                <w:rFonts w:hint="eastAsia"/>
                <w:color w:val="auto"/>
                <w:highlight w:val="none"/>
              </w:rPr>
              <w:t>建设用地面积F（㎡）</w:t>
            </w:r>
          </w:p>
        </w:tc>
        <w:tc>
          <w:tcPr>
            <w:tcW w:w="1130" w:type="dxa"/>
            <w:vAlign w:val="center"/>
          </w:tcPr>
          <w:p>
            <w:pPr>
              <w:pStyle w:val="51"/>
              <w:spacing w:before="31" w:after="31"/>
              <w:rPr>
                <w:rFonts w:hint="eastAsia"/>
                <w:color w:val="auto"/>
                <w:highlight w:val="none"/>
              </w:rPr>
            </w:pPr>
            <w:r>
              <w:rPr>
                <w:rFonts w:hint="eastAsia"/>
                <w:color w:val="auto"/>
                <w:highlight w:val="none"/>
              </w:rPr>
              <w:t>径流系数ψ</w:t>
            </w:r>
          </w:p>
        </w:tc>
        <w:tc>
          <w:tcPr>
            <w:tcW w:w="1557" w:type="dxa"/>
            <w:vAlign w:val="center"/>
          </w:tcPr>
          <w:p>
            <w:pPr>
              <w:pStyle w:val="51"/>
              <w:spacing w:before="31" w:after="31"/>
              <w:rPr>
                <w:rFonts w:hint="eastAsia"/>
                <w:color w:val="auto"/>
                <w:highlight w:val="none"/>
              </w:rPr>
            </w:pPr>
            <w:r>
              <w:rPr>
                <w:rFonts w:hint="eastAsia"/>
                <w:color w:val="auto"/>
                <w:highlight w:val="none"/>
              </w:rPr>
              <w:t>年径流总控制率a（%）</w:t>
            </w:r>
          </w:p>
        </w:tc>
        <w:tc>
          <w:tcPr>
            <w:tcW w:w="1459" w:type="dxa"/>
            <w:vAlign w:val="center"/>
          </w:tcPr>
          <w:p>
            <w:pPr>
              <w:pStyle w:val="51"/>
              <w:spacing w:before="31" w:after="31"/>
              <w:rPr>
                <w:rFonts w:hint="eastAsia"/>
                <w:color w:val="auto"/>
                <w:highlight w:val="none"/>
              </w:rPr>
            </w:pPr>
            <w:r>
              <w:rPr>
                <w:rFonts w:hint="eastAsia"/>
                <w:color w:val="auto"/>
                <w:highlight w:val="none"/>
              </w:rPr>
              <w:t>设计降雨量h（mm）</w:t>
            </w:r>
          </w:p>
        </w:tc>
        <w:tc>
          <w:tcPr>
            <w:tcW w:w="1430" w:type="dxa"/>
            <w:vAlign w:val="center"/>
          </w:tcPr>
          <w:p>
            <w:pPr>
              <w:pStyle w:val="51"/>
              <w:spacing w:before="31" w:after="31"/>
              <w:rPr>
                <w:rFonts w:hint="eastAsia"/>
                <w:color w:val="auto"/>
                <w:highlight w:val="none"/>
              </w:rPr>
            </w:pPr>
            <w:r>
              <w:rPr>
                <w:rFonts w:hint="eastAsia"/>
                <w:color w:val="auto"/>
                <w:highlight w:val="none"/>
              </w:rPr>
              <w:t>场地设计所需调蓄容量（m³)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1</w:t>
            </w:r>
          </w:p>
        </w:tc>
        <w:tc>
          <w:tcPr>
            <w:tcW w:w="1318"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总地块</w:t>
            </w:r>
          </w:p>
        </w:tc>
        <w:tc>
          <w:tcPr>
            <w:tcW w:w="143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19621.20 </w:t>
            </w:r>
          </w:p>
        </w:tc>
        <w:tc>
          <w:tcPr>
            <w:tcW w:w="113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0.516</w:t>
            </w:r>
          </w:p>
        </w:tc>
        <w:tc>
          <w:tcPr>
            <w:tcW w:w="1557"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77</w:t>
            </w:r>
          </w:p>
        </w:tc>
        <w:tc>
          <w:tcPr>
            <w:tcW w:w="1459"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32.5</w:t>
            </w:r>
          </w:p>
        </w:tc>
        <w:tc>
          <w:tcPr>
            <w:tcW w:w="143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328.98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2</w:t>
            </w:r>
          </w:p>
        </w:tc>
        <w:tc>
          <w:tcPr>
            <w:tcW w:w="1318"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第一分区</w:t>
            </w:r>
          </w:p>
        </w:tc>
        <w:tc>
          <w:tcPr>
            <w:tcW w:w="143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7845.58 </w:t>
            </w:r>
          </w:p>
        </w:tc>
        <w:tc>
          <w:tcPr>
            <w:tcW w:w="113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0.544</w:t>
            </w:r>
          </w:p>
        </w:tc>
        <w:tc>
          <w:tcPr>
            <w:tcW w:w="1557"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77</w:t>
            </w:r>
          </w:p>
        </w:tc>
        <w:tc>
          <w:tcPr>
            <w:tcW w:w="1459"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32.5</w:t>
            </w:r>
          </w:p>
        </w:tc>
        <w:tc>
          <w:tcPr>
            <w:tcW w:w="1430"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138.79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3</w:t>
            </w:r>
          </w:p>
        </w:tc>
        <w:tc>
          <w:tcPr>
            <w:tcW w:w="1318"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第二分区</w:t>
            </w:r>
          </w:p>
        </w:tc>
        <w:tc>
          <w:tcPr>
            <w:tcW w:w="143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11775.62 </w:t>
            </w:r>
          </w:p>
        </w:tc>
        <w:tc>
          <w:tcPr>
            <w:tcW w:w="1130"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0.518</w:t>
            </w:r>
          </w:p>
        </w:tc>
        <w:tc>
          <w:tcPr>
            <w:tcW w:w="1557"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77</w:t>
            </w:r>
          </w:p>
        </w:tc>
        <w:tc>
          <w:tcPr>
            <w:tcW w:w="1459"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32.5</w:t>
            </w:r>
          </w:p>
        </w:tc>
        <w:tc>
          <w:tcPr>
            <w:tcW w:w="1430"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198.22 </w:t>
            </w:r>
          </w:p>
        </w:tc>
      </w:tr>
    </w:tbl>
    <w:p>
      <w:pPr>
        <w:pStyle w:val="3"/>
        <w:spacing w:before="156" w:after="156"/>
        <w:rPr>
          <w:color w:val="auto"/>
          <w:highlight w:val="none"/>
        </w:rPr>
      </w:pPr>
      <w:bookmarkStart w:id="51" w:name="_Toc13142"/>
      <w:bookmarkStart w:id="52" w:name="_Toc3190"/>
      <w:r>
        <w:rPr>
          <w:rFonts w:hint="eastAsia"/>
          <w:color w:val="auto"/>
          <w:highlight w:val="none"/>
        </w:rPr>
        <w:t>4.3、雨水调蓄容积校核</w:t>
      </w:r>
      <w:bookmarkEnd w:id="51"/>
      <w:bookmarkEnd w:id="52"/>
    </w:p>
    <w:p>
      <w:pPr>
        <w:spacing w:before="156" w:after="156"/>
        <w:ind w:firstLine="480"/>
        <w:rPr>
          <w:rFonts w:hAnsi="宋体" w:cs="宋体"/>
          <w:color w:val="auto"/>
          <w:highlight w:val="none"/>
        </w:rPr>
      </w:pPr>
      <w:r>
        <w:rPr>
          <w:rFonts w:hint="eastAsia" w:hAnsi="宋体" w:cs="宋体"/>
          <w:color w:val="auto"/>
          <w:highlight w:val="none"/>
        </w:rPr>
        <w:t>根据《海绵城市建设技术指南——低影响开发雨水系统构建（试行）》，透水铺装仅参与综合雨量径流系数的计算，其结构内的空隙容积一般不再计入总调蓄容积。本项目雨水调蓄措施主要为下沉绿地，雨水调蓄设施详见</w:t>
      </w:r>
      <w:r>
        <w:rPr>
          <w:rFonts w:hint="eastAsia" w:hAnsi="宋体" w:cs="宋体"/>
          <w:color w:val="auto"/>
          <w:highlight w:val="none"/>
          <w:lang w:eastAsia="zh-CN"/>
        </w:rPr>
        <w:t>“</w:t>
      </w:r>
      <w:r>
        <w:rPr>
          <w:rFonts w:hint="eastAsia" w:hAnsi="宋体" w:cs="宋体"/>
          <w:color w:val="auto"/>
          <w:highlight w:val="none"/>
        </w:rPr>
        <w:t>HM-0</w:t>
      </w:r>
      <w:r>
        <w:rPr>
          <w:rFonts w:hint="eastAsia" w:hAnsi="宋体" w:cs="宋体"/>
          <w:color w:val="auto"/>
          <w:highlight w:val="none"/>
          <w:lang w:val="en-US" w:eastAsia="zh-CN"/>
        </w:rPr>
        <w:t>3</w:t>
      </w:r>
      <w:r>
        <w:rPr>
          <w:rFonts w:hint="eastAsia" w:hAnsi="宋体" w:cs="宋体"/>
          <w:color w:val="auto"/>
          <w:highlight w:val="none"/>
        </w:rPr>
        <w:t>海绵城市设施分布平面图</w:t>
      </w:r>
      <w:r>
        <w:rPr>
          <w:rFonts w:hint="eastAsia" w:hAnsi="宋体" w:cs="宋体"/>
          <w:color w:val="auto"/>
          <w:highlight w:val="none"/>
          <w:lang w:eastAsia="zh-CN"/>
        </w:rPr>
        <w:t>”</w:t>
      </w:r>
      <w:r>
        <w:rPr>
          <w:rFonts w:hint="eastAsia" w:hAnsi="宋体" w:cs="宋体"/>
          <w:color w:val="auto"/>
          <w:highlight w:val="none"/>
        </w:rPr>
        <w:t>。</w:t>
      </w:r>
    </w:p>
    <w:p>
      <w:pPr>
        <w:spacing w:before="156" w:after="156"/>
        <w:ind w:firstLine="480"/>
        <w:rPr>
          <w:rFonts w:hAnsi="宋体" w:cs="宋体"/>
          <w:color w:val="auto"/>
          <w:highlight w:val="none"/>
        </w:rPr>
      </w:pPr>
      <w:r>
        <w:rPr>
          <w:rFonts w:hint="eastAsia" w:hAnsi="宋体" w:cs="宋体"/>
          <w:color w:val="auto"/>
          <w:highlight w:val="none"/>
        </w:rPr>
        <w:t>本项目下沉绿地的深度按200mm设计，下沉绿地溢流口高度高出下沉绿地底部150mm，调蓄深度按150mm计算。考虑实际施工下沉式绿地存在放坡及堆土情况，本项目计算下沉绿地设计调蓄容积时按0.8倍进行折算。</w:t>
      </w:r>
    </w:p>
    <w:p>
      <w:pPr>
        <w:spacing w:before="156" w:after="156"/>
        <w:ind w:firstLine="480"/>
        <w:rPr>
          <w:rFonts w:hAnsi="宋体" w:cs="宋体"/>
          <w:color w:val="auto"/>
          <w:highlight w:val="none"/>
        </w:rPr>
      </w:pPr>
      <w:r>
        <w:rPr>
          <w:rFonts w:hint="eastAsia" w:hAnsi="宋体" w:cs="宋体"/>
          <w:color w:val="auto"/>
          <w:highlight w:val="none"/>
        </w:rPr>
        <w:t>同时，各场地需计算汇水分区内实际雨水径流量，并校核LID设施的实际有效调蓄容积，保证各汇水分区内LID设施的实际有效调蓄容积不大于设计降雨量下其汇水分区内的实际降雨径流量。</w:t>
      </w:r>
    </w:p>
    <w:p>
      <w:pPr>
        <w:spacing w:before="156" w:after="156"/>
        <w:ind w:firstLine="480"/>
        <w:rPr>
          <w:rFonts w:hAnsi="宋体" w:cs="宋体"/>
          <w:color w:val="auto"/>
          <w:highlight w:val="none"/>
        </w:rPr>
      </w:pPr>
      <w:r>
        <w:rPr>
          <w:rFonts w:hint="eastAsia" w:hAnsi="宋体" w:cs="宋体"/>
          <w:color w:val="auto"/>
          <w:highlight w:val="none"/>
        </w:rPr>
        <w:t>设计降雨量下场地的降雨径流量计算公式如下：</w:t>
      </w:r>
    </w:p>
    <w:p>
      <w:pPr>
        <w:spacing w:before="156" w:after="156"/>
        <w:ind w:firstLine="1200" w:firstLineChars="500"/>
        <w:rPr>
          <w:color w:val="auto"/>
          <w:highlight w:val="none"/>
        </w:rPr>
      </w:pPr>
      <w:r>
        <w:rPr>
          <w:rFonts w:hint="eastAsia"/>
          <w:color w:val="auto"/>
          <w:highlight w:val="none"/>
        </w:rPr>
        <w:t xml:space="preserve"> </w:t>
      </w:r>
      <w:r>
        <w:rPr>
          <w:rFonts w:hAnsi="宋体"/>
          <w:color w:val="auto"/>
          <w:position w:val="-10"/>
          <w:highlight w:val="none"/>
        </w:rPr>
        <w:object>
          <v:shape id="_x0000_i1027" o:spt="75" type="#_x0000_t75" style="height:15.75pt;width:54pt;" o:ole="t" filled="f" o:preferrelative="t" stroked="f" coordsize="21600,21600">
            <v:path/>
            <v:fill on="f" focussize="0,0"/>
            <v:stroke on="f" joinstyle="miter"/>
            <v:imagedata r:id="rId31" o:title=""/>
            <o:lock v:ext="edit" aspectratio="t"/>
            <w10:wrap type="none"/>
            <w10:anchorlock/>
          </v:shape>
          <o:OLEObject Type="Embed" ProgID="Equation.3" ShapeID="_x0000_i1027" DrawAspect="Content" ObjectID="_1468075727" r:id="rId30">
            <o:LockedField>false</o:LockedField>
          </o:OLEObject>
        </w:object>
      </w:r>
    </w:p>
    <w:p>
      <w:pPr>
        <w:spacing w:before="156" w:after="156" w:line="360" w:lineRule="auto"/>
        <w:ind w:firstLine="480"/>
        <w:rPr>
          <w:color w:val="auto"/>
          <w:highlight w:val="none"/>
        </w:rPr>
      </w:pPr>
      <w:r>
        <w:rPr>
          <w:rFonts w:hint="eastAsia"/>
          <w:color w:val="auto"/>
          <w:highlight w:val="none"/>
        </w:rPr>
        <w:t>式中：V--场地设计降雨径流量，m³；</w:t>
      </w:r>
    </w:p>
    <w:p>
      <w:pPr>
        <w:spacing w:before="156" w:after="156" w:line="360" w:lineRule="auto"/>
        <w:ind w:firstLine="1200" w:firstLineChars="500"/>
        <w:rPr>
          <w:color w:val="auto"/>
          <w:highlight w:val="none"/>
        </w:rPr>
      </w:pPr>
      <w:r>
        <w:rPr>
          <w:rFonts w:hAnsi="宋体"/>
          <w:color w:val="auto"/>
          <w:highlight w:val="none"/>
        </w:rPr>
        <w:drawing>
          <wp:inline distT="0" distB="0" distL="114300" distR="114300">
            <wp:extent cx="133350" cy="161925"/>
            <wp:effectExtent l="0" t="0" r="0" b="762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24"/>
                    <a:stretch>
                      <a:fillRect/>
                    </a:stretch>
                  </pic:blipFill>
                  <pic:spPr>
                    <a:xfrm>
                      <a:off x="0" y="0"/>
                      <a:ext cx="133350" cy="161925"/>
                    </a:xfrm>
                    <a:prstGeom prst="rect">
                      <a:avLst/>
                    </a:prstGeom>
                    <a:noFill/>
                    <a:ln w="9525">
                      <a:noFill/>
                    </a:ln>
                  </pic:spPr>
                </pic:pic>
              </a:graphicData>
            </a:graphic>
          </wp:inline>
        </w:drawing>
      </w:r>
      <w:r>
        <w:rPr>
          <w:rFonts w:hint="eastAsia"/>
          <w:color w:val="auto"/>
          <w:highlight w:val="none"/>
        </w:rPr>
        <w:t>--场地综合雨量径流系数；</w:t>
      </w:r>
    </w:p>
    <w:p>
      <w:pPr>
        <w:spacing w:before="156" w:after="156" w:line="360" w:lineRule="auto"/>
        <w:ind w:firstLine="1200" w:firstLineChars="500"/>
        <w:rPr>
          <w:color w:val="auto"/>
          <w:highlight w:val="none"/>
        </w:rPr>
      </w:pPr>
      <w:r>
        <w:rPr>
          <w:rFonts w:hint="eastAsia"/>
          <w:color w:val="auto"/>
          <w:highlight w:val="none"/>
        </w:rPr>
        <w:t>h--设计降雨量，mm；本项目取</w:t>
      </w:r>
      <w:r>
        <w:rPr>
          <w:rFonts w:hint="eastAsia"/>
          <w:color w:val="auto"/>
          <w:highlight w:val="none"/>
          <w:lang w:val="en-US" w:eastAsia="zh-CN"/>
        </w:rPr>
        <w:t>165</w:t>
      </w:r>
      <w:r>
        <w:rPr>
          <w:rFonts w:hint="eastAsia"/>
          <w:color w:val="auto"/>
          <w:highlight w:val="none"/>
        </w:rPr>
        <w:t>mm（</w:t>
      </w:r>
      <w:r>
        <w:rPr>
          <w:rFonts w:hint="eastAsia"/>
          <w:color w:val="auto"/>
          <w:highlight w:val="none"/>
          <w:lang w:val="en-US" w:eastAsia="zh-CN"/>
        </w:rPr>
        <w:t>按照5年一遇重现期，取165mm</w:t>
      </w:r>
      <w:r>
        <w:rPr>
          <w:rFonts w:hint="eastAsia"/>
          <w:color w:val="auto"/>
          <w:highlight w:val="none"/>
        </w:rPr>
        <w:t>）</w:t>
      </w:r>
    </w:p>
    <w:p>
      <w:pPr>
        <w:spacing w:before="156" w:after="156" w:line="360" w:lineRule="auto"/>
        <w:ind w:firstLine="1200" w:firstLineChars="500"/>
        <w:rPr>
          <w:rFonts w:hint="eastAsia"/>
          <w:color w:val="auto"/>
          <w:highlight w:val="none"/>
        </w:rPr>
      </w:pPr>
      <w:r>
        <w:rPr>
          <w:rFonts w:hint="eastAsia"/>
          <w:color w:val="auto"/>
          <w:highlight w:val="none"/>
        </w:rPr>
        <w:t>F--汇水面积，ha；</w:t>
      </w:r>
    </w:p>
    <w:p>
      <w:pPr>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表4-</w:t>
      </w:r>
      <w:r>
        <w:rPr>
          <w:rFonts w:hint="eastAsia" w:hAnsi="宋体" w:cs="宋体"/>
          <w:b/>
          <w:bCs/>
          <w:color w:val="auto"/>
          <w:highlight w:val="none"/>
          <w:lang w:val="en-US" w:eastAsia="zh-CN"/>
        </w:rPr>
        <w:t>5</w:t>
      </w:r>
      <w:r>
        <w:rPr>
          <w:rFonts w:hint="eastAsia" w:hAnsi="宋体" w:cs="宋体"/>
          <w:b/>
          <w:bCs/>
          <w:color w:val="auto"/>
          <w:highlight w:val="none"/>
        </w:rPr>
        <w:t xml:space="preserve"> </w:t>
      </w:r>
      <w:r>
        <w:rPr>
          <w:rFonts w:hint="eastAsia" w:hAnsi="宋体" w:cs="宋体"/>
          <w:b/>
          <w:bCs/>
          <w:color w:val="auto"/>
          <w:highlight w:val="none"/>
          <w:lang w:val="en-US" w:eastAsia="zh-CN"/>
        </w:rPr>
        <w:t xml:space="preserve"> </w:t>
      </w:r>
      <w:r>
        <w:rPr>
          <w:rFonts w:hint="eastAsia" w:hAnsi="宋体" w:cs="宋体"/>
          <w:b/>
          <w:bCs/>
          <w:color w:val="auto"/>
          <w:highlight w:val="none"/>
        </w:rPr>
        <w:t>场地设计降雨径流量计算表（</w:t>
      </w:r>
      <w:r>
        <w:rPr>
          <w:rFonts w:hint="eastAsia" w:hAnsi="宋体" w:cs="宋体"/>
          <w:b/>
          <w:bCs/>
          <w:color w:val="auto"/>
          <w:highlight w:val="none"/>
          <w:lang w:val="en-US" w:eastAsia="zh-CN"/>
        </w:rPr>
        <w:t>总地块</w:t>
      </w:r>
      <w:r>
        <w:rPr>
          <w:rFonts w:hint="eastAsia" w:hAnsi="宋体" w:cs="宋体"/>
          <w:b/>
          <w:bCs/>
          <w:color w:val="auto"/>
          <w:highlight w:val="none"/>
        </w:rPr>
        <w:t>）</w:t>
      </w:r>
    </w:p>
    <w:tbl>
      <w:tblPr>
        <w:tblStyle w:val="4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839"/>
        <w:gridCol w:w="2333"/>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Merge w:val="restart"/>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下垫面类型</w:t>
            </w:r>
          </w:p>
        </w:tc>
        <w:tc>
          <w:tcPr>
            <w:tcW w:w="839" w:type="dxa"/>
            <w:vMerge w:val="restart"/>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编号</w:t>
            </w:r>
          </w:p>
        </w:tc>
        <w:tc>
          <w:tcPr>
            <w:tcW w:w="2333"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面积（㎡）</w:t>
            </w:r>
          </w:p>
        </w:tc>
        <w:tc>
          <w:tcPr>
            <w:tcW w:w="2737"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综合雨量径流系数取值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Merge w:val="continue"/>
            <w:vAlign w:val="center"/>
          </w:tcPr>
          <w:p>
            <w:pPr>
              <w:pStyle w:val="51"/>
              <w:spacing w:before="0" w:beforeLines="0" w:after="0" w:afterLines="0"/>
              <w:rPr>
                <w:rFonts w:hint="eastAsia" w:ascii="宋体" w:hAnsi="宋体" w:eastAsia="宋体" w:cs="宋体"/>
                <w:color w:val="auto"/>
                <w:highlight w:val="none"/>
              </w:rPr>
            </w:pPr>
          </w:p>
        </w:tc>
        <w:tc>
          <w:tcPr>
            <w:tcW w:w="839" w:type="dxa"/>
            <w:vMerge w:val="continue"/>
            <w:vAlign w:val="center"/>
          </w:tcPr>
          <w:p>
            <w:pPr>
              <w:pStyle w:val="51"/>
              <w:spacing w:before="0" w:beforeLines="0" w:after="0" w:afterLines="0"/>
              <w:rPr>
                <w:rFonts w:hint="eastAsia" w:ascii="宋体" w:hAnsi="宋体" w:eastAsia="宋体" w:cs="宋体"/>
                <w:color w:val="auto"/>
                <w:highlight w:val="none"/>
              </w:rPr>
            </w:pPr>
          </w:p>
        </w:tc>
        <w:tc>
          <w:tcPr>
            <w:tcW w:w="2333"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A</w:t>
            </w:r>
          </w:p>
        </w:tc>
        <w:tc>
          <w:tcPr>
            <w:tcW w:w="2737"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硬质屋面</w:t>
            </w:r>
          </w:p>
        </w:tc>
        <w:tc>
          <w:tcPr>
            <w:tcW w:w="839"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绿化屋面</w:t>
            </w:r>
          </w:p>
        </w:tc>
        <w:tc>
          <w:tcPr>
            <w:tcW w:w="839" w:type="dxa"/>
            <w:vAlign w:val="center"/>
          </w:tcPr>
          <w:p>
            <w:pPr>
              <w:pStyle w:val="51"/>
              <w:spacing w:before="0" w:beforeLines="0" w:after="0" w:afterLines="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室外绿地</w:t>
            </w:r>
          </w:p>
        </w:tc>
        <w:tc>
          <w:tcPr>
            <w:tcW w:w="839" w:type="dxa"/>
            <w:vAlign w:val="center"/>
          </w:tcPr>
          <w:p>
            <w:pPr>
              <w:pStyle w:val="51"/>
              <w:spacing w:before="0" w:beforeLines="0" w:after="0" w:afterLines="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5050.05 </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透水铺装</w:t>
            </w:r>
          </w:p>
        </w:tc>
        <w:tc>
          <w:tcPr>
            <w:tcW w:w="839" w:type="dxa"/>
            <w:vAlign w:val="center"/>
          </w:tcPr>
          <w:p>
            <w:pPr>
              <w:pStyle w:val="51"/>
              <w:spacing w:before="0" w:beforeLines="0" w:after="0" w:afterLines="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5488.50 </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非透水铺装</w:t>
            </w:r>
          </w:p>
        </w:tc>
        <w:tc>
          <w:tcPr>
            <w:tcW w:w="839" w:type="dxa"/>
            <w:vAlign w:val="center"/>
          </w:tcPr>
          <w:p>
            <w:pPr>
              <w:pStyle w:val="51"/>
              <w:spacing w:before="0" w:beforeLines="0" w:after="0" w:afterLines="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1199.65 </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合计</w:t>
            </w:r>
          </w:p>
        </w:tc>
        <w:tc>
          <w:tcPr>
            <w:tcW w:w="839" w:type="dxa"/>
            <w:vAlign w:val="center"/>
          </w:tcPr>
          <w:p>
            <w:pPr>
              <w:pStyle w:val="51"/>
              <w:spacing w:before="0" w:beforeLines="0" w:after="0" w:afterLines="0"/>
              <w:ind w:firstLine="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6</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11738.20 </w:t>
            </w:r>
          </w:p>
        </w:tc>
        <w:tc>
          <w:tcPr>
            <w:tcW w:w="2737" w:type="dxa"/>
            <w:vAlign w:val="center"/>
          </w:tcPr>
          <w:p>
            <w:pPr>
              <w:pStyle w:val="51"/>
              <w:spacing w:before="0" w:beforeLines="0" w:after="0" w:afterLines="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综合径流系数</w:t>
            </w:r>
          </w:p>
        </w:tc>
        <w:tc>
          <w:tcPr>
            <w:tcW w:w="5909" w:type="dxa"/>
            <w:gridSpan w:val="3"/>
            <w:vAlign w:val="center"/>
          </w:tcPr>
          <w:p>
            <w:pPr>
              <w:pStyle w:val="51"/>
              <w:spacing w:before="0" w:beforeLines="0" w:after="0" w:afterLines="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Ψ1Z =(A1*B1+A2*B2+A3*B3</w:t>
            </w:r>
            <w:r>
              <w:rPr>
                <w:rFonts w:hint="eastAsia" w:ascii="宋体" w:hAnsi="宋体" w:cs="宋体"/>
                <w:color w:val="auto"/>
                <w:highlight w:val="none"/>
                <w:lang w:val="en-US" w:eastAsia="zh-CN"/>
              </w:rPr>
              <w:t>+</w:t>
            </w:r>
            <w:r>
              <w:rPr>
                <w:rFonts w:hint="eastAsia" w:ascii="宋体" w:hAnsi="宋体" w:eastAsia="宋体" w:cs="宋体"/>
                <w:color w:val="auto"/>
                <w:highlight w:val="none"/>
              </w:rPr>
              <w:t>A</w:t>
            </w:r>
            <w:r>
              <w:rPr>
                <w:rFonts w:hint="eastAsia" w:ascii="宋体" w:hAnsi="宋体" w:cs="宋体"/>
                <w:color w:val="auto"/>
                <w:highlight w:val="none"/>
                <w:lang w:val="en-US" w:eastAsia="zh-CN"/>
              </w:rPr>
              <w:t>4</w:t>
            </w:r>
            <w:r>
              <w:rPr>
                <w:rFonts w:hint="eastAsia" w:ascii="宋体" w:hAnsi="宋体" w:eastAsia="宋体" w:cs="宋体"/>
                <w:color w:val="auto"/>
                <w:highlight w:val="none"/>
              </w:rPr>
              <w:t>*B</w:t>
            </w:r>
            <w:r>
              <w:rPr>
                <w:rFonts w:hint="eastAsia" w:ascii="宋体" w:hAnsi="宋体" w:cs="宋体"/>
                <w:color w:val="auto"/>
                <w:highlight w:val="none"/>
                <w:lang w:val="en-US" w:eastAsia="zh-CN"/>
              </w:rPr>
              <w:t>4+A5*B5</w:t>
            </w:r>
            <w:r>
              <w:rPr>
                <w:rFonts w:hint="eastAsia" w:ascii="宋体" w:hAnsi="宋体" w:eastAsia="宋体" w:cs="宋体"/>
                <w:color w:val="auto"/>
                <w:highlight w:val="none"/>
              </w:rPr>
              <w:t>)/A</w:t>
            </w:r>
            <w:r>
              <w:rPr>
                <w:rFonts w:hint="eastAsia" w:ascii="宋体" w:hAnsi="宋体" w:cs="宋体"/>
                <w:color w:val="auto"/>
                <w:highlight w:val="none"/>
                <w:lang w:val="en-US" w:eastAsia="zh-CN"/>
              </w:rPr>
              <w:t>6</w:t>
            </w:r>
            <w:r>
              <w:rPr>
                <w:rFonts w:hint="eastAsia" w:ascii="宋体" w:hAnsi="宋体" w:eastAsia="宋体" w:cs="宋体"/>
                <w:color w:val="auto"/>
                <w:highlight w:val="none"/>
              </w:rPr>
              <w:t>=0.</w:t>
            </w:r>
            <w:r>
              <w:rPr>
                <w:rFonts w:hint="eastAsia" w:ascii="宋体" w:hAnsi="宋体" w:cs="宋体"/>
                <w:color w:val="auto"/>
                <w:highlight w:val="none"/>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95"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汇水分区设计降雨径流量（m³)</w:t>
            </w:r>
          </w:p>
        </w:tc>
        <w:tc>
          <w:tcPr>
            <w:tcW w:w="5909" w:type="dxa"/>
            <w:gridSpan w:val="3"/>
            <w:vAlign w:val="center"/>
          </w:tcPr>
          <w:p>
            <w:pPr>
              <w:pStyle w:val="51"/>
              <w:spacing w:before="0" w:beforeLines="0" w:after="0" w:afterLines="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V=A</w:t>
            </w:r>
            <w:r>
              <w:rPr>
                <w:rFonts w:hint="eastAsia" w:ascii="宋体" w:hAnsi="宋体" w:cs="宋体"/>
                <w:color w:val="auto"/>
                <w:highlight w:val="none"/>
                <w:lang w:val="en-US" w:eastAsia="zh-CN"/>
              </w:rPr>
              <w:t>6</w:t>
            </w:r>
            <w:r>
              <w:rPr>
                <w:rFonts w:hint="eastAsia" w:ascii="宋体" w:hAnsi="宋体" w:eastAsia="宋体" w:cs="宋体"/>
                <w:color w:val="auto"/>
                <w:highlight w:val="none"/>
              </w:rPr>
              <w:t>*B</w:t>
            </w:r>
            <w:r>
              <w:rPr>
                <w:rFonts w:hint="eastAsia" w:ascii="宋体" w:hAnsi="宋体" w:cs="宋体"/>
                <w:color w:val="auto"/>
                <w:highlight w:val="none"/>
                <w:lang w:val="en-US" w:eastAsia="zh-CN"/>
              </w:rPr>
              <w:t>6</w:t>
            </w:r>
            <w:r>
              <w:rPr>
                <w:rFonts w:hint="eastAsia" w:ascii="宋体" w:hAnsi="宋体" w:eastAsia="宋体" w:cs="宋体"/>
                <w:color w:val="auto"/>
                <w:highlight w:val="none"/>
              </w:rPr>
              <w:t>*</w:t>
            </w:r>
            <w:r>
              <w:rPr>
                <w:rFonts w:hint="eastAsia" w:ascii="宋体" w:hAnsi="宋体" w:cs="宋体"/>
                <w:color w:val="auto"/>
                <w:highlight w:val="none"/>
                <w:lang w:val="en-US" w:eastAsia="zh-CN"/>
              </w:rPr>
              <w:t>165</w:t>
            </w:r>
            <w:r>
              <w:rPr>
                <w:rFonts w:hint="eastAsia" w:ascii="宋体" w:hAnsi="宋体" w:eastAsia="宋体" w:cs="宋体"/>
                <w:color w:val="auto"/>
                <w:highlight w:val="none"/>
              </w:rPr>
              <w:t>/1000=</w:t>
            </w:r>
            <w:r>
              <w:rPr>
                <w:rFonts w:hint="eastAsia" w:ascii="宋体" w:hAnsi="宋体" w:cs="宋体"/>
                <w:color w:val="auto"/>
                <w:highlight w:val="none"/>
                <w:lang w:val="en-US" w:eastAsia="zh-CN"/>
              </w:rPr>
              <w:t>697.14</w:t>
            </w:r>
          </w:p>
        </w:tc>
      </w:tr>
    </w:tbl>
    <w:p>
      <w:pPr>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表4-</w:t>
      </w:r>
      <w:r>
        <w:rPr>
          <w:rFonts w:hint="eastAsia" w:hAnsi="宋体" w:cs="宋体"/>
          <w:b/>
          <w:bCs/>
          <w:color w:val="auto"/>
          <w:highlight w:val="none"/>
          <w:lang w:val="en-US" w:eastAsia="zh-CN"/>
        </w:rPr>
        <w:t>6</w:t>
      </w:r>
      <w:r>
        <w:rPr>
          <w:rFonts w:hint="eastAsia" w:hAnsi="宋体" w:cs="宋体"/>
          <w:b/>
          <w:bCs/>
          <w:color w:val="auto"/>
          <w:highlight w:val="none"/>
        </w:rPr>
        <w:t xml:space="preserve"> </w:t>
      </w:r>
      <w:r>
        <w:rPr>
          <w:rFonts w:hint="eastAsia" w:hAnsi="宋体" w:cs="宋体"/>
          <w:b/>
          <w:bCs/>
          <w:color w:val="auto"/>
          <w:highlight w:val="none"/>
          <w:lang w:val="en-US" w:eastAsia="zh-CN"/>
        </w:rPr>
        <w:t xml:space="preserve"> </w:t>
      </w:r>
      <w:r>
        <w:rPr>
          <w:rFonts w:hint="eastAsia" w:hAnsi="宋体" w:cs="宋体"/>
          <w:b/>
          <w:bCs/>
          <w:color w:val="auto"/>
          <w:highlight w:val="none"/>
        </w:rPr>
        <w:t>场地设计降雨径流量计算表（第一汇水分区）</w:t>
      </w:r>
    </w:p>
    <w:tbl>
      <w:tblPr>
        <w:tblStyle w:val="4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0"/>
        <w:gridCol w:w="854"/>
        <w:gridCol w:w="2333"/>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Merge w:val="restart"/>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下垫面类型</w:t>
            </w:r>
          </w:p>
        </w:tc>
        <w:tc>
          <w:tcPr>
            <w:tcW w:w="854" w:type="dxa"/>
            <w:vMerge w:val="restart"/>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编号</w:t>
            </w:r>
          </w:p>
        </w:tc>
        <w:tc>
          <w:tcPr>
            <w:tcW w:w="2333"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面积（㎡）</w:t>
            </w:r>
          </w:p>
        </w:tc>
        <w:tc>
          <w:tcPr>
            <w:tcW w:w="2737"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综合雨量径流系数取值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Merge w:val="continue"/>
            <w:vAlign w:val="center"/>
          </w:tcPr>
          <w:p>
            <w:pPr>
              <w:pStyle w:val="51"/>
              <w:spacing w:before="0" w:beforeLines="0" w:after="0" w:afterLines="0"/>
              <w:rPr>
                <w:rFonts w:hint="eastAsia" w:ascii="宋体" w:hAnsi="宋体" w:eastAsia="宋体" w:cs="宋体"/>
                <w:color w:val="auto"/>
                <w:highlight w:val="none"/>
              </w:rPr>
            </w:pPr>
          </w:p>
        </w:tc>
        <w:tc>
          <w:tcPr>
            <w:tcW w:w="854" w:type="dxa"/>
            <w:vMerge w:val="continue"/>
            <w:vAlign w:val="center"/>
          </w:tcPr>
          <w:p>
            <w:pPr>
              <w:pStyle w:val="51"/>
              <w:spacing w:before="0" w:beforeLines="0" w:after="0" w:afterLines="0"/>
              <w:rPr>
                <w:rFonts w:hint="eastAsia" w:ascii="宋体" w:hAnsi="宋体" w:eastAsia="宋体" w:cs="宋体"/>
                <w:color w:val="auto"/>
                <w:highlight w:val="none"/>
              </w:rPr>
            </w:pPr>
          </w:p>
        </w:tc>
        <w:tc>
          <w:tcPr>
            <w:tcW w:w="2333"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A</w:t>
            </w:r>
          </w:p>
        </w:tc>
        <w:tc>
          <w:tcPr>
            <w:tcW w:w="2737"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硬质屋面</w:t>
            </w:r>
          </w:p>
        </w:tc>
        <w:tc>
          <w:tcPr>
            <w:tcW w:w="854"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绿化屋面</w:t>
            </w:r>
          </w:p>
        </w:tc>
        <w:tc>
          <w:tcPr>
            <w:tcW w:w="854" w:type="dxa"/>
            <w:vAlign w:val="center"/>
          </w:tcPr>
          <w:p>
            <w:pPr>
              <w:pStyle w:val="51"/>
              <w:spacing w:before="0" w:beforeLines="0" w:after="0" w:afterLines="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室外绿地</w:t>
            </w:r>
          </w:p>
        </w:tc>
        <w:tc>
          <w:tcPr>
            <w:tcW w:w="854" w:type="dxa"/>
            <w:vAlign w:val="center"/>
          </w:tcPr>
          <w:p>
            <w:pPr>
              <w:pStyle w:val="51"/>
              <w:spacing w:before="0" w:beforeLines="0" w:after="0" w:afterLines="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1741.72 </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透水铺装</w:t>
            </w:r>
          </w:p>
        </w:tc>
        <w:tc>
          <w:tcPr>
            <w:tcW w:w="854" w:type="dxa"/>
            <w:vAlign w:val="center"/>
          </w:tcPr>
          <w:p>
            <w:pPr>
              <w:pStyle w:val="51"/>
              <w:spacing w:before="0" w:beforeLines="0" w:after="0" w:afterLines="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1886.40 </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非透水铺装</w:t>
            </w:r>
          </w:p>
        </w:tc>
        <w:tc>
          <w:tcPr>
            <w:tcW w:w="854" w:type="dxa"/>
            <w:vAlign w:val="center"/>
          </w:tcPr>
          <w:p>
            <w:pPr>
              <w:pStyle w:val="51"/>
              <w:spacing w:before="0" w:beforeLines="0" w:after="0" w:afterLines="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880.81 </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合计</w:t>
            </w:r>
          </w:p>
        </w:tc>
        <w:tc>
          <w:tcPr>
            <w:tcW w:w="854" w:type="dxa"/>
            <w:vAlign w:val="center"/>
          </w:tcPr>
          <w:p>
            <w:pPr>
              <w:pStyle w:val="51"/>
              <w:spacing w:before="0" w:beforeLines="0" w:after="0" w:afterLines="0"/>
              <w:ind w:firstLine="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6</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4508.93 </w:t>
            </w:r>
          </w:p>
        </w:tc>
        <w:tc>
          <w:tcPr>
            <w:tcW w:w="2737" w:type="dxa"/>
            <w:vAlign w:val="center"/>
          </w:tcPr>
          <w:p>
            <w:pPr>
              <w:pStyle w:val="51"/>
              <w:spacing w:before="0" w:beforeLines="0" w:after="0" w:afterLines="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综合径流系数</w:t>
            </w:r>
          </w:p>
        </w:tc>
        <w:tc>
          <w:tcPr>
            <w:tcW w:w="5924" w:type="dxa"/>
            <w:gridSpan w:val="3"/>
            <w:vAlign w:val="center"/>
          </w:tcPr>
          <w:p>
            <w:pPr>
              <w:pStyle w:val="51"/>
              <w:spacing w:before="0" w:beforeLines="0" w:after="0" w:afterLines="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Ψ1Z =(A1*B1+A2*B2+A3*B3</w:t>
            </w:r>
            <w:r>
              <w:rPr>
                <w:rFonts w:hint="eastAsia" w:ascii="宋体" w:hAnsi="宋体" w:cs="宋体"/>
                <w:color w:val="auto"/>
                <w:highlight w:val="none"/>
                <w:lang w:val="en-US" w:eastAsia="zh-CN"/>
              </w:rPr>
              <w:t>+</w:t>
            </w:r>
            <w:r>
              <w:rPr>
                <w:rFonts w:hint="eastAsia" w:ascii="宋体" w:hAnsi="宋体" w:eastAsia="宋体" w:cs="宋体"/>
                <w:color w:val="auto"/>
                <w:highlight w:val="none"/>
              </w:rPr>
              <w:t>A</w:t>
            </w:r>
            <w:r>
              <w:rPr>
                <w:rFonts w:hint="eastAsia" w:ascii="宋体" w:hAnsi="宋体" w:cs="宋体"/>
                <w:color w:val="auto"/>
                <w:highlight w:val="none"/>
                <w:lang w:val="en-US" w:eastAsia="zh-CN"/>
              </w:rPr>
              <w:t>4</w:t>
            </w:r>
            <w:r>
              <w:rPr>
                <w:rFonts w:hint="eastAsia" w:ascii="宋体" w:hAnsi="宋体" w:eastAsia="宋体" w:cs="宋体"/>
                <w:color w:val="auto"/>
                <w:highlight w:val="none"/>
              </w:rPr>
              <w:t>*B</w:t>
            </w:r>
            <w:r>
              <w:rPr>
                <w:rFonts w:hint="eastAsia" w:ascii="宋体" w:hAnsi="宋体" w:cs="宋体"/>
                <w:color w:val="auto"/>
                <w:highlight w:val="none"/>
                <w:lang w:val="en-US" w:eastAsia="zh-CN"/>
              </w:rPr>
              <w:t>4+A5*B5</w:t>
            </w:r>
            <w:r>
              <w:rPr>
                <w:rFonts w:hint="eastAsia" w:ascii="宋体" w:hAnsi="宋体" w:eastAsia="宋体" w:cs="宋体"/>
                <w:color w:val="auto"/>
                <w:highlight w:val="none"/>
              </w:rPr>
              <w:t>)/A</w:t>
            </w:r>
            <w:r>
              <w:rPr>
                <w:rFonts w:hint="eastAsia" w:ascii="宋体" w:hAnsi="宋体" w:cs="宋体"/>
                <w:color w:val="auto"/>
                <w:highlight w:val="none"/>
                <w:lang w:val="en-US" w:eastAsia="zh-CN"/>
              </w:rPr>
              <w:t>6</w:t>
            </w:r>
            <w:r>
              <w:rPr>
                <w:rFonts w:hint="eastAsia" w:ascii="宋体" w:hAnsi="宋体" w:eastAsia="宋体" w:cs="宋体"/>
                <w:color w:val="auto"/>
                <w:highlight w:val="none"/>
              </w:rPr>
              <w:t>=0.</w:t>
            </w:r>
            <w:r>
              <w:rPr>
                <w:rFonts w:hint="eastAsia" w:ascii="宋体" w:hAnsi="宋体" w:cs="宋体"/>
                <w:color w:val="auto"/>
                <w:highlight w:val="none"/>
                <w:lang w:val="en-US" w:eastAsia="zh-CN"/>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58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汇水分区设计降雨径流量（m³)</w:t>
            </w:r>
          </w:p>
        </w:tc>
        <w:tc>
          <w:tcPr>
            <w:tcW w:w="5924" w:type="dxa"/>
            <w:gridSpan w:val="3"/>
            <w:vAlign w:val="center"/>
          </w:tcPr>
          <w:p>
            <w:pPr>
              <w:pStyle w:val="51"/>
              <w:spacing w:before="0" w:beforeLines="0" w:after="0" w:afterLines="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V=A</w:t>
            </w:r>
            <w:r>
              <w:rPr>
                <w:rFonts w:hint="eastAsia" w:ascii="宋体" w:hAnsi="宋体" w:cs="宋体"/>
                <w:color w:val="auto"/>
                <w:highlight w:val="none"/>
                <w:lang w:val="en-US" w:eastAsia="zh-CN"/>
              </w:rPr>
              <w:t>6</w:t>
            </w:r>
            <w:r>
              <w:rPr>
                <w:rFonts w:hint="eastAsia" w:ascii="宋体" w:hAnsi="宋体" w:eastAsia="宋体" w:cs="宋体"/>
                <w:color w:val="auto"/>
                <w:highlight w:val="none"/>
              </w:rPr>
              <w:t>*B</w:t>
            </w:r>
            <w:r>
              <w:rPr>
                <w:rFonts w:hint="eastAsia" w:ascii="宋体" w:hAnsi="宋体" w:cs="宋体"/>
                <w:color w:val="auto"/>
                <w:highlight w:val="none"/>
                <w:lang w:val="en-US" w:eastAsia="zh-CN"/>
              </w:rPr>
              <w:t>6</w:t>
            </w:r>
            <w:r>
              <w:rPr>
                <w:rFonts w:hint="eastAsia" w:ascii="宋体" w:hAnsi="宋体" w:eastAsia="宋体" w:cs="宋体"/>
                <w:color w:val="auto"/>
                <w:highlight w:val="none"/>
              </w:rPr>
              <w:t>*</w:t>
            </w:r>
            <w:r>
              <w:rPr>
                <w:rFonts w:hint="eastAsia" w:ascii="宋体" w:hAnsi="宋体" w:cs="宋体"/>
                <w:color w:val="auto"/>
                <w:highlight w:val="none"/>
                <w:lang w:val="en-US" w:eastAsia="zh-CN"/>
              </w:rPr>
              <w:t>165</w:t>
            </w:r>
            <w:r>
              <w:rPr>
                <w:rFonts w:hint="eastAsia" w:ascii="宋体" w:hAnsi="宋体" w:eastAsia="宋体" w:cs="宋体"/>
                <w:color w:val="auto"/>
                <w:highlight w:val="none"/>
              </w:rPr>
              <w:t>/1000=</w:t>
            </w:r>
            <w:r>
              <w:rPr>
                <w:rFonts w:hint="eastAsia" w:ascii="宋体" w:hAnsi="宋体" w:cs="宋体"/>
                <w:color w:val="auto"/>
                <w:highlight w:val="none"/>
                <w:lang w:val="en-US" w:eastAsia="zh-CN"/>
              </w:rPr>
              <w:t>305.51</w:t>
            </w:r>
          </w:p>
        </w:tc>
      </w:tr>
    </w:tbl>
    <w:p>
      <w:pPr>
        <w:spacing w:before="156" w:after="156" w:line="360" w:lineRule="auto"/>
        <w:ind w:firstLine="482"/>
        <w:jc w:val="center"/>
        <w:rPr>
          <w:rFonts w:hint="eastAsia" w:hAnsi="宋体" w:cs="宋体"/>
          <w:b/>
          <w:bCs/>
          <w:color w:val="auto"/>
          <w:highlight w:val="none"/>
        </w:rPr>
      </w:pPr>
      <w:r>
        <w:rPr>
          <w:rFonts w:hint="eastAsia" w:hAnsi="宋体" w:cs="宋体"/>
          <w:b/>
          <w:bCs/>
          <w:color w:val="auto"/>
          <w:highlight w:val="none"/>
        </w:rPr>
        <w:t>表4-</w:t>
      </w:r>
      <w:r>
        <w:rPr>
          <w:rFonts w:hint="eastAsia" w:hAnsi="宋体" w:cs="宋体"/>
          <w:b/>
          <w:bCs/>
          <w:color w:val="auto"/>
          <w:highlight w:val="none"/>
          <w:lang w:val="en-US" w:eastAsia="zh-CN"/>
        </w:rPr>
        <w:t>7</w:t>
      </w:r>
      <w:r>
        <w:rPr>
          <w:rFonts w:hint="eastAsia" w:hAnsi="宋体" w:cs="宋体"/>
          <w:b/>
          <w:bCs/>
          <w:color w:val="auto"/>
          <w:highlight w:val="none"/>
        </w:rPr>
        <w:t xml:space="preserve"> 场地设计降雨径流量计算表（第二汇水分区）</w:t>
      </w:r>
    </w:p>
    <w:tbl>
      <w:tblPr>
        <w:tblStyle w:val="4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1200"/>
        <w:gridCol w:w="2333"/>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exact"/>
          <w:jc w:val="center"/>
        </w:trPr>
        <w:tc>
          <w:tcPr>
            <w:tcW w:w="2234" w:type="dxa"/>
            <w:vMerge w:val="restart"/>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下垫面类型</w:t>
            </w:r>
          </w:p>
        </w:tc>
        <w:tc>
          <w:tcPr>
            <w:tcW w:w="1200" w:type="dxa"/>
            <w:vMerge w:val="restart"/>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编号</w:t>
            </w:r>
          </w:p>
        </w:tc>
        <w:tc>
          <w:tcPr>
            <w:tcW w:w="2333"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面积（㎡）</w:t>
            </w:r>
          </w:p>
        </w:tc>
        <w:tc>
          <w:tcPr>
            <w:tcW w:w="2737"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综合雨量径流系数取值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234" w:type="dxa"/>
            <w:vMerge w:val="continue"/>
            <w:vAlign w:val="center"/>
          </w:tcPr>
          <w:p>
            <w:pPr>
              <w:pStyle w:val="51"/>
              <w:spacing w:before="0" w:beforeLines="0" w:after="0" w:afterLines="0"/>
              <w:rPr>
                <w:rFonts w:hint="eastAsia" w:ascii="宋体" w:hAnsi="宋体" w:eastAsia="宋体" w:cs="宋体"/>
                <w:color w:val="auto"/>
                <w:highlight w:val="none"/>
              </w:rPr>
            </w:pPr>
          </w:p>
        </w:tc>
        <w:tc>
          <w:tcPr>
            <w:tcW w:w="1200" w:type="dxa"/>
            <w:vMerge w:val="continue"/>
            <w:vAlign w:val="center"/>
          </w:tcPr>
          <w:p>
            <w:pPr>
              <w:pStyle w:val="51"/>
              <w:spacing w:before="0" w:beforeLines="0" w:after="0" w:afterLines="0"/>
              <w:rPr>
                <w:rFonts w:hint="eastAsia" w:ascii="宋体" w:hAnsi="宋体" w:eastAsia="宋体" w:cs="宋体"/>
                <w:color w:val="auto"/>
                <w:highlight w:val="none"/>
              </w:rPr>
            </w:pPr>
          </w:p>
        </w:tc>
        <w:tc>
          <w:tcPr>
            <w:tcW w:w="2333"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A</w:t>
            </w:r>
          </w:p>
        </w:tc>
        <w:tc>
          <w:tcPr>
            <w:tcW w:w="2737"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exact"/>
          <w:jc w:val="center"/>
        </w:trPr>
        <w:tc>
          <w:tcPr>
            <w:tcW w:w="2234"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硬质屋面</w:t>
            </w:r>
          </w:p>
        </w:tc>
        <w:tc>
          <w:tcPr>
            <w:tcW w:w="120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0</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234"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绿化屋面</w:t>
            </w:r>
          </w:p>
        </w:tc>
        <w:tc>
          <w:tcPr>
            <w:tcW w:w="120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0</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234"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室外绿地</w:t>
            </w:r>
          </w:p>
        </w:tc>
        <w:tc>
          <w:tcPr>
            <w:tcW w:w="120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3308.33 </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234"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透水铺装</w:t>
            </w:r>
          </w:p>
        </w:tc>
        <w:tc>
          <w:tcPr>
            <w:tcW w:w="120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3602.10 </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234"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非透水铺装</w:t>
            </w:r>
          </w:p>
        </w:tc>
        <w:tc>
          <w:tcPr>
            <w:tcW w:w="1200"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318.84 </w:t>
            </w:r>
          </w:p>
        </w:tc>
        <w:tc>
          <w:tcPr>
            <w:tcW w:w="273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234"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合计</w:t>
            </w:r>
          </w:p>
        </w:tc>
        <w:tc>
          <w:tcPr>
            <w:tcW w:w="1200" w:type="dxa"/>
            <w:vAlign w:val="center"/>
          </w:tcPr>
          <w:p>
            <w:pPr>
              <w:pStyle w:val="51"/>
              <w:spacing w:before="0" w:beforeLines="0" w:after="0" w:afterLines="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6</w:t>
            </w:r>
          </w:p>
        </w:tc>
        <w:tc>
          <w:tcPr>
            <w:tcW w:w="23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7229.27 </w:t>
            </w:r>
          </w:p>
        </w:tc>
        <w:tc>
          <w:tcPr>
            <w:tcW w:w="2737" w:type="dxa"/>
            <w:vAlign w:val="center"/>
          </w:tcPr>
          <w:p>
            <w:pPr>
              <w:pStyle w:val="51"/>
              <w:spacing w:before="0" w:beforeLines="0" w:after="0" w:afterLines="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0.328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234"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综合径流系数</w:t>
            </w:r>
          </w:p>
        </w:tc>
        <w:tc>
          <w:tcPr>
            <w:tcW w:w="6270" w:type="dxa"/>
            <w:gridSpan w:val="3"/>
            <w:vAlign w:val="center"/>
          </w:tcPr>
          <w:p>
            <w:pPr>
              <w:pStyle w:val="51"/>
              <w:spacing w:before="0" w:beforeLines="0" w:after="0" w:afterLines="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Ψ1Z =(A1*B1+A2*B2+A3*B3</w:t>
            </w:r>
            <w:r>
              <w:rPr>
                <w:rFonts w:hint="eastAsia" w:ascii="宋体" w:hAnsi="宋体" w:cs="宋体"/>
                <w:color w:val="auto"/>
                <w:highlight w:val="none"/>
                <w:lang w:val="en-US" w:eastAsia="zh-CN"/>
              </w:rPr>
              <w:t>+</w:t>
            </w:r>
            <w:r>
              <w:rPr>
                <w:rFonts w:hint="eastAsia" w:ascii="宋体" w:hAnsi="宋体" w:eastAsia="宋体" w:cs="宋体"/>
                <w:color w:val="auto"/>
                <w:highlight w:val="none"/>
              </w:rPr>
              <w:t>A</w:t>
            </w:r>
            <w:r>
              <w:rPr>
                <w:rFonts w:hint="eastAsia" w:ascii="宋体" w:hAnsi="宋体" w:cs="宋体"/>
                <w:color w:val="auto"/>
                <w:highlight w:val="none"/>
                <w:lang w:val="en-US" w:eastAsia="zh-CN"/>
              </w:rPr>
              <w:t>4</w:t>
            </w:r>
            <w:r>
              <w:rPr>
                <w:rFonts w:hint="eastAsia" w:ascii="宋体" w:hAnsi="宋体" w:eastAsia="宋体" w:cs="宋体"/>
                <w:color w:val="auto"/>
                <w:highlight w:val="none"/>
              </w:rPr>
              <w:t>*B</w:t>
            </w:r>
            <w:r>
              <w:rPr>
                <w:rFonts w:hint="eastAsia" w:ascii="宋体" w:hAnsi="宋体" w:cs="宋体"/>
                <w:color w:val="auto"/>
                <w:highlight w:val="none"/>
                <w:lang w:val="en-US" w:eastAsia="zh-CN"/>
              </w:rPr>
              <w:t>4+A5*B5</w:t>
            </w:r>
            <w:r>
              <w:rPr>
                <w:rFonts w:hint="eastAsia" w:ascii="宋体" w:hAnsi="宋体" w:eastAsia="宋体" w:cs="宋体"/>
                <w:color w:val="auto"/>
                <w:highlight w:val="none"/>
              </w:rPr>
              <w:t>)/A</w:t>
            </w:r>
            <w:r>
              <w:rPr>
                <w:rFonts w:hint="eastAsia" w:ascii="宋体" w:hAnsi="宋体" w:cs="宋体"/>
                <w:color w:val="auto"/>
                <w:highlight w:val="none"/>
                <w:lang w:val="en-US" w:eastAsia="zh-CN"/>
              </w:rPr>
              <w:t>6</w:t>
            </w:r>
            <w:r>
              <w:rPr>
                <w:rFonts w:hint="eastAsia" w:ascii="宋体" w:hAnsi="宋体" w:eastAsia="宋体" w:cs="宋体"/>
                <w:color w:val="auto"/>
                <w:highlight w:val="none"/>
              </w:rPr>
              <w:t>=0.</w:t>
            </w:r>
            <w:r>
              <w:rPr>
                <w:rFonts w:hint="eastAsia" w:ascii="宋体" w:hAnsi="宋体" w:cs="宋体"/>
                <w:color w:val="auto"/>
                <w:highlight w:val="none"/>
                <w:lang w:val="en-US" w:eastAsia="zh-CN"/>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234" w:type="dxa"/>
            <w:vAlign w:val="center"/>
          </w:tcPr>
          <w:p>
            <w:pPr>
              <w:pStyle w:val="51"/>
              <w:spacing w:before="0" w:beforeLines="0" w:after="0" w:afterLines="0"/>
              <w:rPr>
                <w:rFonts w:hint="eastAsia" w:ascii="宋体" w:hAnsi="宋体" w:eastAsia="宋体" w:cs="宋体"/>
                <w:color w:val="auto"/>
                <w:highlight w:val="none"/>
              </w:rPr>
            </w:pPr>
            <w:r>
              <w:rPr>
                <w:rFonts w:hint="eastAsia" w:ascii="宋体" w:hAnsi="宋体" w:eastAsia="宋体" w:cs="宋体"/>
                <w:color w:val="auto"/>
                <w:highlight w:val="none"/>
              </w:rPr>
              <w:t>汇水分区设计降雨径流量（m³)</w:t>
            </w:r>
          </w:p>
        </w:tc>
        <w:tc>
          <w:tcPr>
            <w:tcW w:w="6270" w:type="dxa"/>
            <w:gridSpan w:val="3"/>
            <w:vAlign w:val="center"/>
          </w:tcPr>
          <w:p>
            <w:pPr>
              <w:pStyle w:val="51"/>
              <w:spacing w:before="0" w:beforeLines="0" w:after="0" w:afterLines="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V=A</w:t>
            </w:r>
            <w:r>
              <w:rPr>
                <w:rFonts w:hint="eastAsia" w:ascii="宋体" w:hAnsi="宋体" w:cs="宋体"/>
                <w:color w:val="auto"/>
                <w:highlight w:val="none"/>
                <w:lang w:val="en-US" w:eastAsia="zh-CN"/>
              </w:rPr>
              <w:t>6</w:t>
            </w:r>
            <w:r>
              <w:rPr>
                <w:rFonts w:hint="eastAsia" w:ascii="宋体" w:hAnsi="宋体" w:eastAsia="宋体" w:cs="宋体"/>
                <w:color w:val="auto"/>
                <w:highlight w:val="none"/>
              </w:rPr>
              <w:t>*B</w:t>
            </w:r>
            <w:r>
              <w:rPr>
                <w:rFonts w:hint="eastAsia" w:ascii="宋体" w:hAnsi="宋体" w:cs="宋体"/>
                <w:color w:val="auto"/>
                <w:highlight w:val="none"/>
                <w:lang w:val="en-US" w:eastAsia="zh-CN"/>
              </w:rPr>
              <w:t>6</w:t>
            </w:r>
            <w:r>
              <w:rPr>
                <w:rFonts w:hint="eastAsia" w:ascii="宋体" w:hAnsi="宋体" w:eastAsia="宋体" w:cs="宋体"/>
                <w:color w:val="auto"/>
                <w:highlight w:val="none"/>
              </w:rPr>
              <w:t>*</w:t>
            </w:r>
            <w:r>
              <w:rPr>
                <w:rFonts w:hint="eastAsia" w:ascii="宋体" w:hAnsi="宋体" w:cs="宋体"/>
                <w:color w:val="auto"/>
                <w:highlight w:val="none"/>
                <w:lang w:val="en-US" w:eastAsia="zh-CN"/>
              </w:rPr>
              <w:t>165</w:t>
            </w:r>
            <w:r>
              <w:rPr>
                <w:rFonts w:hint="eastAsia" w:ascii="宋体" w:hAnsi="宋体" w:eastAsia="宋体" w:cs="宋体"/>
                <w:color w:val="auto"/>
                <w:highlight w:val="none"/>
              </w:rPr>
              <w:t>/1000=</w:t>
            </w:r>
            <w:r>
              <w:rPr>
                <w:rFonts w:hint="eastAsia" w:ascii="宋体" w:hAnsi="宋体" w:cs="宋体"/>
                <w:color w:val="auto"/>
                <w:highlight w:val="none"/>
                <w:lang w:val="en-US" w:eastAsia="zh-CN"/>
              </w:rPr>
              <w:t>391.63</w:t>
            </w:r>
          </w:p>
        </w:tc>
      </w:tr>
    </w:tbl>
    <w:p>
      <w:pPr>
        <w:spacing w:before="156" w:after="156"/>
        <w:ind w:firstLine="480"/>
        <w:rPr>
          <w:color w:val="auto"/>
          <w:highlight w:val="none"/>
        </w:rPr>
      </w:pPr>
      <w:r>
        <w:rPr>
          <w:rFonts w:hint="eastAsia" w:hAnsi="宋体" w:cs="宋体"/>
          <w:color w:val="auto"/>
          <w:highlight w:val="none"/>
        </w:rPr>
        <w:t>本项目各汇水分区的</w:t>
      </w:r>
      <w:r>
        <w:rPr>
          <w:rFonts w:hint="eastAsia"/>
          <w:color w:val="auto"/>
          <w:highlight w:val="none"/>
        </w:rPr>
        <w:t>LID设施设计调蓄容积计算入下表所示：</w:t>
      </w:r>
    </w:p>
    <w:p>
      <w:pPr>
        <w:spacing w:beforeLines="0" w:afterLines="0" w:line="360" w:lineRule="auto"/>
        <w:ind w:firstLine="482"/>
        <w:jc w:val="center"/>
        <w:rPr>
          <w:rFonts w:hAnsi="宋体" w:cs="宋体"/>
          <w:b/>
          <w:bCs/>
          <w:color w:val="auto"/>
          <w:highlight w:val="none"/>
        </w:rPr>
      </w:pPr>
      <w:r>
        <w:rPr>
          <w:rFonts w:hint="eastAsia" w:hAnsi="宋体" w:cs="宋体"/>
          <w:b/>
          <w:bCs/>
          <w:color w:val="auto"/>
          <w:highlight w:val="none"/>
        </w:rPr>
        <w:t>表4-</w:t>
      </w:r>
      <w:r>
        <w:rPr>
          <w:rFonts w:hint="eastAsia" w:hAnsi="宋体" w:cs="宋体"/>
          <w:b/>
          <w:bCs/>
          <w:color w:val="auto"/>
          <w:highlight w:val="none"/>
          <w:lang w:val="en-US" w:eastAsia="zh-CN"/>
        </w:rPr>
        <w:t>8</w:t>
      </w:r>
      <w:r>
        <w:rPr>
          <w:rFonts w:hint="eastAsia" w:hAnsi="宋体" w:cs="宋体"/>
          <w:b/>
          <w:bCs/>
          <w:color w:val="auto"/>
          <w:highlight w:val="none"/>
        </w:rPr>
        <w:t xml:space="preserve">  各汇水分区</w:t>
      </w:r>
      <w:r>
        <w:rPr>
          <w:rFonts w:hint="eastAsia" w:hAnsi="宋体" w:cs="宋体"/>
          <w:b/>
          <w:bCs/>
          <w:color w:val="auto"/>
          <w:highlight w:val="none"/>
          <w:lang w:val="en-US" w:eastAsia="zh-CN"/>
        </w:rPr>
        <w:t>下沉绿地</w:t>
      </w:r>
      <w:r>
        <w:rPr>
          <w:rFonts w:hint="eastAsia" w:hAnsi="宋体" w:cs="宋体"/>
          <w:b/>
          <w:bCs/>
          <w:color w:val="auto"/>
          <w:highlight w:val="none"/>
        </w:rPr>
        <w:t>设计调蓄容积计算</w:t>
      </w:r>
    </w:p>
    <w:tbl>
      <w:tblPr>
        <w:tblStyle w:val="43"/>
        <w:tblW w:w="8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645"/>
        <w:gridCol w:w="1190"/>
        <w:gridCol w:w="1134"/>
        <w:gridCol w:w="1134"/>
        <w:gridCol w:w="1021"/>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Align w:val="center"/>
          </w:tcPr>
          <w:p>
            <w:pPr>
              <w:pStyle w:val="51"/>
              <w:spacing w:before="31" w:after="31"/>
              <w:rPr>
                <w:rFonts w:hint="eastAsia"/>
                <w:color w:val="auto"/>
                <w:highlight w:val="none"/>
              </w:rPr>
            </w:pPr>
            <w:r>
              <w:rPr>
                <w:rFonts w:hint="eastAsia"/>
                <w:color w:val="auto"/>
                <w:highlight w:val="none"/>
              </w:rPr>
              <w:t>序号</w:t>
            </w:r>
          </w:p>
        </w:tc>
        <w:tc>
          <w:tcPr>
            <w:tcW w:w="1645" w:type="dxa"/>
            <w:vAlign w:val="center"/>
          </w:tcPr>
          <w:p>
            <w:pPr>
              <w:pStyle w:val="51"/>
              <w:spacing w:before="31" w:after="31"/>
              <w:rPr>
                <w:rFonts w:hint="eastAsia"/>
                <w:color w:val="auto"/>
                <w:highlight w:val="none"/>
              </w:rPr>
            </w:pPr>
            <w:r>
              <w:rPr>
                <w:rFonts w:hint="eastAsia"/>
                <w:color w:val="auto"/>
                <w:highlight w:val="none"/>
              </w:rPr>
              <w:t>汇水分区</w:t>
            </w:r>
          </w:p>
        </w:tc>
        <w:tc>
          <w:tcPr>
            <w:tcW w:w="1190" w:type="dxa"/>
            <w:vAlign w:val="center"/>
          </w:tcPr>
          <w:p>
            <w:pPr>
              <w:pStyle w:val="51"/>
              <w:spacing w:before="31" w:after="31"/>
              <w:rPr>
                <w:rFonts w:hint="eastAsia"/>
                <w:color w:val="auto"/>
                <w:highlight w:val="none"/>
              </w:rPr>
            </w:pPr>
            <w:r>
              <w:rPr>
                <w:rFonts w:hint="eastAsia"/>
                <w:color w:val="auto"/>
                <w:highlight w:val="none"/>
              </w:rPr>
              <w:t>LID设施</w:t>
            </w:r>
          </w:p>
        </w:tc>
        <w:tc>
          <w:tcPr>
            <w:tcW w:w="1134" w:type="dxa"/>
            <w:vAlign w:val="center"/>
          </w:tcPr>
          <w:p>
            <w:pPr>
              <w:pStyle w:val="51"/>
              <w:spacing w:before="31" w:after="31"/>
              <w:rPr>
                <w:rFonts w:hint="eastAsia"/>
                <w:color w:val="auto"/>
                <w:highlight w:val="none"/>
              </w:rPr>
            </w:pPr>
            <w:r>
              <w:rPr>
                <w:rFonts w:hint="eastAsia"/>
                <w:color w:val="auto"/>
                <w:highlight w:val="none"/>
              </w:rPr>
              <w:t>面积</w:t>
            </w:r>
          </w:p>
          <w:p>
            <w:pPr>
              <w:pStyle w:val="51"/>
              <w:spacing w:before="31" w:after="31"/>
              <w:rPr>
                <w:rFonts w:hint="eastAsia"/>
                <w:color w:val="auto"/>
                <w:highlight w:val="none"/>
              </w:rPr>
            </w:pPr>
            <w:r>
              <w:rPr>
                <w:rFonts w:hint="eastAsia"/>
                <w:color w:val="auto"/>
                <w:highlight w:val="none"/>
              </w:rPr>
              <w:t>（㎡）</w:t>
            </w:r>
          </w:p>
        </w:tc>
        <w:tc>
          <w:tcPr>
            <w:tcW w:w="1134" w:type="dxa"/>
            <w:vAlign w:val="center"/>
          </w:tcPr>
          <w:p>
            <w:pPr>
              <w:pStyle w:val="51"/>
              <w:spacing w:before="31" w:after="31"/>
              <w:rPr>
                <w:rFonts w:hint="eastAsia"/>
                <w:color w:val="auto"/>
                <w:highlight w:val="none"/>
              </w:rPr>
            </w:pPr>
            <w:r>
              <w:rPr>
                <w:rFonts w:hint="eastAsia"/>
                <w:color w:val="auto"/>
                <w:highlight w:val="none"/>
              </w:rPr>
              <w:t>调蓄深度</w:t>
            </w:r>
          </w:p>
          <w:p>
            <w:pPr>
              <w:pStyle w:val="51"/>
              <w:spacing w:before="31" w:after="31"/>
              <w:rPr>
                <w:rFonts w:hint="eastAsia"/>
                <w:color w:val="auto"/>
                <w:highlight w:val="none"/>
              </w:rPr>
            </w:pPr>
            <w:r>
              <w:rPr>
                <w:rFonts w:hint="eastAsia"/>
                <w:color w:val="auto"/>
                <w:highlight w:val="none"/>
              </w:rPr>
              <w:t>（m）</w:t>
            </w:r>
          </w:p>
        </w:tc>
        <w:tc>
          <w:tcPr>
            <w:tcW w:w="1021"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折减</w:t>
            </w:r>
          </w:p>
          <w:p>
            <w:pPr>
              <w:pStyle w:val="51"/>
              <w:spacing w:before="31" w:after="31"/>
              <w:rPr>
                <w:rFonts w:hint="eastAsia"/>
                <w:color w:val="auto"/>
                <w:highlight w:val="none"/>
              </w:rPr>
            </w:pPr>
            <w:r>
              <w:rPr>
                <w:rFonts w:hint="eastAsia"/>
                <w:color w:val="auto"/>
                <w:highlight w:val="none"/>
                <w:lang w:val="en-US" w:eastAsia="zh-CN"/>
              </w:rPr>
              <w:t>系数</w:t>
            </w:r>
          </w:p>
        </w:tc>
        <w:tc>
          <w:tcPr>
            <w:tcW w:w="1772" w:type="dxa"/>
            <w:vAlign w:val="center"/>
          </w:tcPr>
          <w:p>
            <w:pPr>
              <w:pStyle w:val="51"/>
              <w:spacing w:before="31" w:after="31"/>
              <w:rPr>
                <w:rFonts w:hint="eastAsia"/>
                <w:color w:val="auto"/>
                <w:highlight w:val="none"/>
              </w:rPr>
            </w:pPr>
            <w:r>
              <w:rPr>
                <w:rFonts w:hint="eastAsia"/>
                <w:color w:val="auto"/>
                <w:highlight w:val="none"/>
              </w:rPr>
              <w:t>下沉绿地设计调蓄容积（m³)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15" w:type="dxa"/>
            <w:vAlign w:val="center"/>
          </w:tcPr>
          <w:p>
            <w:pPr>
              <w:pStyle w:val="51"/>
              <w:spacing w:before="31" w:after="31"/>
              <w:rPr>
                <w:rFonts w:hint="eastAsia"/>
                <w:color w:val="auto"/>
                <w:highlight w:val="none"/>
              </w:rPr>
            </w:pPr>
            <w:r>
              <w:rPr>
                <w:rFonts w:hint="eastAsia"/>
                <w:color w:val="auto"/>
                <w:highlight w:val="none"/>
              </w:rPr>
              <w:t>1</w:t>
            </w:r>
          </w:p>
        </w:tc>
        <w:tc>
          <w:tcPr>
            <w:tcW w:w="1645" w:type="dxa"/>
            <w:vAlign w:val="center"/>
          </w:tcPr>
          <w:p>
            <w:pPr>
              <w:pStyle w:val="51"/>
              <w:spacing w:before="31" w:after="31"/>
              <w:rPr>
                <w:rFonts w:hint="eastAsia"/>
                <w:color w:val="auto"/>
                <w:highlight w:val="none"/>
              </w:rPr>
            </w:pPr>
            <w:r>
              <w:rPr>
                <w:rFonts w:hint="eastAsia"/>
                <w:color w:val="auto"/>
                <w:highlight w:val="none"/>
              </w:rPr>
              <w:t>第一汇水分区</w:t>
            </w:r>
          </w:p>
        </w:tc>
        <w:tc>
          <w:tcPr>
            <w:tcW w:w="1190" w:type="dxa"/>
            <w:vAlign w:val="center"/>
          </w:tcPr>
          <w:p>
            <w:pPr>
              <w:pStyle w:val="51"/>
              <w:spacing w:before="31" w:after="31"/>
              <w:rPr>
                <w:rFonts w:hint="eastAsia"/>
                <w:color w:val="auto"/>
                <w:highlight w:val="none"/>
              </w:rPr>
            </w:pPr>
            <w:r>
              <w:rPr>
                <w:rFonts w:hint="eastAsia"/>
                <w:color w:val="auto"/>
                <w:highlight w:val="none"/>
              </w:rPr>
              <w:t>下沉绿地</w:t>
            </w:r>
          </w:p>
        </w:tc>
        <w:tc>
          <w:tcPr>
            <w:tcW w:w="113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665.16 </w:t>
            </w:r>
          </w:p>
        </w:tc>
        <w:tc>
          <w:tcPr>
            <w:tcW w:w="113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0.15</w:t>
            </w:r>
          </w:p>
        </w:tc>
        <w:tc>
          <w:tcPr>
            <w:tcW w:w="1021"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0.80</w:t>
            </w:r>
          </w:p>
        </w:tc>
        <w:tc>
          <w:tcPr>
            <w:tcW w:w="1772"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79.82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Align w:val="center"/>
          </w:tcPr>
          <w:p>
            <w:pPr>
              <w:pStyle w:val="51"/>
              <w:spacing w:before="31" w:after="31"/>
              <w:rPr>
                <w:rFonts w:hint="eastAsia"/>
                <w:color w:val="auto"/>
                <w:highlight w:val="none"/>
              </w:rPr>
            </w:pPr>
            <w:r>
              <w:rPr>
                <w:rFonts w:hint="eastAsia"/>
                <w:color w:val="auto"/>
                <w:highlight w:val="none"/>
              </w:rPr>
              <w:t>2</w:t>
            </w:r>
          </w:p>
        </w:tc>
        <w:tc>
          <w:tcPr>
            <w:tcW w:w="1645" w:type="dxa"/>
            <w:vAlign w:val="center"/>
          </w:tcPr>
          <w:p>
            <w:pPr>
              <w:pStyle w:val="51"/>
              <w:spacing w:before="31" w:after="31"/>
              <w:rPr>
                <w:rFonts w:hint="eastAsia"/>
                <w:color w:val="auto"/>
                <w:highlight w:val="none"/>
              </w:rPr>
            </w:pPr>
            <w:r>
              <w:rPr>
                <w:rFonts w:hint="eastAsia"/>
                <w:color w:val="auto"/>
                <w:highlight w:val="none"/>
              </w:rPr>
              <w:t>第二汇水分区</w:t>
            </w:r>
          </w:p>
        </w:tc>
        <w:tc>
          <w:tcPr>
            <w:tcW w:w="1190" w:type="dxa"/>
            <w:vAlign w:val="center"/>
          </w:tcPr>
          <w:p>
            <w:pPr>
              <w:pStyle w:val="51"/>
              <w:spacing w:before="31" w:after="31"/>
              <w:rPr>
                <w:rFonts w:hint="eastAsia"/>
                <w:color w:val="auto"/>
                <w:highlight w:val="none"/>
              </w:rPr>
            </w:pPr>
            <w:r>
              <w:rPr>
                <w:rFonts w:hint="eastAsia"/>
                <w:color w:val="auto"/>
                <w:highlight w:val="none"/>
              </w:rPr>
              <w:t>下沉绿地</w:t>
            </w:r>
          </w:p>
        </w:tc>
        <w:tc>
          <w:tcPr>
            <w:tcW w:w="113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2737.75 </w:t>
            </w:r>
          </w:p>
        </w:tc>
        <w:tc>
          <w:tcPr>
            <w:tcW w:w="113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0.15</w:t>
            </w:r>
          </w:p>
        </w:tc>
        <w:tc>
          <w:tcPr>
            <w:tcW w:w="1021"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0.80</w:t>
            </w:r>
          </w:p>
        </w:tc>
        <w:tc>
          <w:tcPr>
            <w:tcW w:w="177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328.53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Align w:val="center"/>
          </w:tcPr>
          <w:p>
            <w:pPr>
              <w:pStyle w:val="51"/>
              <w:spacing w:before="31" w:after="31"/>
              <w:rPr>
                <w:rFonts w:hint="eastAsia"/>
                <w:color w:val="auto"/>
                <w:highlight w:val="none"/>
              </w:rPr>
            </w:pPr>
            <w:r>
              <w:rPr>
                <w:rFonts w:hint="eastAsia"/>
                <w:color w:val="auto"/>
                <w:highlight w:val="none"/>
              </w:rPr>
              <w:t>3</w:t>
            </w:r>
          </w:p>
        </w:tc>
        <w:tc>
          <w:tcPr>
            <w:tcW w:w="1645" w:type="dxa"/>
            <w:vAlign w:val="center"/>
          </w:tcPr>
          <w:p>
            <w:pPr>
              <w:pStyle w:val="51"/>
              <w:spacing w:before="31" w:after="31"/>
              <w:rPr>
                <w:rFonts w:hint="eastAsia"/>
                <w:color w:val="auto"/>
                <w:highlight w:val="none"/>
              </w:rPr>
            </w:pPr>
            <w:r>
              <w:rPr>
                <w:rFonts w:hint="eastAsia"/>
                <w:color w:val="auto"/>
                <w:highlight w:val="none"/>
              </w:rPr>
              <w:t>总地块</w:t>
            </w:r>
          </w:p>
        </w:tc>
        <w:tc>
          <w:tcPr>
            <w:tcW w:w="1190" w:type="dxa"/>
            <w:vAlign w:val="center"/>
          </w:tcPr>
          <w:p>
            <w:pPr>
              <w:pStyle w:val="51"/>
              <w:spacing w:before="31" w:after="31"/>
              <w:rPr>
                <w:rFonts w:hint="eastAsia"/>
                <w:color w:val="auto"/>
                <w:highlight w:val="none"/>
              </w:rPr>
            </w:pPr>
            <w:r>
              <w:rPr>
                <w:rFonts w:hint="eastAsia"/>
                <w:color w:val="auto"/>
                <w:highlight w:val="none"/>
              </w:rPr>
              <w:t>下沉绿地</w:t>
            </w:r>
          </w:p>
        </w:tc>
        <w:tc>
          <w:tcPr>
            <w:tcW w:w="113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3402.91 </w:t>
            </w:r>
          </w:p>
        </w:tc>
        <w:tc>
          <w:tcPr>
            <w:tcW w:w="113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0.15</w:t>
            </w:r>
          </w:p>
        </w:tc>
        <w:tc>
          <w:tcPr>
            <w:tcW w:w="1021"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0.80</w:t>
            </w:r>
          </w:p>
        </w:tc>
        <w:tc>
          <w:tcPr>
            <w:tcW w:w="1772"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 xml:space="preserve">408.35 </w:t>
            </w:r>
          </w:p>
        </w:tc>
      </w:tr>
    </w:tbl>
    <w:p>
      <w:pPr>
        <w:keepNext w:val="0"/>
        <w:keepLines w:val="0"/>
        <w:pageBreakBefore w:val="0"/>
        <w:widowControl w:val="0"/>
        <w:kinsoku/>
        <w:wordWrap/>
        <w:overflowPunct/>
        <w:topLinePunct w:val="0"/>
        <w:autoSpaceDE w:val="0"/>
        <w:autoSpaceDN w:val="0"/>
        <w:bidi w:val="0"/>
        <w:adjustRightInd w:val="0"/>
        <w:snapToGrid/>
        <w:spacing w:before="156" w:after="156" w:line="204" w:lineRule="auto"/>
        <w:ind w:firstLine="420"/>
        <w:textAlignment w:val="auto"/>
        <w:rPr>
          <w:rFonts w:hint="default" w:hAnsi="宋体" w:cs="宋体"/>
          <w:color w:val="auto"/>
          <w:sz w:val="21"/>
          <w:highlight w:val="none"/>
          <w:lang w:val="en-US" w:eastAsia="zh-CN"/>
        </w:rPr>
      </w:pPr>
      <w:r>
        <w:rPr>
          <w:rFonts w:hint="eastAsia" w:hAnsi="宋体" w:cs="宋体"/>
          <w:color w:val="auto"/>
          <w:sz w:val="21"/>
          <w:highlight w:val="none"/>
        </w:rPr>
        <w:t>注</w:t>
      </w:r>
      <w:r>
        <w:rPr>
          <w:rFonts w:hAnsi="宋体" w:cs="宋体"/>
          <w:color w:val="auto"/>
          <w:sz w:val="21"/>
          <w:highlight w:val="none"/>
        </w:rPr>
        <w:t>：</w:t>
      </w:r>
      <w:r>
        <w:rPr>
          <w:rFonts w:hint="eastAsia" w:hAnsi="宋体" w:cs="宋体"/>
          <w:color w:val="auto"/>
          <w:sz w:val="21"/>
          <w:highlight w:val="none"/>
          <w:lang w:val="en-US" w:eastAsia="zh-CN"/>
        </w:rPr>
        <w:t>1、LID设施设计调蓄容积=下凹绿地面积*调蓄深度*折减系数；</w:t>
      </w:r>
    </w:p>
    <w:p>
      <w:pPr>
        <w:keepNext w:val="0"/>
        <w:keepLines w:val="0"/>
        <w:pageBreakBefore w:val="0"/>
        <w:widowControl w:val="0"/>
        <w:kinsoku/>
        <w:wordWrap/>
        <w:overflowPunct/>
        <w:topLinePunct w:val="0"/>
        <w:autoSpaceDE w:val="0"/>
        <w:autoSpaceDN w:val="0"/>
        <w:bidi w:val="0"/>
        <w:adjustRightInd w:val="0"/>
        <w:snapToGrid/>
        <w:spacing w:before="156" w:after="156" w:line="204" w:lineRule="auto"/>
        <w:ind w:firstLine="840" w:firstLineChars="400"/>
        <w:textAlignment w:val="auto"/>
        <w:rPr>
          <w:rFonts w:hAnsi="宋体" w:cs="宋体"/>
          <w:color w:val="auto"/>
          <w:sz w:val="21"/>
          <w:highlight w:val="none"/>
        </w:rPr>
      </w:pPr>
      <w:r>
        <w:rPr>
          <w:rFonts w:hint="eastAsia" w:hAnsi="宋体" w:cs="宋体"/>
          <w:color w:val="auto"/>
          <w:sz w:val="21"/>
          <w:highlight w:val="none"/>
          <w:lang w:val="en-US" w:eastAsia="zh-CN"/>
        </w:rPr>
        <w:t>2、</w:t>
      </w:r>
      <w:r>
        <w:rPr>
          <w:rFonts w:hint="eastAsia" w:hAnsi="宋体" w:cs="宋体"/>
          <w:color w:val="auto"/>
          <w:sz w:val="21"/>
          <w:highlight w:val="none"/>
        </w:rPr>
        <w:t>考虑实际施工下沉式绿地存在放坡及堆土情况，本项目计算下沉绿地设计调蓄容积时按0.</w:t>
      </w:r>
      <w:r>
        <w:rPr>
          <w:rFonts w:hint="eastAsia" w:hAnsi="宋体" w:cs="宋体"/>
          <w:color w:val="auto"/>
          <w:sz w:val="21"/>
          <w:highlight w:val="none"/>
          <w:lang w:val="en-US" w:eastAsia="zh-CN"/>
        </w:rPr>
        <w:t>8</w:t>
      </w:r>
      <w:r>
        <w:rPr>
          <w:rFonts w:hint="eastAsia" w:hAnsi="宋体" w:cs="宋体"/>
          <w:color w:val="auto"/>
          <w:sz w:val="21"/>
          <w:highlight w:val="none"/>
        </w:rPr>
        <w:t>倍进行折算。</w:t>
      </w:r>
    </w:p>
    <w:p>
      <w:pPr>
        <w:spacing w:before="156" w:after="156"/>
        <w:ind w:firstLine="480"/>
        <w:rPr>
          <w:rFonts w:hint="eastAsia" w:hAnsi="宋体" w:cs="宋体"/>
          <w:color w:val="auto"/>
          <w:highlight w:val="none"/>
          <w:lang w:val="en-US" w:eastAsia="zh-CN"/>
        </w:rPr>
      </w:pPr>
      <w:r>
        <w:rPr>
          <w:rFonts w:hint="eastAsia" w:hAnsi="宋体" w:cs="宋体"/>
          <w:color w:val="auto"/>
          <w:highlight w:val="none"/>
          <w:lang w:val="en-US" w:eastAsia="zh-CN"/>
        </w:rPr>
        <w:t>由“HM-02 海绵城市设施分布总平面图”中的“下沉绿地设施明细表”中可知，第一汇水分区下凹绿地总面积为665.16㎡，第二汇水分区下凹绿地总面积为2737.75 ㎡并设置一个200m³的雨水调蓄池，总地块下凹绿地面积为3402.91㎡，可得下表。</w:t>
      </w:r>
    </w:p>
    <w:p>
      <w:pPr>
        <w:spacing w:before="156" w:after="156" w:line="360" w:lineRule="auto"/>
        <w:ind w:firstLine="482"/>
        <w:jc w:val="center"/>
        <w:rPr>
          <w:rFonts w:hint="eastAsia" w:hAnsi="宋体" w:cs="宋体"/>
          <w:b/>
          <w:bCs/>
          <w:color w:val="auto"/>
          <w:highlight w:val="none"/>
        </w:rPr>
      </w:pPr>
      <w:r>
        <w:rPr>
          <w:rFonts w:hint="eastAsia" w:hAnsi="宋体" w:cs="宋体"/>
          <w:b/>
          <w:bCs/>
          <w:color w:val="auto"/>
          <w:highlight w:val="none"/>
        </w:rPr>
        <w:t>表4-</w:t>
      </w:r>
      <w:r>
        <w:rPr>
          <w:rFonts w:hint="eastAsia" w:hAnsi="宋体" w:cs="宋体"/>
          <w:b/>
          <w:bCs/>
          <w:color w:val="auto"/>
          <w:highlight w:val="none"/>
          <w:lang w:val="en-US" w:eastAsia="zh-CN"/>
        </w:rPr>
        <w:t>9</w:t>
      </w:r>
      <w:r>
        <w:rPr>
          <w:rFonts w:hint="eastAsia" w:hAnsi="宋体" w:cs="宋体"/>
          <w:b/>
          <w:bCs/>
          <w:color w:val="auto"/>
          <w:highlight w:val="none"/>
        </w:rPr>
        <w:t xml:space="preserve"> </w:t>
      </w:r>
      <w:r>
        <w:rPr>
          <w:rFonts w:hint="eastAsia" w:hAnsi="宋体" w:cs="宋体"/>
          <w:b/>
          <w:bCs/>
          <w:color w:val="auto"/>
          <w:highlight w:val="none"/>
          <w:lang w:val="en-US" w:eastAsia="zh-CN"/>
        </w:rPr>
        <w:t xml:space="preserve"> </w:t>
      </w:r>
      <w:r>
        <w:rPr>
          <w:rFonts w:hint="eastAsia" w:hAnsi="宋体" w:cs="宋体"/>
          <w:b/>
          <w:bCs/>
          <w:color w:val="auto"/>
          <w:highlight w:val="none"/>
        </w:rPr>
        <w:t>各汇水分区</w:t>
      </w:r>
      <w:r>
        <w:rPr>
          <w:rFonts w:hint="eastAsia" w:hAnsi="宋体" w:cs="宋体"/>
          <w:b/>
          <w:bCs/>
          <w:color w:val="auto"/>
          <w:highlight w:val="none"/>
          <w:lang w:val="en-US" w:eastAsia="zh-CN"/>
        </w:rPr>
        <w:t>LID设施设计</w:t>
      </w:r>
      <w:r>
        <w:rPr>
          <w:rFonts w:hint="eastAsia" w:hAnsi="宋体" w:cs="宋体"/>
          <w:b/>
          <w:bCs/>
          <w:color w:val="auto"/>
          <w:highlight w:val="none"/>
        </w:rPr>
        <w:t>调蓄容积计算</w:t>
      </w:r>
    </w:p>
    <w:tbl>
      <w:tblPr>
        <w:tblStyle w:val="43"/>
        <w:tblW w:w="9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93"/>
        <w:gridCol w:w="766"/>
        <w:gridCol w:w="1097"/>
        <w:gridCol w:w="1898"/>
        <w:gridCol w:w="1781"/>
        <w:gridCol w:w="2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w:t>
            </w:r>
          </w:p>
        </w:tc>
        <w:tc>
          <w:tcPr>
            <w:tcW w:w="99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汇水</w:t>
            </w:r>
          </w:p>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分区</w:t>
            </w:r>
          </w:p>
        </w:tc>
        <w:tc>
          <w:tcPr>
            <w:tcW w:w="766"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调蓄措施</w:t>
            </w:r>
          </w:p>
        </w:tc>
        <w:tc>
          <w:tcPr>
            <w:tcW w:w="109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面积（㎡）</w:t>
            </w:r>
          </w:p>
        </w:tc>
        <w:tc>
          <w:tcPr>
            <w:tcW w:w="1898"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下凹绿地</w:t>
            </w:r>
            <w:r>
              <w:rPr>
                <w:rFonts w:hint="eastAsia" w:ascii="宋体" w:hAnsi="宋体" w:eastAsia="宋体" w:cs="宋体"/>
                <w:color w:val="auto"/>
                <w:highlight w:val="none"/>
                <w:lang w:val="en-US" w:eastAsia="zh-CN"/>
              </w:rPr>
              <w:t>设计调蓄容积（m³)</w:t>
            </w:r>
          </w:p>
        </w:tc>
        <w:tc>
          <w:tcPr>
            <w:tcW w:w="1781"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雨水调蓄池</w:t>
            </w:r>
            <w:r>
              <w:rPr>
                <w:rFonts w:hint="eastAsia" w:ascii="宋体" w:hAnsi="宋体" w:eastAsia="宋体" w:cs="宋体"/>
                <w:color w:val="auto"/>
                <w:highlight w:val="none"/>
                <w:lang w:val="en-US" w:eastAsia="zh-CN"/>
              </w:rPr>
              <w:t>m³)</w:t>
            </w:r>
          </w:p>
        </w:tc>
        <w:tc>
          <w:tcPr>
            <w:tcW w:w="2111"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LID设施</w:t>
            </w:r>
            <w:r>
              <w:rPr>
                <w:rFonts w:hint="eastAsia" w:ascii="宋体" w:hAnsi="宋体" w:cs="宋体"/>
                <w:color w:val="auto"/>
                <w:highlight w:val="none"/>
                <w:lang w:val="en-US" w:eastAsia="zh-CN"/>
              </w:rPr>
              <w:t>设计</w:t>
            </w:r>
            <w:r>
              <w:rPr>
                <w:rFonts w:hint="eastAsia" w:ascii="宋体" w:hAnsi="宋体" w:eastAsia="宋体" w:cs="宋体"/>
                <w:color w:val="auto"/>
                <w:highlight w:val="none"/>
                <w:lang w:val="en-US" w:eastAsia="zh-CN"/>
              </w:rPr>
              <w:t>有效调蓄容积（m³)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pStyle w:val="51"/>
              <w:spacing w:before="31" w:after="31"/>
              <w:ind w:firstLine="0" w:firstLineChars="0"/>
              <w:rPr>
                <w:rFonts w:hint="eastAsia" w:ascii="宋体" w:hAnsi="宋体" w:eastAsia="宋体" w:cs="宋体"/>
                <w:color w:val="auto"/>
                <w:highlight w:val="none"/>
                <w:lang w:val="en-US" w:eastAsia="zh-CN"/>
              </w:rPr>
            </w:pPr>
            <w:r>
              <w:rPr>
                <w:rFonts w:hint="eastAsia" w:cs="Times New Roman"/>
                <w:color w:val="auto"/>
                <w:highlight w:val="none"/>
                <w:lang w:val="en-US" w:eastAsia="zh-CN"/>
              </w:rPr>
              <w:t>1</w:t>
            </w:r>
          </w:p>
        </w:tc>
        <w:tc>
          <w:tcPr>
            <w:tcW w:w="993" w:type="dxa"/>
            <w:vAlign w:val="center"/>
          </w:tcPr>
          <w:p>
            <w:pPr>
              <w:pStyle w:val="51"/>
              <w:spacing w:before="31" w:after="31"/>
              <w:ind w:firstLine="0" w:firstLineChars="0"/>
              <w:rPr>
                <w:rFonts w:hint="eastAsia" w:ascii="宋体" w:hAnsi="宋体" w:eastAsia="宋体" w:cs="宋体"/>
                <w:color w:val="auto"/>
                <w:highlight w:val="none"/>
                <w:lang w:val="en-US" w:eastAsia="zh-CN"/>
              </w:rPr>
            </w:pPr>
            <w:r>
              <w:rPr>
                <w:rFonts w:hint="eastAsia" w:ascii="Times New Roman" w:hAnsi="Times New Roman" w:cs="Times New Roman"/>
                <w:color w:val="auto"/>
                <w:highlight w:val="none"/>
                <w:lang w:val="en-US" w:eastAsia="zh-CN"/>
              </w:rPr>
              <w:t>总地块</w:t>
            </w:r>
          </w:p>
        </w:tc>
        <w:tc>
          <w:tcPr>
            <w:tcW w:w="766" w:type="dxa"/>
            <w:vAlign w:val="center"/>
          </w:tcPr>
          <w:p>
            <w:pPr>
              <w:pStyle w:val="51"/>
              <w:spacing w:before="31" w:after="31"/>
              <w:ind w:firstLine="0" w:firstLineChars="0"/>
              <w:rPr>
                <w:rFonts w:hint="eastAsia" w:ascii="宋体" w:hAnsi="宋体" w:eastAsia="宋体" w:cs="宋体"/>
                <w:color w:val="auto"/>
                <w:highlight w:val="none"/>
                <w:lang w:val="en-US" w:eastAsia="zh-CN"/>
              </w:rPr>
            </w:pPr>
            <w:r>
              <w:rPr>
                <w:rFonts w:hint="eastAsia" w:ascii="Times New Roman" w:hAnsi="Times New Roman" w:cs="Times New Roman"/>
                <w:color w:val="auto"/>
                <w:highlight w:val="none"/>
                <w:lang w:val="en-US" w:eastAsia="zh-CN"/>
              </w:rPr>
              <w:t>下沉绿地</w:t>
            </w:r>
          </w:p>
        </w:tc>
        <w:tc>
          <w:tcPr>
            <w:tcW w:w="1097"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color w:val="auto"/>
                <w:highlight w:val="none"/>
                <w:lang w:val="en-US" w:eastAsia="zh-CN"/>
              </w:rPr>
              <w:t>3402.91</w:t>
            </w:r>
          </w:p>
        </w:tc>
        <w:tc>
          <w:tcPr>
            <w:tcW w:w="1898"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color w:val="auto"/>
                <w:highlight w:val="none"/>
                <w:lang w:val="en-US" w:eastAsia="zh-CN"/>
              </w:rPr>
              <w:t xml:space="preserve">408.35 </w:t>
            </w:r>
          </w:p>
        </w:tc>
        <w:tc>
          <w:tcPr>
            <w:tcW w:w="1781" w:type="dxa"/>
            <w:vAlign w:val="center"/>
          </w:tcPr>
          <w:p>
            <w:pPr>
              <w:pStyle w:val="51"/>
              <w:spacing w:before="31" w:after="31"/>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200</w:t>
            </w:r>
          </w:p>
        </w:tc>
        <w:tc>
          <w:tcPr>
            <w:tcW w:w="2111" w:type="dxa"/>
            <w:vAlign w:val="center"/>
          </w:tcPr>
          <w:p>
            <w:pPr>
              <w:pStyle w:val="51"/>
              <w:spacing w:before="31" w:after="31"/>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608.35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993"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第一汇水分区</w:t>
            </w:r>
          </w:p>
        </w:tc>
        <w:tc>
          <w:tcPr>
            <w:tcW w:w="766"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下沉绿地</w:t>
            </w:r>
          </w:p>
        </w:tc>
        <w:tc>
          <w:tcPr>
            <w:tcW w:w="1097"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color w:val="auto"/>
                <w:highlight w:val="none"/>
                <w:lang w:val="en-US" w:eastAsia="zh-CN"/>
              </w:rPr>
              <w:t xml:space="preserve">665.16 </w:t>
            </w:r>
          </w:p>
        </w:tc>
        <w:tc>
          <w:tcPr>
            <w:tcW w:w="1898" w:type="dxa"/>
            <w:vAlign w:val="center"/>
          </w:tcPr>
          <w:p>
            <w:pPr>
              <w:pStyle w:val="51"/>
              <w:spacing w:before="31" w:after="31"/>
              <w:ind w:firstLine="0" w:firstLineChars="0"/>
              <w:rPr>
                <w:rFonts w:hint="default" w:ascii="Times New Roman" w:hAnsi="Times New Roman" w:cs="Times New Roman"/>
                <w:color w:val="auto"/>
                <w:highlight w:val="none"/>
                <w:lang w:val="en-US" w:eastAsia="zh-CN"/>
              </w:rPr>
            </w:pPr>
            <w:r>
              <w:rPr>
                <w:rFonts w:hint="eastAsia"/>
                <w:color w:val="auto"/>
                <w:highlight w:val="none"/>
                <w:lang w:val="en-US" w:eastAsia="zh-CN"/>
              </w:rPr>
              <w:t xml:space="preserve">79.82 </w:t>
            </w:r>
          </w:p>
        </w:tc>
        <w:tc>
          <w:tcPr>
            <w:tcW w:w="1781" w:type="dxa"/>
            <w:vAlign w:val="center"/>
          </w:tcPr>
          <w:p>
            <w:pPr>
              <w:pStyle w:val="51"/>
              <w:spacing w:before="31" w:after="31"/>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w:t>
            </w:r>
          </w:p>
        </w:tc>
        <w:tc>
          <w:tcPr>
            <w:tcW w:w="2111" w:type="dxa"/>
            <w:vAlign w:val="center"/>
          </w:tcPr>
          <w:p>
            <w:pPr>
              <w:pStyle w:val="51"/>
              <w:spacing w:before="31" w:after="31"/>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p>
        </w:tc>
        <w:tc>
          <w:tcPr>
            <w:tcW w:w="993"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第二汇水分区</w:t>
            </w:r>
          </w:p>
        </w:tc>
        <w:tc>
          <w:tcPr>
            <w:tcW w:w="766"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下沉绿地</w:t>
            </w:r>
          </w:p>
        </w:tc>
        <w:tc>
          <w:tcPr>
            <w:tcW w:w="1097" w:type="dxa"/>
            <w:vAlign w:val="center"/>
          </w:tcPr>
          <w:p>
            <w:pPr>
              <w:pStyle w:val="51"/>
              <w:spacing w:before="31" w:after="31"/>
              <w:ind w:firstLine="0" w:firstLineChars="0"/>
              <w:rPr>
                <w:rFonts w:hint="eastAsia" w:ascii="Times New Roman" w:hAnsi="Times New Roman" w:cs="Times New Roman"/>
                <w:color w:val="auto"/>
                <w:highlight w:val="none"/>
                <w:lang w:val="en-US" w:eastAsia="zh-CN"/>
              </w:rPr>
            </w:pPr>
            <w:r>
              <w:rPr>
                <w:rFonts w:hint="eastAsia"/>
                <w:color w:val="auto"/>
                <w:highlight w:val="none"/>
                <w:lang w:val="en-US" w:eastAsia="zh-CN"/>
              </w:rPr>
              <w:t xml:space="preserve">2737.75 </w:t>
            </w:r>
          </w:p>
        </w:tc>
        <w:tc>
          <w:tcPr>
            <w:tcW w:w="1898" w:type="dxa"/>
            <w:vAlign w:val="center"/>
          </w:tcPr>
          <w:p>
            <w:pPr>
              <w:pStyle w:val="51"/>
              <w:spacing w:before="31" w:after="31"/>
              <w:ind w:firstLine="0" w:firstLineChars="0"/>
              <w:rPr>
                <w:rFonts w:hint="default" w:ascii="Times New Roman" w:hAnsi="Times New Roman" w:cs="Times New Roman"/>
                <w:color w:val="auto"/>
                <w:highlight w:val="none"/>
                <w:lang w:val="en-US" w:eastAsia="zh-CN"/>
              </w:rPr>
            </w:pPr>
            <w:r>
              <w:rPr>
                <w:rFonts w:hint="eastAsia"/>
                <w:color w:val="auto"/>
                <w:highlight w:val="none"/>
                <w:lang w:val="en-US" w:eastAsia="zh-CN"/>
              </w:rPr>
              <w:t xml:space="preserve">328.53 </w:t>
            </w:r>
          </w:p>
        </w:tc>
        <w:tc>
          <w:tcPr>
            <w:tcW w:w="1781" w:type="dxa"/>
            <w:vAlign w:val="center"/>
          </w:tcPr>
          <w:p>
            <w:pPr>
              <w:pStyle w:val="51"/>
              <w:spacing w:before="31" w:after="31"/>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200</w:t>
            </w:r>
          </w:p>
        </w:tc>
        <w:tc>
          <w:tcPr>
            <w:tcW w:w="2111" w:type="dxa"/>
            <w:vAlign w:val="center"/>
          </w:tcPr>
          <w:p>
            <w:pPr>
              <w:pStyle w:val="51"/>
              <w:spacing w:before="31" w:after="31"/>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528.53</w:t>
            </w:r>
          </w:p>
        </w:tc>
      </w:tr>
    </w:tbl>
    <w:p>
      <w:pPr>
        <w:keepNext w:val="0"/>
        <w:keepLines w:val="0"/>
        <w:pageBreakBefore w:val="0"/>
        <w:widowControl w:val="0"/>
        <w:kinsoku/>
        <w:wordWrap/>
        <w:overflowPunct/>
        <w:topLinePunct w:val="0"/>
        <w:autoSpaceDE w:val="0"/>
        <w:autoSpaceDN w:val="0"/>
        <w:bidi w:val="0"/>
        <w:adjustRightInd w:val="0"/>
        <w:snapToGrid/>
        <w:spacing w:before="156" w:after="156" w:line="204" w:lineRule="auto"/>
        <w:ind w:firstLine="420"/>
        <w:textAlignment w:val="auto"/>
        <w:rPr>
          <w:rFonts w:hint="default" w:hAnsi="宋体" w:cs="宋体"/>
          <w:color w:val="auto"/>
          <w:sz w:val="21"/>
          <w:highlight w:val="none"/>
          <w:lang w:val="en-US" w:eastAsia="zh-CN"/>
        </w:rPr>
      </w:pPr>
      <w:r>
        <w:rPr>
          <w:rFonts w:hint="eastAsia" w:hAnsi="宋体" w:cs="宋体"/>
          <w:color w:val="auto"/>
          <w:sz w:val="21"/>
          <w:highlight w:val="none"/>
          <w:lang w:val="en-US" w:eastAsia="zh-CN"/>
        </w:rPr>
        <w:t>注：LID设施实际有效调蓄容积=下凹绿地设计调蓄容积+雨水调蓄池调蓄容积；</w:t>
      </w:r>
    </w:p>
    <w:p>
      <w:pPr>
        <w:spacing w:before="156" w:after="156" w:line="360" w:lineRule="auto"/>
        <w:ind w:firstLine="482"/>
        <w:jc w:val="center"/>
        <w:rPr>
          <w:rFonts w:hint="eastAsia" w:hAnsi="宋体" w:cs="宋体"/>
          <w:b/>
          <w:bCs/>
          <w:color w:val="auto"/>
          <w:highlight w:val="none"/>
        </w:rPr>
      </w:pPr>
      <w:r>
        <w:rPr>
          <w:rFonts w:hint="eastAsia" w:hAnsi="宋体" w:cs="宋体"/>
          <w:b/>
          <w:bCs/>
          <w:color w:val="auto"/>
          <w:highlight w:val="none"/>
        </w:rPr>
        <w:t>表4-</w:t>
      </w:r>
      <w:r>
        <w:rPr>
          <w:rFonts w:hint="eastAsia" w:hAnsi="宋体" w:cs="宋体"/>
          <w:b/>
          <w:bCs/>
          <w:color w:val="auto"/>
          <w:highlight w:val="none"/>
          <w:lang w:val="en-US" w:eastAsia="zh-CN"/>
        </w:rPr>
        <w:t>10</w:t>
      </w:r>
      <w:r>
        <w:rPr>
          <w:rFonts w:hint="eastAsia" w:hAnsi="宋体" w:cs="宋体"/>
          <w:b/>
          <w:bCs/>
          <w:color w:val="auto"/>
          <w:highlight w:val="none"/>
        </w:rPr>
        <w:t xml:space="preserve"> </w:t>
      </w:r>
      <w:r>
        <w:rPr>
          <w:rFonts w:hint="eastAsia" w:hAnsi="宋体" w:cs="宋体"/>
          <w:b/>
          <w:bCs/>
          <w:color w:val="auto"/>
          <w:highlight w:val="none"/>
          <w:lang w:val="en-US" w:eastAsia="zh-CN"/>
        </w:rPr>
        <w:t xml:space="preserve"> </w:t>
      </w:r>
      <w:r>
        <w:rPr>
          <w:rFonts w:hint="eastAsia" w:hAnsi="宋体" w:cs="宋体"/>
          <w:b/>
          <w:bCs/>
          <w:color w:val="auto"/>
          <w:highlight w:val="none"/>
        </w:rPr>
        <w:t>各汇水分区实际雨水调蓄容积计算</w:t>
      </w:r>
    </w:p>
    <w:tbl>
      <w:tblPr>
        <w:tblStyle w:val="43"/>
        <w:tblW w:w="10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139"/>
        <w:gridCol w:w="1432"/>
        <w:gridCol w:w="1688"/>
        <w:gridCol w:w="1833"/>
        <w:gridCol w:w="1767"/>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w:t>
            </w:r>
          </w:p>
        </w:tc>
        <w:tc>
          <w:tcPr>
            <w:tcW w:w="1139"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汇水</w:t>
            </w:r>
          </w:p>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分区</w:t>
            </w:r>
          </w:p>
        </w:tc>
        <w:tc>
          <w:tcPr>
            <w:tcW w:w="1432"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调蓄措施</w:t>
            </w:r>
          </w:p>
        </w:tc>
        <w:tc>
          <w:tcPr>
            <w:tcW w:w="1688"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LID设施设计调蓄容积（m³)</w:t>
            </w:r>
          </w:p>
        </w:tc>
        <w:tc>
          <w:tcPr>
            <w:tcW w:w="1833"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场地设计降雨径流量（m³)</w:t>
            </w:r>
          </w:p>
        </w:tc>
        <w:tc>
          <w:tcPr>
            <w:tcW w:w="1767" w:type="dxa"/>
            <w:vAlign w:val="center"/>
          </w:tcPr>
          <w:p>
            <w:pPr>
              <w:pStyle w:val="51"/>
              <w:spacing w:before="0" w:beforeLines="0" w:after="0" w:afterLine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LID设施实际有效调蓄容积（m³)</w:t>
            </w:r>
          </w:p>
        </w:tc>
        <w:tc>
          <w:tcPr>
            <w:tcW w:w="1600" w:type="dxa"/>
            <w:vAlign w:val="center"/>
          </w:tcPr>
          <w:p>
            <w:pPr>
              <w:pStyle w:val="51"/>
              <w:spacing w:before="31" w:after="31"/>
              <w:ind w:firstLine="0" w:firstLineChars="0"/>
              <w:rPr>
                <w:rFonts w:hint="default" w:ascii="宋体" w:hAnsi="宋体" w:eastAsia="宋体" w:cs="宋体"/>
                <w:color w:val="auto"/>
                <w:highlight w:val="none"/>
                <w:lang w:val="en-US" w:eastAsia="zh-CN"/>
              </w:rPr>
            </w:pPr>
            <w:r>
              <w:rPr>
                <w:rFonts w:hint="eastAsia"/>
                <w:color w:val="auto"/>
                <w:highlight w:val="none"/>
                <w:lang w:val="en-US" w:eastAsia="zh-CN"/>
              </w:rPr>
              <w:t>场地设计所需调蓄容量（m³)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pStyle w:val="51"/>
              <w:spacing w:before="31" w:after="31"/>
              <w:ind w:firstLine="0" w:firstLineChars="0"/>
              <w:rPr>
                <w:rFonts w:hint="eastAsia" w:ascii="宋体" w:hAnsi="宋体" w:eastAsia="宋体" w:cs="宋体"/>
                <w:color w:val="auto"/>
                <w:highlight w:val="none"/>
                <w:lang w:val="en-US" w:eastAsia="zh-CN"/>
              </w:rPr>
            </w:pPr>
            <w:r>
              <w:rPr>
                <w:rFonts w:hint="eastAsia"/>
                <w:color w:val="auto"/>
                <w:highlight w:val="none"/>
                <w:lang w:val="en-US" w:eastAsia="zh-CN"/>
              </w:rPr>
              <w:t>1</w:t>
            </w:r>
          </w:p>
        </w:tc>
        <w:tc>
          <w:tcPr>
            <w:tcW w:w="1139" w:type="dxa"/>
            <w:vAlign w:val="center"/>
          </w:tcPr>
          <w:p>
            <w:pPr>
              <w:pStyle w:val="51"/>
              <w:spacing w:before="31" w:after="31"/>
              <w:ind w:firstLine="0" w:firstLineChars="0"/>
              <w:rPr>
                <w:rFonts w:hint="eastAsia" w:ascii="宋体" w:hAnsi="宋体" w:eastAsia="宋体" w:cs="宋体"/>
                <w:color w:val="auto"/>
                <w:highlight w:val="none"/>
                <w:lang w:val="en-US" w:eastAsia="zh-CN"/>
              </w:rPr>
            </w:pPr>
            <w:r>
              <w:rPr>
                <w:rFonts w:hint="eastAsia"/>
                <w:color w:val="auto"/>
                <w:highlight w:val="none"/>
                <w:lang w:val="en-US" w:eastAsia="zh-CN"/>
              </w:rPr>
              <w:t>总地块</w:t>
            </w:r>
          </w:p>
        </w:tc>
        <w:tc>
          <w:tcPr>
            <w:tcW w:w="1432"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下沉绿地、</w:t>
            </w:r>
          </w:p>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雨水调蓄池</w:t>
            </w:r>
          </w:p>
        </w:tc>
        <w:tc>
          <w:tcPr>
            <w:tcW w:w="1688"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608.35</w:t>
            </w:r>
          </w:p>
        </w:tc>
        <w:tc>
          <w:tcPr>
            <w:tcW w:w="1833"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 xml:space="preserve">697.14 </w:t>
            </w:r>
          </w:p>
        </w:tc>
        <w:tc>
          <w:tcPr>
            <w:tcW w:w="1767" w:type="dxa"/>
            <w:vAlign w:val="center"/>
          </w:tcPr>
          <w:p>
            <w:pPr>
              <w:pStyle w:val="51"/>
              <w:spacing w:before="31" w:after="31"/>
              <w:ind w:firstLine="0" w:firstLineChars="0"/>
              <w:rPr>
                <w:rFonts w:hint="default"/>
                <w:color w:val="auto"/>
                <w:highlight w:val="none"/>
                <w:lang w:val="en-US" w:eastAsia="zh-CN"/>
              </w:rPr>
            </w:pPr>
            <w:r>
              <w:rPr>
                <w:rFonts w:hint="eastAsia"/>
                <w:color w:val="auto"/>
                <w:highlight w:val="none"/>
                <w:lang w:val="en-US" w:eastAsia="zh-CN"/>
              </w:rPr>
              <w:t>471.45</w:t>
            </w:r>
          </w:p>
        </w:tc>
        <w:tc>
          <w:tcPr>
            <w:tcW w:w="1600"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 xml:space="preserve">328.98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2</w:t>
            </w:r>
          </w:p>
        </w:tc>
        <w:tc>
          <w:tcPr>
            <w:tcW w:w="1139"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第一汇水分区</w:t>
            </w:r>
          </w:p>
        </w:tc>
        <w:tc>
          <w:tcPr>
            <w:tcW w:w="1432" w:type="dxa"/>
            <w:vAlign w:val="center"/>
          </w:tcPr>
          <w:p>
            <w:pPr>
              <w:pStyle w:val="51"/>
              <w:spacing w:before="31" w:after="31"/>
              <w:ind w:firstLine="0" w:firstLineChars="0"/>
              <w:rPr>
                <w:rFonts w:hint="default"/>
                <w:color w:val="auto"/>
                <w:highlight w:val="none"/>
                <w:lang w:val="en-US" w:eastAsia="zh-CN"/>
              </w:rPr>
            </w:pPr>
            <w:r>
              <w:rPr>
                <w:rFonts w:hint="eastAsia"/>
                <w:color w:val="auto"/>
                <w:highlight w:val="none"/>
                <w:lang w:val="en-US" w:eastAsia="zh-CN"/>
              </w:rPr>
              <w:t>下沉绿地</w:t>
            </w:r>
          </w:p>
        </w:tc>
        <w:tc>
          <w:tcPr>
            <w:tcW w:w="1688" w:type="dxa"/>
            <w:vAlign w:val="center"/>
          </w:tcPr>
          <w:p>
            <w:pPr>
              <w:pStyle w:val="51"/>
              <w:spacing w:before="31" w:after="31"/>
              <w:ind w:firstLine="0" w:firstLineChars="0"/>
              <w:rPr>
                <w:rFonts w:hint="default"/>
                <w:color w:val="auto"/>
                <w:highlight w:val="none"/>
                <w:lang w:val="en-US" w:eastAsia="zh-CN"/>
              </w:rPr>
            </w:pPr>
            <w:r>
              <w:rPr>
                <w:rFonts w:hint="eastAsia"/>
                <w:color w:val="auto"/>
                <w:highlight w:val="none"/>
                <w:lang w:val="en-US" w:eastAsia="zh-CN"/>
              </w:rPr>
              <w:t>79.82</w:t>
            </w:r>
          </w:p>
        </w:tc>
        <w:tc>
          <w:tcPr>
            <w:tcW w:w="1833" w:type="dxa"/>
            <w:vAlign w:val="center"/>
          </w:tcPr>
          <w:p>
            <w:pPr>
              <w:pStyle w:val="51"/>
              <w:spacing w:before="31" w:after="31"/>
              <w:ind w:firstLine="0" w:firstLineChars="0"/>
              <w:rPr>
                <w:rFonts w:hint="default"/>
                <w:color w:val="auto"/>
                <w:highlight w:val="none"/>
                <w:lang w:val="en-US" w:eastAsia="zh-CN"/>
              </w:rPr>
            </w:pPr>
            <w:r>
              <w:rPr>
                <w:rFonts w:hint="eastAsia"/>
                <w:color w:val="auto"/>
                <w:highlight w:val="none"/>
                <w:lang w:val="en-US" w:eastAsia="zh-CN"/>
              </w:rPr>
              <w:t xml:space="preserve">305.51 </w:t>
            </w:r>
          </w:p>
        </w:tc>
        <w:tc>
          <w:tcPr>
            <w:tcW w:w="1767"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79.82</w:t>
            </w:r>
          </w:p>
        </w:tc>
        <w:tc>
          <w:tcPr>
            <w:tcW w:w="1600" w:type="dxa"/>
            <w:vAlign w:val="center"/>
          </w:tcPr>
          <w:p>
            <w:pPr>
              <w:pStyle w:val="51"/>
              <w:spacing w:before="31" w:after="31"/>
              <w:ind w:firstLine="0" w:firstLineChars="0"/>
              <w:rPr>
                <w:rFonts w:hint="default"/>
                <w:color w:val="auto"/>
                <w:highlight w:val="none"/>
                <w:lang w:val="en-US" w:eastAsia="zh-CN"/>
              </w:rPr>
            </w:pPr>
            <w:r>
              <w:rPr>
                <w:rFonts w:hint="eastAsia"/>
                <w:color w:val="auto"/>
                <w:highlight w:val="none"/>
                <w:lang w:val="en-US" w:eastAsia="zh-CN"/>
              </w:rPr>
              <w:t xml:space="preserve">138.79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3</w:t>
            </w:r>
          </w:p>
        </w:tc>
        <w:tc>
          <w:tcPr>
            <w:tcW w:w="1139"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第二汇水分区</w:t>
            </w:r>
          </w:p>
        </w:tc>
        <w:tc>
          <w:tcPr>
            <w:tcW w:w="1432"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下沉绿地、</w:t>
            </w:r>
          </w:p>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雨水调蓄池</w:t>
            </w:r>
          </w:p>
        </w:tc>
        <w:tc>
          <w:tcPr>
            <w:tcW w:w="1688" w:type="dxa"/>
            <w:vAlign w:val="center"/>
          </w:tcPr>
          <w:p>
            <w:pPr>
              <w:pStyle w:val="51"/>
              <w:spacing w:before="31" w:after="31"/>
              <w:ind w:firstLine="0" w:firstLineChars="0"/>
              <w:rPr>
                <w:rFonts w:hint="default"/>
                <w:color w:val="auto"/>
                <w:highlight w:val="none"/>
                <w:lang w:val="en-US" w:eastAsia="zh-CN"/>
              </w:rPr>
            </w:pPr>
            <w:r>
              <w:rPr>
                <w:rFonts w:hint="eastAsia"/>
                <w:color w:val="auto"/>
                <w:highlight w:val="none"/>
                <w:lang w:val="en-US" w:eastAsia="zh-CN"/>
              </w:rPr>
              <w:t>528.53</w:t>
            </w:r>
          </w:p>
        </w:tc>
        <w:tc>
          <w:tcPr>
            <w:tcW w:w="1833" w:type="dxa"/>
            <w:vAlign w:val="center"/>
          </w:tcPr>
          <w:p>
            <w:pPr>
              <w:pStyle w:val="51"/>
              <w:spacing w:before="31" w:after="31"/>
              <w:ind w:firstLine="0" w:firstLineChars="0"/>
              <w:rPr>
                <w:rFonts w:hint="default"/>
                <w:color w:val="auto"/>
                <w:highlight w:val="none"/>
                <w:lang w:val="en-US" w:eastAsia="zh-CN"/>
              </w:rPr>
            </w:pPr>
            <w:r>
              <w:rPr>
                <w:rFonts w:hint="eastAsia"/>
                <w:color w:val="auto"/>
                <w:highlight w:val="none"/>
                <w:lang w:val="en-US" w:eastAsia="zh-CN"/>
              </w:rPr>
              <w:t xml:space="preserve">391.63 </w:t>
            </w:r>
          </w:p>
        </w:tc>
        <w:tc>
          <w:tcPr>
            <w:tcW w:w="1767"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 xml:space="preserve">391.63 </w:t>
            </w:r>
          </w:p>
        </w:tc>
        <w:tc>
          <w:tcPr>
            <w:tcW w:w="1600" w:type="dxa"/>
            <w:vAlign w:val="center"/>
          </w:tcPr>
          <w:p>
            <w:pPr>
              <w:pStyle w:val="51"/>
              <w:spacing w:before="31" w:after="31"/>
              <w:ind w:firstLine="0" w:firstLineChars="0"/>
              <w:rPr>
                <w:rFonts w:hint="eastAsia"/>
                <w:color w:val="auto"/>
                <w:highlight w:val="none"/>
                <w:lang w:val="en-US" w:eastAsia="zh-CN"/>
              </w:rPr>
            </w:pPr>
            <w:r>
              <w:rPr>
                <w:rFonts w:hint="eastAsia"/>
                <w:color w:val="auto"/>
                <w:highlight w:val="none"/>
                <w:lang w:val="en-US" w:eastAsia="zh-CN"/>
              </w:rPr>
              <w:t xml:space="preserve">198.22 </w:t>
            </w:r>
          </w:p>
        </w:tc>
      </w:tr>
    </w:tbl>
    <w:p>
      <w:pPr>
        <w:spacing w:before="156" w:after="156" w:line="360" w:lineRule="auto"/>
        <w:ind w:firstLine="480"/>
        <w:rPr>
          <w:rFonts w:hint="default" w:hAnsi="宋体" w:cs="宋体"/>
          <w:color w:val="auto"/>
          <w:highlight w:val="none"/>
          <w:lang w:val="en-US"/>
        </w:rPr>
      </w:pPr>
      <w:r>
        <w:rPr>
          <w:rFonts w:hint="eastAsia" w:hAnsi="宋体" w:cs="宋体"/>
          <w:color w:val="auto"/>
          <w:highlight w:val="none"/>
        </w:rPr>
        <w:t>本项目各汇水分区的实际调蓄容积均满足场地需调蓄容积。经汇总统计，本项目实际雨水总调蓄容积达到</w:t>
      </w:r>
      <w:r>
        <w:rPr>
          <w:rFonts w:hint="eastAsia" w:hAnsi="宋体" w:cs="宋体"/>
          <w:color w:val="auto"/>
          <w:highlight w:val="none"/>
          <w:lang w:val="en-US" w:eastAsia="zh-CN"/>
        </w:rPr>
        <w:t>471.45</w:t>
      </w:r>
      <w:r>
        <w:rPr>
          <w:rFonts w:hint="eastAsia" w:hAnsi="宋体" w:cs="宋体"/>
          <w:color w:val="auto"/>
          <w:highlight w:val="none"/>
        </w:rPr>
        <w:t>m³</w:t>
      </w:r>
      <w:r>
        <w:rPr>
          <w:rFonts w:hint="eastAsia" w:hAnsi="宋体" w:cs="宋体"/>
          <w:color w:val="auto"/>
          <w:highlight w:val="none"/>
          <w:lang w:eastAsia="zh-CN"/>
        </w:rPr>
        <w:t>（</w:t>
      </w:r>
      <w:r>
        <w:rPr>
          <w:rFonts w:hint="eastAsia" w:hAnsi="宋体" w:cs="宋体"/>
          <w:color w:val="auto"/>
          <w:highlight w:val="none"/>
        </w:rPr>
        <w:t>其中第一汇水分区实际可调蓄雨水容积</w:t>
      </w:r>
      <w:r>
        <w:rPr>
          <w:rFonts w:hint="eastAsia" w:hAnsi="宋体" w:cs="宋体"/>
          <w:color w:val="auto"/>
          <w:highlight w:val="none"/>
          <w:lang w:val="en-US" w:eastAsia="zh-CN"/>
        </w:rPr>
        <w:t>79.82</w:t>
      </w:r>
      <w:r>
        <w:rPr>
          <w:rFonts w:hint="eastAsia" w:hAnsi="宋体" w:cs="宋体"/>
          <w:color w:val="auto"/>
          <w:highlight w:val="none"/>
        </w:rPr>
        <w:t>m³，第二汇水分区实际可调蓄雨水容积</w:t>
      </w:r>
      <w:r>
        <w:rPr>
          <w:rFonts w:hint="eastAsia" w:hAnsi="宋体" w:cs="宋体"/>
          <w:color w:val="auto"/>
          <w:highlight w:val="none"/>
          <w:lang w:val="en-US" w:eastAsia="zh-CN"/>
        </w:rPr>
        <w:t>391.63</w:t>
      </w:r>
      <w:r>
        <w:rPr>
          <w:rFonts w:hint="eastAsia" w:hAnsi="宋体" w:cs="宋体"/>
          <w:color w:val="auto"/>
          <w:highlight w:val="none"/>
        </w:rPr>
        <w:t>m³</w:t>
      </w:r>
      <w:r>
        <w:rPr>
          <w:rFonts w:hint="eastAsia" w:hAnsi="宋体" w:cs="宋体"/>
          <w:color w:val="auto"/>
          <w:highlight w:val="none"/>
          <w:lang w:eastAsia="zh-CN"/>
        </w:rPr>
        <w:t>），</w:t>
      </w:r>
      <w:r>
        <w:rPr>
          <w:rFonts w:hint="eastAsia" w:hAnsi="宋体" w:cs="宋体"/>
          <w:color w:val="auto"/>
          <w:highlight w:val="none"/>
          <w:lang w:val="en-US" w:eastAsia="zh-CN"/>
        </w:rPr>
        <w:t>大于场地设计调蓄容积328.98m³，满足设计要求。</w:t>
      </w:r>
    </w:p>
    <w:p>
      <w:pPr>
        <w:spacing w:before="156" w:after="156" w:line="360" w:lineRule="auto"/>
        <w:ind w:firstLine="482"/>
        <w:jc w:val="center"/>
        <w:rPr>
          <w:rFonts w:hint="eastAsia" w:hAnsi="宋体" w:cs="宋体"/>
          <w:b/>
          <w:bCs/>
          <w:color w:val="auto"/>
          <w:highlight w:val="none"/>
        </w:rPr>
        <w:sectPr>
          <w:pgSz w:w="11850" w:h="16783"/>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3"/>
        <w:spacing w:before="156" w:after="156"/>
        <w:rPr>
          <w:color w:val="auto"/>
          <w:highlight w:val="none"/>
        </w:rPr>
      </w:pPr>
      <w:bookmarkStart w:id="53" w:name="_Toc16989"/>
      <w:bookmarkStart w:id="54" w:name="_Toc10449"/>
      <w:r>
        <w:rPr>
          <w:rFonts w:hint="eastAsia"/>
          <w:color w:val="auto"/>
          <w:highlight w:val="none"/>
        </w:rPr>
        <w:t>4.4、年径流总量控制率校核</w:t>
      </w:r>
      <w:bookmarkEnd w:id="53"/>
      <w:bookmarkEnd w:id="54"/>
    </w:p>
    <w:p>
      <w:pPr>
        <w:spacing w:before="156" w:after="156" w:line="360" w:lineRule="auto"/>
        <w:ind w:firstLine="480"/>
        <w:rPr>
          <w:rFonts w:hAnsi="宋体" w:cs="宋体"/>
          <w:color w:val="auto"/>
          <w:highlight w:val="none"/>
        </w:rPr>
      </w:pPr>
      <w:r>
        <w:rPr>
          <w:rFonts w:hint="eastAsia" w:hAnsi="宋体" w:cs="宋体"/>
          <w:color w:val="auto"/>
          <w:highlight w:val="none"/>
        </w:rPr>
        <w:t>根据雨水径流量设计调蓄容积计算公式：</w:t>
      </w:r>
      <w:r>
        <w:rPr>
          <w:rFonts w:hAnsi="宋体"/>
          <w:color w:val="auto"/>
          <w:position w:val="-10"/>
          <w:highlight w:val="none"/>
        </w:rPr>
        <w:object>
          <v:shape id="_x0000_i1028" o:spt="75" type="#_x0000_t75" style="height:15.75pt;width:54pt;" o:ole="t" filled="f" o:preferrelative="t" stroked="f" coordsize="21600,21600">
            <v:path/>
            <v:fill on="f" focussize="0,0"/>
            <v:stroke on="f" joinstyle="miter"/>
            <v:imagedata r:id="rId31" o:title=""/>
            <o:lock v:ext="edit" aspectratio="t"/>
            <w10:wrap type="none"/>
            <w10:anchorlock/>
          </v:shape>
          <o:OLEObject Type="Embed" ProgID="Equation.3" ShapeID="_x0000_i1028" DrawAspect="Content" ObjectID="_1468075728" r:id="rId32">
            <o:LockedField>false</o:LockedField>
          </o:OLEObject>
        </w:object>
      </w:r>
      <w:r>
        <w:rPr>
          <w:rFonts w:hint="eastAsia" w:hAnsi="宋体" w:cs="宋体"/>
          <w:color w:val="auto"/>
          <w:highlight w:val="none"/>
        </w:rPr>
        <w:t>，按本项目各类设施的调蓄水量可反推本项目理论径流控制率。</w:t>
      </w:r>
    </w:p>
    <w:p>
      <w:pPr>
        <w:spacing w:before="156" w:after="156" w:line="360" w:lineRule="auto"/>
        <w:ind w:firstLine="480"/>
        <w:rPr>
          <w:rFonts w:hAnsi="宋体" w:cs="宋体"/>
          <w:color w:val="auto"/>
          <w:highlight w:val="none"/>
        </w:rPr>
      </w:pPr>
      <w:r>
        <w:rPr>
          <w:rFonts w:hint="eastAsia" w:hAnsi="宋体" w:cs="宋体"/>
          <w:color w:val="auto"/>
          <w:highlight w:val="none"/>
        </w:rPr>
        <w:t>实际可控制设计降雨量</w:t>
      </w:r>
      <w:r>
        <w:rPr>
          <w:rFonts w:hAnsi="宋体"/>
          <w:color w:val="auto"/>
          <w:position w:val="-10"/>
          <w:highlight w:val="none"/>
        </w:rPr>
        <w:object>
          <v:shape id="_x0000_i1029" o:spt="75" type="#_x0000_t75" style="height:15.75pt;width:69.75pt;" o:ole="t" filled="f" o:preferrelative="t" stroked="f" coordsize="21600,21600">
            <v:path/>
            <v:fill on="f" focussize="0,0"/>
            <v:stroke on="f" joinstyle="miter"/>
            <v:imagedata r:id="rId34" o:title=""/>
            <o:lock v:ext="edit" aspectratio="t"/>
            <w10:wrap type="none"/>
            <w10:anchorlock/>
          </v:shape>
          <o:OLEObject Type="Embed" ProgID="Equation.3" ShapeID="_x0000_i1029" DrawAspect="Content" ObjectID="_1468075729" r:id="rId33">
            <o:LockedField>false</o:LockedField>
          </o:OLEObject>
        </w:object>
      </w:r>
    </w:p>
    <w:p>
      <w:pPr>
        <w:spacing w:before="156" w:after="156" w:line="360" w:lineRule="auto"/>
        <w:ind w:firstLine="480"/>
        <w:rPr>
          <w:rFonts w:hAnsi="宋体" w:cs="宋体"/>
          <w:color w:val="auto"/>
          <w:highlight w:val="none"/>
        </w:rPr>
      </w:pPr>
      <w:r>
        <w:rPr>
          <w:rFonts w:hint="eastAsia" w:hAnsi="宋体" w:cs="宋体"/>
          <w:color w:val="auto"/>
          <w:highlight w:val="none"/>
        </w:rPr>
        <w:t>式中：V--设计调蓄容积，m³；</w:t>
      </w:r>
    </w:p>
    <w:p>
      <w:pPr>
        <w:spacing w:before="156" w:after="156" w:line="360" w:lineRule="auto"/>
        <w:ind w:left="480" w:leftChars="200" w:firstLine="480"/>
        <w:rPr>
          <w:rFonts w:hAnsi="宋体" w:cs="宋体"/>
          <w:color w:val="auto"/>
          <w:highlight w:val="none"/>
        </w:rPr>
      </w:pPr>
      <w:r>
        <w:rPr>
          <w:color w:val="auto"/>
          <w:szCs w:val="22"/>
          <w:highlight w:val="none"/>
        </w:rPr>
        <w:drawing>
          <wp:inline distT="0" distB="0" distL="114300" distR="114300">
            <wp:extent cx="133350" cy="161925"/>
            <wp:effectExtent l="0" t="0" r="0" b="762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24"/>
                    <a:stretch>
                      <a:fillRect/>
                    </a:stretch>
                  </pic:blipFill>
                  <pic:spPr>
                    <a:xfrm>
                      <a:off x="0" y="0"/>
                      <a:ext cx="133350" cy="161925"/>
                    </a:xfrm>
                    <a:prstGeom prst="rect">
                      <a:avLst/>
                    </a:prstGeom>
                    <a:noFill/>
                    <a:ln w="9525">
                      <a:noFill/>
                    </a:ln>
                  </pic:spPr>
                </pic:pic>
              </a:graphicData>
            </a:graphic>
          </wp:inline>
        </w:drawing>
      </w:r>
      <w:r>
        <w:rPr>
          <w:rFonts w:hint="eastAsia" w:hAnsi="宋体" w:cs="宋体"/>
          <w:color w:val="auto"/>
          <w:highlight w:val="none"/>
        </w:rPr>
        <w:t>--综合雨量径流系数；</w:t>
      </w:r>
    </w:p>
    <w:p>
      <w:pPr>
        <w:spacing w:before="156" w:after="156" w:line="360" w:lineRule="auto"/>
        <w:ind w:firstLine="480"/>
        <w:rPr>
          <w:rFonts w:hAnsi="宋体" w:cs="宋体"/>
          <w:color w:val="auto"/>
          <w:highlight w:val="none"/>
        </w:rPr>
      </w:pPr>
      <w:r>
        <w:rPr>
          <w:rFonts w:hint="eastAsia" w:hAnsi="宋体" w:cs="宋体"/>
          <w:color w:val="auto"/>
          <w:highlight w:val="none"/>
        </w:rPr>
        <w:t xml:space="preserve">      h--设计降雨量，mm；</w:t>
      </w:r>
    </w:p>
    <w:p>
      <w:pPr>
        <w:spacing w:before="156" w:after="156" w:line="360" w:lineRule="auto"/>
        <w:ind w:firstLine="480"/>
        <w:rPr>
          <w:rFonts w:hAnsi="宋体" w:cs="宋体"/>
          <w:color w:val="auto"/>
          <w:highlight w:val="none"/>
        </w:rPr>
      </w:pPr>
      <w:r>
        <w:rPr>
          <w:rFonts w:hint="eastAsia" w:hAnsi="宋体" w:cs="宋体"/>
          <w:color w:val="auto"/>
          <w:highlight w:val="none"/>
        </w:rPr>
        <w:t xml:space="preserve">      F--汇水面积，ha；</w:t>
      </w:r>
    </w:p>
    <w:p>
      <w:pPr>
        <w:spacing w:before="156" w:after="156" w:line="360" w:lineRule="auto"/>
        <w:ind w:firstLine="480"/>
        <w:rPr>
          <w:rFonts w:hAnsi="宋体" w:cs="宋体"/>
          <w:color w:val="auto"/>
          <w:highlight w:val="none"/>
        </w:rPr>
      </w:pPr>
      <w:r>
        <w:rPr>
          <w:rFonts w:hint="eastAsia" w:hAnsi="宋体" w:cs="宋体"/>
          <w:color w:val="auto"/>
          <w:highlight w:val="none"/>
        </w:rPr>
        <w:t>计算出实际可在控制设计降雨量后，可查询《广州市海绵城市规划设计导则》相关表格，根据内插法，可计算出对应的场地理论年径流总量控制率。</w:t>
      </w:r>
    </w:p>
    <w:p>
      <w:pPr>
        <w:autoSpaceDE/>
        <w:autoSpaceDN/>
        <w:adjustRightInd/>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表4-</w:t>
      </w:r>
      <w:r>
        <w:rPr>
          <w:rFonts w:hint="eastAsia" w:hAnsi="宋体" w:cs="宋体"/>
          <w:b/>
          <w:bCs/>
          <w:color w:val="auto"/>
          <w:highlight w:val="none"/>
          <w:lang w:val="en-US" w:eastAsia="zh-CN"/>
        </w:rPr>
        <w:t>11</w:t>
      </w:r>
      <w:r>
        <w:rPr>
          <w:rFonts w:hint="eastAsia" w:hAnsi="宋体" w:cs="宋体"/>
          <w:b/>
          <w:bCs/>
          <w:color w:val="auto"/>
          <w:highlight w:val="none"/>
        </w:rPr>
        <w:t xml:space="preserve">  年径流总量控制率对应设计降雨量</w:t>
      </w:r>
    </w:p>
    <w:tbl>
      <w:tblPr>
        <w:tblStyle w:val="154"/>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850"/>
        <w:gridCol w:w="850"/>
        <w:gridCol w:w="850"/>
        <w:gridCol w:w="850"/>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366"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年径流总量控制率</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50%</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60%</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65%</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70%</w:t>
            </w:r>
          </w:p>
        </w:tc>
        <w:tc>
          <w:tcPr>
            <w:tcW w:w="850" w:type="dxa"/>
            <w:vAlign w:val="center"/>
          </w:tcPr>
          <w:p>
            <w:pPr>
              <w:snapToGrid w:val="0"/>
              <w:spacing w:beforeLines="0" w:afterLines="0" w:line="240" w:lineRule="auto"/>
              <w:ind w:firstLine="0" w:firstLineChars="0"/>
              <w:jc w:val="center"/>
              <w:rPr>
                <w:rFonts w:hAnsi="宋体"/>
                <w:b/>
                <w:bCs/>
                <w:color w:val="auto"/>
                <w:highlight w:val="none"/>
              </w:rPr>
            </w:pPr>
            <w:r>
              <w:rPr>
                <w:rFonts w:hint="eastAsia" w:hAnsi="宋体"/>
                <w:b/>
                <w:bCs/>
                <w:color w:val="auto"/>
                <w:highlight w:val="none"/>
              </w:rPr>
              <w:t>75%</w:t>
            </w:r>
          </w:p>
        </w:tc>
        <w:tc>
          <w:tcPr>
            <w:tcW w:w="850" w:type="dxa"/>
            <w:vAlign w:val="center"/>
          </w:tcPr>
          <w:p>
            <w:pPr>
              <w:snapToGrid w:val="0"/>
              <w:spacing w:beforeLines="0" w:afterLines="0" w:line="240" w:lineRule="auto"/>
              <w:ind w:firstLine="0" w:firstLineChars="0"/>
              <w:jc w:val="center"/>
              <w:rPr>
                <w:rFonts w:hAnsi="宋体"/>
                <w:b/>
                <w:bCs/>
                <w:color w:val="auto"/>
                <w:highlight w:val="none"/>
              </w:rPr>
            </w:pPr>
            <w:r>
              <w:rPr>
                <w:rFonts w:hint="eastAsia" w:hAnsi="宋体"/>
                <w:b/>
                <w:bCs/>
                <w:color w:val="auto"/>
                <w:highlight w:val="none"/>
              </w:rPr>
              <w:t>80%</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366"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设计降雨量（mm）</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14.3</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18.9</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22.1</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25.8</w:t>
            </w:r>
          </w:p>
        </w:tc>
        <w:tc>
          <w:tcPr>
            <w:tcW w:w="850" w:type="dxa"/>
            <w:vAlign w:val="center"/>
          </w:tcPr>
          <w:p>
            <w:pPr>
              <w:snapToGrid w:val="0"/>
              <w:spacing w:beforeLines="0" w:afterLines="0" w:line="240" w:lineRule="auto"/>
              <w:ind w:firstLine="0" w:firstLineChars="0"/>
              <w:jc w:val="center"/>
              <w:rPr>
                <w:rFonts w:hAnsi="宋体"/>
                <w:b/>
                <w:bCs/>
                <w:color w:val="auto"/>
                <w:highlight w:val="none"/>
              </w:rPr>
            </w:pPr>
            <w:r>
              <w:rPr>
                <w:rFonts w:hint="eastAsia" w:hAnsi="宋体"/>
                <w:b/>
                <w:bCs/>
                <w:color w:val="auto"/>
                <w:highlight w:val="none"/>
              </w:rPr>
              <w:t>30.3</w:t>
            </w:r>
          </w:p>
        </w:tc>
        <w:tc>
          <w:tcPr>
            <w:tcW w:w="850" w:type="dxa"/>
            <w:vAlign w:val="center"/>
          </w:tcPr>
          <w:p>
            <w:pPr>
              <w:snapToGrid w:val="0"/>
              <w:spacing w:beforeLines="0" w:afterLines="0" w:line="240" w:lineRule="auto"/>
              <w:ind w:firstLine="0" w:firstLineChars="0"/>
              <w:jc w:val="center"/>
              <w:rPr>
                <w:rFonts w:hAnsi="宋体"/>
                <w:b/>
                <w:bCs/>
                <w:color w:val="auto"/>
                <w:highlight w:val="none"/>
              </w:rPr>
            </w:pPr>
            <w:r>
              <w:rPr>
                <w:rFonts w:hint="eastAsia" w:hAnsi="宋体"/>
                <w:b/>
                <w:bCs/>
                <w:color w:val="auto"/>
                <w:highlight w:val="none"/>
              </w:rPr>
              <w:t>36.0</w:t>
            </w:r>
          </w:p>
        </w:tc>
        <w:tc>
          <w:tcPr>
            <w:tcW w:w="850" w:type="dxa"/>
            <w:vAlign w:val="center"/>
          </w:tcPr>
          <w:p>
            <w:pPr>
              <w:snapToGrid w:val="0"/>
              <w:spacing w:beforeLines="0" w:afterLines="0" w:line="240" w:lineRule="auto"/>
              <w:ind w:firstLine="0" w:firstLineChars="0"/>
              <w:jc w:val="center"/>
              <w:rPr>
                <w:rFonts w:hAnsi="宋体"/>
                <w:color w:val="auto"/>
                <w:highlight w:val="none"/>
              </w:rPr>
            </w:pPr>
            <w:r>
              <w:rPr>
                <w:rFonts w:hint="eastAsia" w:hAnsi="宋体"/>
                <w:color w:val="auto"/>
                <w:highlight w:val="none"/>
              </w:rPr>
              <w:t>43.7</w:t>
            </w:r>
          </w:p>
        </w:tc>
      </w:tr>
    </w:tbl>
    <w:p>
      <w:pPr>
        <w:spacing w:before="156" w:after="156" w:line="360" w:lineRule="auto"/>
        <w:ind w:firstLine="480"/>
        <w:rPr>
          <w:rFonts w:hAnsi="宋体" w:cs="宋体"/>
          <w:color w:val="auto"/>
          <w:highlight w:val="none"/>
        </w:rPr>
      </w:pPr>
      <w:r>
        <w:rPr>
          <w:rFonts w:hint="eastAsia" w:hAnsi="宋体" w:cs="宋体"/>
          <w:color w:val="auto"/>
          <w:highlight w:val="none"/>
        </w:rPr>
        <w:t>注：数据摘自《广州市海绵城市专项规划》。</w:t>
      </w:r>
    </w:p>
    <w:p>
      <w:pPr>
        <w:spacing w:before="156" w:after="156" w:line="360" w:lineRule="auto"/>
        <w:ind w:firstLine="480"/>
        <w:rPr>
          <w:rFonts w:hAnsi="宋体" w:cs="宋体"/>
          <w:color w:val="auto"/>
          <w:highlight w:val="none"/>
        </w:rPr>
      </w:pPr>
      <w:r>
        <w:rPr>
          <w:rFonts w:hint="eastAsia" w:hAnsi="宋体" w:cs="宋体"/>
          <w:color w:val="auto"/>
          <w:highlight w:val="none"/>
        </w:rPr>
        <w:t>本项目实际年径流总量控制率计算入下表所示：</w:t>
      </w:r>
    </w:p>
    <w:p>
      <w:pPr>
        <w:autoSpaceDE/>
        <w:autoSpaceDN/>
        <w:adjustRightInd/>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表</w:t>
      </w:r>
      <w:r>
        <w:rPr>
          <w:rFonts w:hint="eastAsia" w:hAnsi="宋体" w:cs="宋体"/>
          <w:b/>
          <w:bCs/>
          <w:color w:val="auto"/>
          <w:highlight w:val="none"/>
          <w:lang w:val="en-US" w:eastAsia="zh-CN"/>
        </w:rPr>
        <w:t>4-12</w:t>
      </w:r>
      <w:r>
        <w:rPr>
          <w:rFonts w:hint="eastAsia" w:hAnsi="宋体" w:cs="宋体"/>
          <w:b/>
          <w:bCs/>
          <w:color w:val="auto"/>
          <w:highlight w:val="none"/>
        </w:rPr>
        <w:t xml:space="preserve">  各汇水分区实际年径流总量控制率计算</w:t>
      </w:r>
    </w:p>
    <w:tbl>
      <w:tblPr>
        <w:tblStyle w:val="154"/>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769"/>
        <w:gridCol w:w="1541"/>
        <w:gridCol w:w="1350"/>
        <w:gridCol w:w="1107"/>
        <w:gridCol w:w="1462"/>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14"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69"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汇水分区</w:t>
            </w:r>
          </w:p>
        </w:tc>
        <w:tc>
          <w:tcPr>
            <w:tcW w:w="1541"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建设用地面积F（㎡）</w:t>
            </w:r>
          </w:p>
        </w:tc>
        <w:tc>
          <w:tcPr>
            <w:tcW w:w="1350"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实际有效调蓄容量（m³)</w:t>
            </w:r>
          </w:p>
        </w:tc>
        <w:tc>
          <w:tcPr>
            <w:tcW w:w="1107"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径流系数ψ</w:t>
            </w:r>
          </w:p>
        </w:tc>
        <w:tc>
          <w:tcPr>
            <w:tcW w:w="1462"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可控制设计降雨量（mm)</w:t>
            </w:r>
          </w:p>
        </w:tc>
        <w:tc>
          <w:tcPr>
            <w:tcW w:w="1674"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实际年径流</w:t>
            </w:r>
          </w:p>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总量控制率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14"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69"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总地块</w:t>
            </w:r>
          </w:p>
        </w:tc>
        <w:tc>
          <w:tcPr>
            <w:tcW w:w="1541" w:type="dxa"/>
            <w:vAlign w:val="center"/>
          </w:tcPr>
          <w:p>
            <w:pPr>
              <w:pStyle w:val="51"/>
              <w:spacing w:before="31" w:after="3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19621.20 </w:t>
            </w:r>
          </w:p>
        </w:tc>
        <w:tc>
          <w:tcPr>
            <w:tcW w:w="1350" w:type="dxa"/>
            <w:vAlign w:val="center"/>
          </w:tcPr>
          <w:p>
            <w:pPr>
              <w:pStyle w:val="51"/>
              <w:spacing w:before="31" w:after="31"/>
              <w:rPr>
                <w:rFonts w:hint="default"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471.45</w:t>
            </w:r>
          </w:p>
        </w:tc>
        <w:tc>
          <w:tcPr>
            <w:tcW w:w="1107"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0.516 </w:t>
            </w:r>
          </w:p>
        </w:tc>
        <w:tc>
          <w:tcPr>
            <w:tcW w:w="1462"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46.57</w:t>
            </w:r>
            <w:r>
              <w:rPr>
                <w:rFonts w:hint="eastAsia" w:ascii="宋体" w:hAnsi="宋体" w:eastAsia="宋体" w:cs="宋体"/>
                <w:color w:val="auto"/>
                <w:sz w:val="21"/>
                <w:szCs w:val="21"/>
                <w:highlight w:val="none"/>
                <w:lang w:val="en-US" w:eastAsia="zh-CN"/>
              </w:rPr>
              <w:t xml:space="preserve"> </w:t>
            </w:r>
          </w:p>
        </w:tc>
        <w:tc>
          <w:tcPr>
            <w:tcW w:w="1674" w:type="dxa"/>
            <w:vAlign w:val="center"/>
          </w:tcPr>
          <w:p>
            <w:pPr>
              <w:pStyle w:val="51"/>
              <w:spacing w:before="31" w:after="31"/>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85.91</w:t>
            </w:r>
            <w:r>
              <w:rPr>
                <w:rFonts w:hint="eastAsia" w:ascii="宋体" w:hAnsi="宋体" w:eastAsia="宋体" w:cs="宋体"/>
                <w:color w:val="auto"/>
                <w:sz w:val="21"/>
                <w:szCs w:val="21"/>
                <w:highlight w:val="none"/>
                <w:lang w:val="en-US" w:eastAsia="zh-CN"/>
              </w:rPr>
              <w:t>%</w:t>
            </w:r>
          </w:p>
        </w:tc>
      </w:tr>
    </w:tbl>
    <w:p>
      <w:pPr>
        <w:spacing w:before="156" w:after="156" w:line="360" w:lineRule="auto"/>
        <w:ind w:firstLine="480"/>
        <w:rPr>
          <w:rFonts w:hint="eastAsia" w:hAnsi="宋体" w:cs="宋体"/>
          <w:color w:val="auto"/>
          <w:highlight w:val="none"/>
        </w:rPr>
      </w:pPr>
      <w:r>
        <w:rPr>
          <w:rFonts w:hint="eastAsia" w:hAnsi="宋体" w:cs="宋体"/>
          <w:color w:val="auto"/>
          <w:highlight w:val="none"/>
        </w:rPr>
        <w:t>经核算，本项目总地块实际调蓄容积可达到</w:t>
      </w:r>
      <w:r>
        <w:rPr>
          <w:rFonts w:hint="eastAsia" w:hAnsi="宋体" w:cs="宋体"/>
          <w:color w:val="auto"/>
          <w:highlight w:val="none"/>
          <w:lang w:val="en-US" w:eastAsia="zh-CN"/>
        </w:rPr>
        <w:t>471.45</w:t>
      </w:r>
      <w:r>
        <w:rPr>
          <w:rFonts w:hint="eastAsia" w:hAnsi="宋体" w:cs="宋体"/>
          <w:color w:val="auto"/>
          <w:highlight w:val="none"/>
        </w:rPr>
        <w:t xml:space="preserve"> m³，实际可控制</w:t>
      </w:r>
      <w:r>
        <w:rPr>
          <w:rFonts w:hint="eastAsia" w:hAnsi="宋体" w:cs="宋体"/>
          <w:color w:val="auto"/>
          <w:highlight w:val="none"/>
          <w:lang w:val="en-US" w:eastAsia="zh-CN"/>
        </w:rPr>
        <w:t>46.57</w:t>
      </w:r>
      <w:r>
        <w:rPr>
          <w:rFonts w:hint="eastAsia" w:hAnsi="宋体" w:cs="宋体"/>
          <w:color w:val="auto"/>
          <w:highlight w:val="none"/>
        </w:rPr>
        <w:t>mm（24h）的设计降雨量，年径流总量控制率达到</w:t>
      </w:r>
      <w:r>
        <w:rPr>
          <w:rFonts w:hint="eastAsia" w:hAnsi="宋体" w:cs="宋体"/>
          <w:color w:val="auto"/>
          <w:highlight w:val="none"/>
          <w:lang w:val="en-US" w:eastAsia="zh-CN"/>
        </w:rPr>
        <w:t>85.91</w:t>
      </w:r>
      <w:r>
        <w:rPr>
          <w:rFonts w:hint="eastAsia" w:hAnsi="宋体" w:cs="宋体"/>
          <w:color w:val="auto"/>
          <w:highlight w:val="none"/>
        </w:rPr>
        <w:t>%，满足年径流总量控制率77%的要求。</w:t>
      </w:r>
    </w:p>
    <w:p>
      <w:pPr>
        <w:spacing w:before="156" w:after="156" w:line="360" w:lineRule="auto"/>
        <w:ind w:firstLine="480"/>
        <w:rPr>
          <w:rFonts w:hAnsi="宋体" w:cs="宋体"/>
          <w:color w:val="auto"/>
          <w:highlight w:val="none"/>
        </w:rPr>
      </w:pPr>
    </w:p>
    <w:p>
      <w:pPr>
        <w:pStyle w:val="3"/>
        <w:spacing w:before="156" w:after="156"/>
        <w:rPr>
          <w:color w:val="auto"/>
          <w:highlight w:val="none"/>
        </w:rPr>
      </w:pPr>
      <w:bookmarkStart w:id="55" w:name="_Toc7149"/>
      <w:bookmarkStart w:id="56" w:name="_Toc20989"/>
      <w:r>
        <w:rPr>
          <w:rFonts w:hint="eastAsia"/>
          <w:color w:val="auto"/>
          <w:highlight w:val="none"/>
        </w:rPr>
        <w:t>4.5、径流污染消减率核算</w:t>
      </w:r>
      <w:bookmarkEnd w:id="55"/>
      <w:bookmarkEnd w:id="56"/>
    </w:p>
    <w:p>
      <w:pPr>
        <w:spacing w:before="156" w:after="156" w:line="360" w:lineRule="auto"/>
        <w:ind w:firstLine="480"/>
        <w:rPr>
          <w:rFonts w:hAnsi="宋体" w:cs="宋体"/>
          <w:color w:val="auto"/>
          <w:highlight w:val="none"/>
        </w:rPr>
      </w:pPr>
      <w:r>
        <w:rPr>
          <w:rFonts w:hint="eastAsia" w:hAnsi="宋体" w:cs="宋体"/>
          <w:color w:val="auto"/>
          <w:highlight w:val="none"/>
        </w:rPr>
        <w:t>城市径流污染物中，SS（悬浮物）往往与其他污染物指标具有一定的相关性。因此，一般可采用SS作为径流污染物控制指标，低影响开发雨水系统的年SS总量去除率一般可达到40%-60%。，根据《海绵城市建设技术指南—低影响开发雨水系统构建》（试行）中表4-1，可查询各个措施的削减率，年SS（悬浮物）总量去除率可用下述方法进行计算：</w:t>
      </w:r>
    </w:p>
    <w:p>
      <w:pPr>
        <w:autoSpaceDE/>
        <w:autoSpaceDN/>
        <w:adjustRightInd/>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表4-</w:t>
      </w:r>
      <w:r>
        <w:rPr>
          <w:rFonts w:hint="eastAsia" w:hAnsi="宋体" w:cs="宋体"/>
          <w:b/>
          <w:bCs/>
          <w:color w:val="auto"/>
          <w:highlight w:val="none"/>
          <w:lang w:val="en-US" w:eastAsia="zh-CN"/>
        </w:rPr>
        <w:t>13</w:t>
      </w:r>
      <w:r>
        <w:rPr>
          <w:rFonts w:hint="eastAsia" w:hAnsi="宋体" w:cs="宋体"/>
          <w:b/>
          <w:bCs/>
          <w:color w:val="auto"/>
          <w:highlight w:val="none"/>
        </w:rPr>
        <w:t xml:space="preserve">  低影响开发设施的污染物去除率</w:t>
      </w:r>
    </w:p>
    <w:tbl>
      <w:tblPr>
        <w:tblStyle w:val="15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0"/>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单项设施</w:t>
            </w:r>
          </w:p>
        </w:tc>
        <w:tc>
          <w:tcPr>
            <w:tcW w:w="4954" w:type="dxa"/>
            <w:vAlign w:val="center"/>
          </w:tcPr>
          <w:p>
            <w:pPr>
              <w:pStyle w:val="51"/>
              <w:spacing w:before="31" w:after="31"/>
              <w:rPr>
                <w:color w:val="auto"/>
                <w:highlight w:val="none"/>
              </w:rPr>
            </w:pPr>
            <w:r>
              <w:rPr>
                <w:rFonts w:hint="eastAsia"/>
                <w:color w:val="auto"/>
                <w:highlight w:val="none"/>
              </w:rPr>
              <w:t>污染物去除率（以SS计，%）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透水砖铺装</w:t>
            </w:r>
          </w:p>
        </w:tc>
        <w:tc>
          <w:tcPr>
            <w:tcW w:w="4954" w:type="dxa"/>
            <w:vAlign w:val="center"/>
          </w:tcPr>
          <w:p>
            <w:pPr>
              <w:pStyle w:val="51"/>
              <w:spacing w:before="31" w:after="31"/>
              <w:rPr>
                <w:color w:val="auto"/>
                <w:highlight w:val="none"/>
              </w:rPr>
            </w:pPr>
            <w:r>
              <w:rPr>
                <w:rFonts w:hint="eastAsia"/>
                <w:color w:val="auto"/>
                <w:highlight w:val="none"/>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透水水泥混凝土</w:t>
            </w:r>
          </w:p>
        </w:tc>
        <w:tc>
          <w:tcPr>
            <w:tcW w:w="4954" w:type="dxa"/>
            <w:vAlign w:val="center"/>
          </w:tcPr>
          <w:p>
            <w:pPr>
              <w:pStyle w:val="51"/>
              <w:spacing w:before="31" w:after="31"/>
              <w:rPr>
                <w:color w:val="auto"/>
                <w:highlight w:val="none"/>
              </w:rPr>
            </w:pPr>
            <w:r>
              <w:rPr>
                <w:rFonts w:hint="eastAsia"/>
                <w:color w:val="auto"/>
                <w:highlight w:val="none"/>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透水沥青混凝土</w:t>
            </w:r>
          </w:p>
        </w:tc>
        <w:tc>
          <w:tcPr>
            <w:tcW w:w="4954" w:type="dxa"/>
            <w:vAlign w:val="center"/>
          </w:tcPr>
          <w:p>
            <w:pPr>
              <w:pStyle w:val="51"/>
              <w:spacing w:before="31" w:after="31"/>
              <w:rPr>
                <w:color w:val="auto"/>
                <w:highlight w:val="none"/>
              </w:rPr>
            </w:pPr>
            <w:r>
              <w:rPr>
                <w:rFonts w:hint="eastAsia"/>
                <w:color w:val="auto"/>
                <w:highlight w:val="none"/>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绿色屋顶</w:t>
            </w:r>
          </w:p>
        </w:tc>
        <w:tc>
          <w:tcPr>
            <w:tcW w:w="4954" w:type="dxa"/>
            <w:vAlign w:val="center"/>
          </w:tcPr>
          <w:p>
            <w:pPr>
              <w:pStyle w:val="51"/>
              <w:spacing w:before="31" w:after="31"/>
              <w:rPr>
                <w:color w:val="auto"/>
                <w:highlight w:val="none"/>
              </w:rPr>
            </w:pPr>
            <w:r>
              <w:rPr>
                <w:rFonts w:hint="eastAsia"/>
                <w:color w:val="auto"/>
                <w:highlight w:val="none"/>
              </w:rPr>
              <w:t>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复杂型生物滞留设施</w:t>
            </w:r>
          </w:p>
        </w:tc>
        <w:tc>
          <w:tcPr>
            <w:tcW w:w="4954" w:type="dxa"/>
            <w:vAlign w:val="center"/>
          </w:tcPr>
          <w:p>
            <w:pPr>
              <w:pStyle w:val="51"/>
              <w:spacing w:before="31" w:after="31"/>
              <w:rPr>
                <w:color w:val="auto"/>
                <w:highlight w:val="none"/>
              </w:rPr>
            </w:pPr>
            <w:r>
              <w:rPr>
                <w:rFonts w:hint="eastAsia"/>
                <w:color w:val="auto"/>
                <w:highlight w:val="none"/>
              </w:rPr>
              <w:t>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渗透塘</w:t>
            </w:r>
          </w:p>
        </w:tc>
        <w:tc>
          <w:tcPr>
            <w:tcW w:w="4954" w:type="dxa"/>
            <w:vAlign w:val="center"/>
          </w:tcPr>
          <w:p>
            <w:pPr>
              <w:pStyle w:val="51"/>
              <w:spacing w:before="31" w:after="31"/>
              <w:rPr>
                <w:color w:val="auto"/>
                <w:highlight w:val="none"/>
              </w:rPr>
            </w:pPr>
            <w:r>
              <w:rPr>
                <w:rFonts w:hint="eastAsia"/>
                <w:color w:val="auto"/>
                <w:highlight w:val="none"/>
              </w:rPr>
              <w:t>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湿塘</w:t>
            </w:r>
          </w:p>
        </w:tc>
        <w:tc>
          <w:tcPr>
            <w:tcW w:w="4954" w:type="dxa"/>
            <w:vAlign w:val="center"/>
          </w:tcPr>
          <w:p>
            <w:pPr>
              <w:pStyle w:val="51"/>
              <w:spacing w:before="31" w:after="31"/>
              <w:rPr>
                <w:color w:val="auto"/>
                <w:highlight w:val="none"/>
              </w:rPr>
            </w:pPr>
            <w:r>
              <w:rPr>
                <w:rFonts w:hint="eastAsia"/>
                <w:color w:val="auto"/>
                <w:highlight w:val="none"/>
              </w:rPr>
              <w:t>50~80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雨水湿地</w:t>
            </w:r>
          </w:p>
        </w:tc>
        <w:tc>
          <w:tcPr>
            <w:tcW w:w="4954" w:type="dxa"/>
            <w:vAlign w:val="center"/>
          </w:tcPr>
          <w:p>
            <w:pPr>
              <w:pStyle w:val="51"/>
              <w:spacing w:before="31" w:after="31"/>
              <w:rPr>
                <w:color w:val="auto"/>
                <w:highlight w:val="none"/>
              </w:rPr>
            </w:pPr>
            <w:r>
              <w:rPr>
                <w:rFonts w:hint="eastAsia"/>
                <w:color w:val="auto"/>
                <w:highlight w:val="none"/>
              </w:rPr>
              <w:t>50~80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蓄水池</w:t>
            </w:r>
          </w:p>
        </w:tc>
        <w:tc>
          <w:tcPr>
            <w:tcW w:w="4954" w:type="dxa"/>
            <w:vAlign w:val="center"/>
          </w:tcPr>
          <w:p>
            <w:pPr>
              <w:pStyle w:val="51"/>
              <w:spacing w:before="31" w:after="31"/>
              <w:rPr>
                <w:color w:val="auto"/>
                <w:highlight w:val="none"/>
              </w:rPr>
            </w:pPr>
            <w:r>
              <w:rPr>
                <w:rFonts w:hint="eastAsia"/>
                <w:color w:val="auto"/>
                <w:highlight w:val="none"/>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雨水罐</w:t>
            </w:r>
          </w:p>
        </w:tc>
        <w:tc>
          <w:tcPr>
            <w:tcW w:w="4954" w:type="dxa"/>
            <w:vAlign w:val="center"/>
          </w:tcPr>
          <w:p>
            <w:pPr>
              <w:pStyle w:val="51"/>
              <w:spacing w:before="31" w:after="31"/>
              <w:rPr>
                <w:color w:val="auto"/>
                <w:highlight w:val="none"/>
              </w:rPr>
            </w:pPr>
            <w:r>
              <w:rPr>
                <w:rFonts w:hint="eastAsia"/>
                <w:color w:val="auto"/>
                <w:highlight w:val="none"/>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转输型植草沟</w:t>
            </w:r>
          </w:p>
        </w:tc>
        <w:tc>
          <w:tcPr>
            <w:tcW w:w="4954" w:type="dxa"/>
            <w:vAlign w:val="center"/>
          </w:tcPr>
          <w:p>
            <w:pPr>
              <w:pStyle w:val="51"/>
              <w:spacing w:before="31" w:after="31"/>
              <w:rPr>
                <w:color w:val="auto"/>
                <w:highlight w:val="none"/>
              </w:rPr>
            </w:pPr>
            <w:r>
              <w:rPr>
                <w:rFonts w:hint="eastAsia"/>
                <w:color w:val="auto"/>
                <w:highlight w:val="none"/>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0" w:type="dxa"/>
            <w:vAlign w:val="center"/>
          </w:tcPr>
          <w:p>
            <w:pPr>
              <w:pStyle w:val="51"/>
              <w:spacing w:before="31" w:after="31"/>
              <w:rPr>
                <w:color w:val="auto"/>
                <w:highlight w:val="none"/>
              </w:rPr>
            </w:pPr>
            <w:r>
              <w:rPr>
                <w:rFonts w:hint="eastAsia"/>
                <w:color w:val="auto"/>
                <w:highlight w:val="none"/>
              </w:rPr>
              <w:t>干式植草沟</w:t>
            </w:r>
          </w:p>
        </w:tc>
        <w:tc>
          <w:tcPr>
            <w:tcW w:w="4954" w:type="dxa"/>
            <w:vAlign w:val="center"/>
          </w:tcPr>
          <w:p>
            <w:pPr>
              <w:pStyle w:val="51"/>
              <w:spacing w:before="31" w:after="31"/>
              <w:rPr>
                <w:color w:val="auto"/>
                <w:highlight w:val="none"/>
              </w:rPr>
            </w:pPr>
            <w:r>
              <w:rPr>
                <w:rFonts w:hint="eastAsia"/>
                <w:color w:val="auto"/>
                <w:highlight w:val="none"/>
              </w:rPr>
              <w:t>35~90</w:t>
            </w:r>
          </w:p>
        </w:tc>
      </w:tr>
    </w:tbl>
    <w:p>
      <w:pPr>
        <w:spacing w:before="156" w:after="156" w:line="360" w:lineRule="auto"/>
        <w:ind w:firstLine="480"/>
        <w:rPr>
          <w:rFonts w:hAnsi="宋体" w:cs="宋体"/>
          <w:color w:val="auto"/>
          <w:highlight w:val="none"/>
        </w:rPr>
      </w:pPr>
      <w:r>
        <w:rPr>
          <w:rFonts w:hint="eastAsia" w:hAnsi="宋体" w:cs="宋体"/>
          <w:color w:val="auto"/>
          <w:highlight w:val="none"/>
        </w:rPr>
        <w:t>年SS（悬浮物）总量去除率=年径流总量控制率×低影响开发设施对SS的平均去除率；其中低影响开发设施对SS的平均去除率=∑｛（1-Ψi）Fi/∑[(1-Ψi) Fi]•单项设施去除率｝。</w:t>
      </w:r>
    </w:p>
    <w:p>
      <w:pPr>
        <w:spacing w:before="156" w:after="156" w:line="360" w:lineRule="auto"/>
        <w:ind w:firstLine="480"/>
        <w:rPr>
          <w:rFonts w:hAnsi="宋体" w:cs="宋体"/>
          <w:color w:val="auto"/>
          <w:highlight w:val="none"/>
        </w:rPr>
      </w:pPr>
      <w:r>
        <w:rPr>
          <w:rFonts w:hint="eastAsia" w:hAnsi="宋体" w:cs="宋体"/>
          <w:color w:val="auto"/>
          <w:highlight w:val="none"/>
        </w:rPr>
        <w:t>本项目低影响开发设施主要为下沉绿地、透水铺装，根据上表，本项目的年SS总量去除率计算如下：</w:t>
      </w:r>
    </w:p>
    <w:p>
      <w:pPr>
        <w:spacing w:before="156" w:after="156" w:line="360" w:lineRule="auto"/>
        <w:ind w:firstLine="482"/>
        <w:jc w:val="center"/>
        <w:rPr>
          <w:rFonts w:hAnsi="宋体" w:cs="宋体"/>
          <w:b/>
          <w:bCs/>
          <w:color w:val="auto"/>
          <w:highlight w:val="none"/>
        </w:rPr>
      </w:pPr>
      <w:r>
        <w:rPr>
          <w:rFonts w:hint="eastAsia" w:hAnsi="宋体" w:cs="宋体"/>
          <w:b/>
          <w:bCs/>
          <w:color w:val="auto"/>
          <w:highlight w:val="none"/>
        </w:rPr>
        <w:t>表4-1</w:t>
      </w:r>
      <w:r>
        <w:rPr>
          <w:rFonts w:hint="eastAsia" w:hAnsi="宋体" w:cs="宋体"/>
          <w:b/>
          <w:bCs/>
          <w:color w:val="auto"/>
          <w:highlight w:val="none"/>
          <w:lang w:val="en-US" w:eastAsia="zh-CN"/>
        </w:rPr>
        <w:t>4</w:t>
      </w:r>
      <w:r>
        <w:rPr>
          <w:rFonts w:hint="eastAsia" w:hAnsi="宋体" w:cs="宋体"/>
          <w:b/>
          <w:bCs/>
          <w:color w:val="auto"/>
          <w:highlight w:val="none"/>
        </w:rPr>
        <w:t xml:space="preserve">  项目总地块年SS总量去除率计算</w:t>
      </w:r>
    </w:p>
    <w:tbl>
      <w:tblPr>
        <w:tblStyle w:val="156"/>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077"/>
        <w:gridCol w:w="1137"/>
        <w:gridCol w:w="1284"/>
        <w:gridCol w:w="1356"/>
        <w:gridCol w:w="976"/>
        <w:gridCol w:w="1374"/>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83"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77"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汇水分区</w:t>
            </w:r>
          </w:p>
        </w:tc>
        <w:tc>
          <w:tcPr>
            <w:tcW w:w="1137"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海绵城市措施</w:t>
            </w:r>
          </w:p>
        </w:tc>
        <w:tc>
          <w:tcPr>
            <w:tcW w:w="1284"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规模</w:t>
            </w:r>
          </w:p>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w:t>
            </w:r>
          </w:p>
        </w:tc>
        <w:tc>
          <w:tcPr>
            <w:tcW w:w="1356"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单项污染物消减率</w:t>
            </w:r>
          </w:p>
        </w:tc>
        <w:tc>
          <w:tcPr>
            <w:tcW w:w="976"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平均</w:t>
            </w:r>
          </w:p>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去除率</w:t>
            </w:r>
          </w:p>
        </w:tc>
        <w:tc>
          <w:tcPr>
            <w:tcW w:w="1374"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年径流总量控制率</w:t>
            </w:r>
          </w:p>
        </w:tc>
        <w:tc>
          <w:tcPr>
            <w:tcW w:w="1292"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年SS总量去除率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83" w:type="dxa"/>
            <w:vMerge w:val="restart"/>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77" w:type="dxa"/>
            <w:vMerge w:val="restart"/>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总地块</w:t>
            </w:r>
          </w:p>
        </w:tc>
        <w:tc>
          <w:tcPr>
            <w:tcW w:w="1137" w:type="dxa"/>
            <w:vAlign w:val="center"/>
          </w:tcPr>
          <w:p>
            <w:pPr>
              <w:pStyle w:val="51"/>
              <w:spacing w:before="31" w:after="31"/>
              <w:rPr>
                <w:rFonts w:hint="eastAsia"/>
                <w:color w:val="auto"/>
                <w:highlight w:val="none"/>
              </w:rPr>
            </w:pPr>
            <w:r>
              <w:rPr>
                <w:rFonts w:hint="eastAsia"/>
                <w:color w:val="auto"/>
                <w:highlight w:val="none"/>
              </w:rPr>
              <w:t>下沉绿地</w:t>
            </w:r>
          </w:p>
        </w:tc>
        <w:tc>
          <w:tcPr>
            <w:tcW w:w="128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3402.91 </w:t>
            </w:r>
          </w:p>
        </w:tc>
        <w:tc>
          <w:tcPr>
            <w:tcW w:w="1356" w:type="dxa"/>
            <w:vAlign w:val="center"/>
          </w:tcPr>
          <w:p>
            <w:pPr>
              <w:pStyle w:val="51"/>
              <w:spacing w:before="31" w:after="31"/>
              <w:rPr>
                <w:rFonts w:hint="eastAsia"/>
                <w:color w:val="auto"/>
                <w:highlight w:val="none"/>
              </w:rPr>
            </w:pPr>
            <w:r>
              <w:rPr>
                <w:rFonts w:hint="eastAsia"/>
                <w:color w:val="auto"/>
                <w:highlight w:val="none"/>
              </w:rPr>
              <w:t>70%</w:t>
            </w:r>
          </w:p>
        </w:tc>
        <w:tc>
          <w:tcPr>
            <w:tcW w:w="976" w:type="dxa"/>
            <w:vMerge w:val="restart"/>
            <w:shd w:val="clear" w:color="auto" w:fill="auto"/>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76.64%</w:t>
            </w:r>
          </w:p>
        </w:tc>
        <w:tc>
          <w:tcPr>
            <w:tcW w:w="1374" w:type="dxa"/>
            <w:vMerge w:val="restart"/>
            <w:shd w:val="clear" w:color="auto" w:fill="auto"/>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85.91%</w:t>
            </w:r>
          </w:p>
        </w:tc>
        <w:tc>
          <w:tcPr>
            <w:tcW w:w="1292" w:type="dxa"/>
            <w:vMerge w:val="restart"/>
            <w:shd w:val="clear" w:color="auto" w:fill="auto"/>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65.84%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83" w:type="dxa"/>
            <w:vMerge w:val="continue"/>
            <w:vAlign w:val="center"/>
          </w:tcPr>
          <w:p>
            <w:pPr>
              <w:pStyle w:val="51"/>
              <w:spacing w:before="31" w:after="31"/>
              <w:rPr>
                <w:rFonts w:hint="eastAsia" w:ascii="宋体" w:hAnsi="宋体" w:eastAsia="宋体" w:cs="宋体"/>
                <w:color w:val="auto"/>
                <w:sz w:val="21"/>
                <w:szCs w:val="21"/>
                <w:highlight w:val="none"/>
              </w:rPr>
            </w:pPr>
          </w:p>
        </w:tc>
        <w:tc>
          <w:tcPr>
            <w:tcW w:w="1077" w:type="dxa"/>
            <w:vMerge w:val="continue"/>
            <w:vAlign w:val="center"/>
          </w:tcPr>
          <w:p>
            <w:pPr>
              <w:pStyle w:val="51"/>
              <w:spacing w:before="31" w:after="31"/>
              <w:rPr>
                <w:rFonts w:hint="eastAsia" w:ascii="宋体" w:hAnsi="宋体" w:eastAsia="宋体" w:cs="宋体"/>
                <w:color w:val="auto"/>
                <w:sz w:val="21"/>
                <w:szCs w:val="21"/>
                <w:highlight w:val="none"/>
              </w:rPr>
            </w:pPr>
          </w:p>
        </w:tc>
        <w:tc>
          <w:tcPr>
            <w:tcW w:w="1137" w:type="dxa"/>
            <w:vAlign w:val="center"/>
          </w:tcPr>
          <w:p>
            <w:pPr>
              <w:pStyle w:val="51"/>
              <w:spacing w:before="31" w:after="31"/>
              <w:rPr>
                <w:rFonts w:hint="eastAsia"/>
                <w:color w:val="auto"/>
                <w:highlight w:val="none"/>
              </w:rPr>
            </w:pPr>
            <w:r>
              <w:rPr>
                <w:rFonts w:hint="eastAsia"/>
                <w:color w:val="auto"/>
                <w:highlight w:val="none"/>
              </w:rPr>
              <w:t>透水铺装</w:t>
            </w:r>
          </w:p>
        </w:tc>
        <w:tc>
          <w:tcPr>
            <w:tcW w:w="128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5488.50 </w:t>
            </w:r>
          </w:p>
        </w:tc>
        <w:tc>
          <w:tcPr>
            <w:tcW w:w="1356" w:type="dxa"/>
            <w:vAlign w:val="center"/>
          </w:tcPr>
          <w:p>
            <w:pPr>
              <w:pStyle w:val="51"/>
              <w:spacing w:before="31" w:after="31"/>
              <w:rPr>
                <w:rFonts w:hint="eastAsia"/>
                <w:color w:val="auto"/>
                <w:highlight w:val="none"/>
              </w:rPr>
            </w:pPr>
            <w:r>
              <w:rPr>
                <w:rFonts w:hint="eastAsia"/>
                <w:color w:val="auto"/>
                <w:highlight w:val="none"/>
              </w:rPr>
              <w:t>80%</w:t>
            </w:r>
          </w:p>
        </w:tc>
        <w:tc>
          <w:tcPr>
            <w:tcW w:w="976" w:type="dxa"/>
            <w:vMerge w:val="continue"/>
            <w:shd w:val="clear" w:color="auto" w:fill="auto"/>
            <w:vAlign w:val="center"/>
          </w:tcPr>
          <w:p>
            <w:pPr>
              <w:pStyle w:val="51"/>
              <w:spacing w:before="31" w:after="31"/>
              <w:rPr>
                <w:rFonts w:hint="eastAsia" w:ascii="宋体" w:hAnsi="宋体" w:eastAsia="宋体" w:cs="宋体"/>
                <w:color w:val="auto"/>
                <w:sz w:val="21"/>
                <w:szCs w:val="21"/>
                <w:highlight w:val="none"/>
              </w:rPr>
            </w:pPr>
          </w:p>
        </w:tc>
        <w:tc>
          <w:tcPr>
            <w:tcW w:w="1374" w:type="dxa"/>
            <w:vMerge w:val="continue"/>
            <w:shd w:val="clear" w:color="auto" w:fill="auto"/>
            <w:vAlign w:val="center"/>
          </w:tcPr>
          <w:p>
            <w:pPr>
              <w:pStyle w:val="51"/>
              <w:spacing w:before="31" w:after="31"/>
              <w:rPr>
                <w:rFonts w:hint="eastAsia" w:ascii="宋体" w:hAnsi="宋体" w:eastAsia="宋体" w:cs="宋体"/>
                <w:color w:val="auto"/>
                <w:sz w:val="21"/>
                <w:szCs w:val="21"/>
                <w:highlight w:val="none"/>
              </w:rPr>
            </w:pPr>
          </w:p>
        </w:tc>
        <w:tc>
          <w:tcPr>
            <w:tcW w:w="1292" w:type="dxa"/>
            <w:vMerge w:val="continue"/>
            <w:shd w:val="clear" w:color="auto" w:fill="auto"/>
            <w:vAlign w:val="center"/>
          </w:tcPr>
          <w:p>
            <w:pPr>
              <w:pStyle w:val="51"/>
              <w:spacing w:before="31" w:after="3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83" w:type="dxa"/>
            <w:vMerge w:val="continue"/>
            <w:vAlign w:val="center"/>
          </w:tcPr>
          <w:p>
            <w:pPr>
              <w:pStyle w:val="51"/>
              <w:spacing w:before="31" w:after="31"/>
              <w:rPr>
                <w:rFonts w:hint="eastAsia" w:ascii="宋体" w:hAnsi="宋体" w:eastAsia="宋体" w:cs="宋体"/>
                <w:color w:val="auto"/>
                <w:sz w:val="21"/>
                <w:szCs w:val="21"/>
                <w:highlight w:val="none"/>
              </w:rPr>
            </w:pPr>
          </w:p>
        </w:tc>
        <w:tc>
          <w:tcPr>
            <w:tcW w:w="1077" w:type="dxa"/>
            <w:vMerge w:val="continue"/>
            <w:vAlign w:val="center"/>
          </w:tcPr>
          <w:p>
            <w:pPr>
              <w:pStyle w:val="51"/>
              <w:spacing w:before="31" w:after="31"/>
              <w:rPr>
                <w:rFonts w:hint="eastAsia" w:ascii="宋体" w:hAnsi="宋体" w:eastAsia="宋体" w:cs="宋体"/>
                <w:color w:val="auto"/>
                <w:sz w:val="21"/>
                <w:szCs w:val="21"/>
                <w:highlight w:val="none"/>
              </w:rPr>
            </w:pPr>
          </w:p>
        </w:tc>
        <w:tc>
          <w:tcPr>
            <w:tcW w:w="1137" w:type="dxa"/>
            <w:vAlign w:val="center"/>
          </w:tcPr>
          <w:p>
            <w:pPr>
              <w:pStyle w:val="51"/>
              <w:spacing w:before="31" w:after="31"/>
              <w:rPr>
                <w:rFonts w:hint="default"/>
                <w:color w:val="auto"/>
                <w:highlight w:val="none"/>
                <w:lang w:val="en-US" w:eastAsia="zh-CN"/>
              </w:rPr>
            </w:pPr>
            <w:r>
              <w:rPr>
                <w:rFonts w:hint="eastAsia"/>
                <w:color w:val="auto"/>
                <w:highlight w:val="none"/>
                <w:lang w:val="en-US" w:eastAsia="zh-CN"/>
              </w:rPr>
              <w:t>绿化屋面</w:t>
            </w:r>
          </w:p>
        </w:tc>
        <w:tc>
          <w:tcPr>
            <w:tcW w:w="1284" w:type="dxa"/>
            <w:vAlign w:val="center"/>
          </w:tcPr>
          <w:p>
            <w:pPr>
              <w:pStyle w:val="51"/>
              <w:spacing w:before="31" w:after="31"/>
              <w:rPr>
                <w:rFonts w:hint="eastAsia"/>
                <w:color w:val="auto"/>
                <w:highlight w:val="none"/>
                <w:lang w:val="en-US" w:eastAsia="zh-CN"/>
              </w:rPr>
            </w:pPr>
            <w:r>
              <w:rPr>
                <w:rFonts w:hint="eastAsia"/>
                <w:color w:val="auto"/>
                <w:highlight w:val="none"/>
                <w:lang w:val="en-US" w:eastAsia="zh-CN"/>
              </w:rPr>
              <w:t xml:space="preserve">1235.57 </w:t>
            </w:r>
          </w:p>
        </w:tc>
        <w:tc>
          <w:tcPr>
            <w:tcW w:w="1356" w:type="dxa"/>
            <w:vAlign w:val="center"/>
          </w:tcPr>
          <w:p>
            <w:pPr>
              <w:pStyle w:val="51"/>
              <w:spacing w:before="31" w:after="31"/>
              <w:rPr>
                <w:rFonts w:hint="eastAsia"/>
                <w:color w:val="auto"/>
                <w:highlight w:val="none"/>
              </w:rPr>
            </w:pPr>
            <w:r>
              <w:rPr>
                <w:rFonts w:hint="eastAsia"/>
                <w:color w:val="auto"/>
                <w:highlight w:val="none"/>
              </w:rPr>
              <w:t>80%</w:t>
            </w:r>
          </w:p>
        </w:tc>
        <w:tc>
          <w:tcPr>
            <w:tcW w:w="976" w:type="dxa"/>
            <w:vMerge w:val="continue"/>
            <w:shd w:val="clear" w:color="auto" w:fill="auto"/>
            <w:vAlign w:val="center"/>
          </w:tcPr>
          <w:p>
            <w:pPr>
              <w:pStyle w:val="51"/>
              <w:spacing w:before="31" w:after="31"/>
              <w:rPr>
                <w:rFonts w:hint="eastAsia" w:ascii="宋体" w:hAnsi="宋体" w:eastAsia="宋体" w:cs="宋体"/>
                <w:color w:val="auto"/>
                <w:sz w:val="21"/>
                <w:szCs w:val="21"/>
                <w:highlight w:val="none"/>
              </w:rPr>
            </w:pPr>
          </w:p>
        </w:tc>
        <w:tc>
          <w:tcPr>
            <w:tcW w:w="1374" w:type="dxa"/>
            <w:vMerge w:val="continue"/>
            <w:shd w:val="clear" w:color="auto" w:fill="auto"/>
            <w:vAlign w:val="center"/>
          </w:tcPr>
          <w:p>
            <w:pPr>
              <w:pStyle w:val="51"/>
              <w:spacing w:before="31" w:after="31"/>
              <w:rPr>
                <w:rFonts w:hint="eastAsia" w:ascii="宋体" w:hAnsi="宋体" w:eastAsia="宋体" w:cs="宋体"/>
                <w:color w:val="auto"/>
                <w:sz w:val="21"/>
                <w:szCs w:val="21"/>
                <w:highlight w:val="none"/>
              </w:rPr>
            </w:pPr>
          </w:p>
        </w:tc>
        <w:tc>
          <w:tcPr>
            <w:tcW w:w="1292" w:type="dxa"/>
            <w:vMerge w:val="continue"/>
            <w:shd w:val="clear" w:color="auto" w:fill="auto"/>
            <w:vAlign w:val="center"/>
          </w:tcPr>
          <w:p>
            <w:pPr>
              <w:pStyle w:val="51"/>
              <w:spacing w:before="31" w:after="31"/>
              <w:rPr>
                <w:rFonts w:hint="eastAsia" w:ascii="宋体" w:hAnsi="宋体" w:eastAsia="宋体" w:cs="宋体"/>
                <w:color w:val="auto"/>
                <w:sz w:val="21"/>
                <w:szCs w:val="21"/>
                <w:highlight w:val="none"/>
              </w:rPr>
            </w:pPr>
          </w:p>
        </w:tc>
      </w:tr>
    </w:tbl>
    <w:p>
      <w:pPr>
        <w:spacing w:before="156" w:after="156" w:line="360" w:lineRule="auto"/>
        <w:ind w:firstLine="480"/>
        <w:rPr>
          <w:rFonts w:hAnsi="宋体" w:cs="宋体"/>
          <w:color w:val="auto"/>
          <w:highlight w:val="none"/>
        </w:rPr>
      </w:pPr>
      <w:r>
        <w:rPr>
          <w:rFonts w:hint="eastAsia" w:hAnsi="宋体" w:cs="宋体"/>
          <w:color w:val="auto"/>
          <w:highlight w:val="none"/>
        </w:rPr>
        <w:t>经计算，本项目场地年SS总量去除率达到</w:t>
      </w:r>
      <w:r>
        <w:rPr>
          <w:rFonts w:hint="eastAsia" w:hAnsi="宋体" w:cs="宋体"/>
          <w:color w:val="auto"/>
          <w:highlight w:val="none"/>
          <w:lang w:val="en-US" w:eastAsia="zh-CN"/>
        </w:rPr>
        <w:t>65.84</w:t>
      </w:r>
      <w:r>
        <w:rPr>
          <w:rFonts w:hint="eastAsia" w:hAnsi="宋体" w:cs="宋体"/>
          <w:color w:val="auto"/>
          <w:highlight w:val="none"/>
        </w:rPr>
        <w:t>%＞50%，满足《广州市海绵城市规划导则》的规定。项目通过设置透水铺装、下沉绿地</w:t>
      </w:r>
      <w:r>
        <w:rPr>
          <w:rFonts w:hint="eastAsia" w:hAnsi="宋体" w:cs="宋体"/>
          <w:color w:val="auto"/>
          <w:highlight w:val="none"/>
          <w:lang w:eastAsia="zh-CN"/>
        </w:rPr>
        <w:t>、</w:t>
      </w:r>
      <w:r>
        <w:rPr>
          <w:rFonts w:hint="eastAsia" w:hAnsi="宋体" w:cs="宋体"/>
          <w:color w:val="auto"/>
          <w:highlight w:val="none"/>
          <w:lang w:val="en-US" w:eastAsia="zh-CN"/>
        </w:rPr>
        <w:t>绿化屋面</w:t>
      </w:r>
      <w:r>
        <w:rPr>
          <w:rFonts w:hint="eastAsia" w:hAnsi="宋体" w:cs="宋体"/>
          <w:color w:val="auto"/>
          <w:highlight w:val="none"/>
        </w:rPr>
        <w:t>等措施，外排至市政雨水管渠的雨水量得到有效控制，有效提升了区项目的海绵特质，对于海绵建设目标的实现具有积极意义与示范作用。</w:t>
      </w:r>
    </w:p>
    <w:p>
      <w:pPr>
        <w:pStyle w:val="3"/>
        <w:spacing w:before="156" w:after="156"/>
        <w:rPr>
          <w:color w:val="auto"/>
          <w:highlight w:val="none"/>
        </w:rPr>
      </w:pPr>
      <w:bookmarkStart w:id="57" w:name="_Toc29713"/>
      <w:bookmarkStart w:id="58" w:name="_Toc29406"/>
      <w:r>
        <w:rPr>
          <w:rFonts w:hint="eastAsia"/>
          <w:color w:val="auto"/>
          <w:highlight w:val="none"/>
        </w:rPr>
        <w:t>4.6、下凹式绿地率校核</w:t>
      </w:r>
      <w:bookmarkEnd w:id="57"/>
      <w:bookmarkEnd w:id="58"/>
    </w:p>
    <w:p>
      <w:pPr>
        <w:spacing w:beforeLines="0" w:afterLines="0"/>
        <w:ind w:firstLine="480"/>
        <w:rPr>
          <w:color w:val="auto"/>
          <w:highlight w:val="none"/>
        </w:rPr>
      </w:pPr>
      <w:r>
        <w:rPr>
          <w:rFonts w:hint="eastAsia"/>
          <w:color w:val="auto"/>
          <w:highlight w:val="none"/>
        </w:rPr>
        <w:t>根据《海绵城市设施分布总平面图》可知，本项目下沉式绿地率统计情况如下表所示：</w:t>
      </w:r>
    </w:p>
    <w:p>
      <w:pPr>
        <w:autoSpaceDE/>
        <w:autoSpaceDN/>
        <w:adjustRightInd/>
        <w:spacing w:beforeLines="0" w:afterLines="0" w:line="360" w:lineRule="auto"/>
        <w:ind w:firstLine="482"/>
        <w:jc w:val="center"/>
        <w:rPr>
          <w:rFonts w:hAnsi="宋体" w:cs="宋体"/>
          <w:b/>
          <w:bCs/>
          <w:color w:val="auto"/>
          <w:highlight w:val="none"/>
        </w:rPr>
      </w:pPr>
      <w:r>
        <w:rPr>
          <w:rFonts w:hint="eastAsia" w:hAnsi="宋体" w:cs="宋体"/>
          <w:b/>
          <w:bCs/>
          <w:color w:val="auto"/>
          <w:highlight w:val="none"/>
        </w:rPr>
        <w:t>表4-1</w:t>
      </w:r>
      <w:r>
        <w:rPr>
          <w:rFonts w:hint="eastAsia" w:hAnsi="宋体" w:cs="宋体"/>
          <w:b/>
          <w:bCs/>
          <w:color w:val="auto"/>
          <w:highlight w:val="none"/>
          <w:lang w:val="en-US" w:eastAsia="zh-CN"/>
        </w:rPr>
        <w:t>5</w:t>
      </w:r>
      <w:r>
        <w:rPr>
          <w:rFonts w:hint="eastAsia" w:hAnsi="宋体" w:cs="宋体"/>
          <w:b/>
          <w:bCs/>
          <w:color w:val="auto"/>
          <w:highlight w:val="none"/>
        </w:rPr>
        <w:t xml:space="preserve"> 下沉绿地计算</w:t>
      </w:r>
    </w:p>
    <w:tbl>
      <w:tblPr>
        <w:tblStyle w:val="154"/>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99"/>
        <w:gridCol w:w="2026"/>
        <w:gridCol w:w="1584"/>
        <w:gridCol w:w="180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81" w:type="dxa"/>
            <w:vAlign w:val="center"/>
          </w:tcPr>
          <w:p>
            <w:pPr>
              <w:pStyle w:val="51"/>
              <w:adjustRightInd w:val="0"/>
              <w:snapToGrid w:val="0"/>
              <w:spacing w:beforeLines="0" w:afterLines="0"/>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序号</w:t>
            </w:r>
          </w:p>
        </w:tc>
        <w:tc>
          <w:tcPr>
            <w:tcW w:w="1199" w:type="dxa"/>
            <w:vAlign w:val="center"/>
          </w:tcPr>
          <w:p>
            <w:pPr>
              <w:pStyle w:val="51"/>
              <w:adjustRightInd w:val="0"/>
              <w:snapToGrid w:val="0"/>
              <w:spacing w:beforeLines="0" w:afterLines="0"/>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汇水分区</w:t>
            </w:r>
          </w:p>
        </w:tc>
        <w:tc>
          <w:tcPr>
            <w:tcW w:w="2026" w:type="dxa"/>
            <w:vAlign w:val="center"/>
          </w:tcPr>
          <w:p>
            <w:pPr>
              <w:pStyle w:val="51"/>
              <w:adjustRightInd w:val="0"/>
              <w:snapToGrid w:val="0"/>
              <w:spacing w:beforeLines="0" w:afterLines="0"/>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建设用地面积（㎡）</w:t>
            </w:r>
          </w:p>
        </w:tc>
        <w:tc>
          <w:tcPr>
            <w:tcW w:w="1584" w:type="dxa"/>
            <w:vAlign w:val="center"/>
          </w:tcPr>
          <w:p>
            <w:pPr>
              <w:pStyle w:val="51"/>
              <w:adjustRightInd w:val="0"/>
              <w:snapToGrid w:val="0"/>
              <w:spacing w:beforeLines="0" w:afterLines="0"/>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绿地面积（㎡）</w:t>
            </w:r>
          </w:p>
        </w:tc>
        <w:tc>
          <w:tcPr>
            <w:tcW w:w="1800" w:type="dxa"/>
            <w:vAlign w:val="center"/>
          </w:tcPr>
          <w:p>
            <w:pPr>
              <w:pStyle w:val="51"/>
              <w:adjustRightInd w:val="0"/>
              <w:snapToGrid w:val="0"/>
              <w:spacing w:beforeLines="0" w:afterLines="0"/>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下沉式绿地（㎡）</w:t>
            </w:r>
          </w:p>
        </w:tc>
        <w:tc>
          <w:tcPr>
            <w:tcW w:w="1590" w:type="dxa"/>
            <w:vAlign w:val="center"/>
          </w:tcPr>
          <w:p>
            <w:pPr>
              <w:pStyle w:val="51"/>
              <w:adjustRightInd w:val="0"/>
              <w:snapToGrid w:val="0"/>
              <w:spacing w:beforeLines="0" w:afterLines="0"/>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下沉式绿地率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1"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w:t>
            </w:r>
          </w:p>
        </w:tc>
        <w:tc>
          <w:tcPr>
            <w:tcW w:w="1199" w:type="dxa"/>
            <w:vAlign w:val="center"/>
          </w:tcPr>
          <w:p>
            <w:pPr>
              <w:keepNext w:val="0"/>
              <w:keepLines w:val="0"/>
              <w:widowControl/>
              <w:suppressLineNumbers w:val="0"/>
              <w:ind w:left="0" w:leftChars="0" w:firstLine="210" w:firstLineChars="10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总地块</w:t>
            </w:r>
          </w:p>
        </w:tc>
        <w:tc>
          <w:tcPr>
            <w:tcW w:w="2026" w:type="dxa"/>
            <w:vAlign w:val="center"/>
          </w:tcPr>
          <w:p>
            <w:pPr>
              <w:keepNext w:val="0"/>
              <w:keepLines w:val="0"/>
              <w:widowControl/>
              <w:suppressLineNumbers w:val="0"/>
              <w:ind w:firstLine="420" w:firstLineChars="200"/>
              <w:jc w:val="both"/>
              <w:textAlignment w:val="center"/>
              <w:rPr>
                <w:rFonts w:hint="default" w:hAnsi="宋体" w:cs="宋体"/>
                <w:i w:val="0"/>
                <w:color w:val="auto"/>
                <w:kern w:val="0"/>
                <w:sz w:val="21"/>
                <w:szCs w:val="21"/>
                <w:highlight w:val="none"/>
                <w:u w:val="none"/>
                <w:lang w:val="en-US" w:eastAsia="zh-CN" w:bidi="ar"/>
              </w:rPr>
            </w:pPr>
            <w:r>
              <w:rPr>
                <w:rFonts w:hint="eastAsia" w:hAnsi="宋体" w:cs="宋体"/>
                <w:i w:val="0"/>
                <w:color w:val="auto"/>
                <w:kern w:val="0"/>
                <w:sz w:val="21"/>
                <w:szCs w:val="21"/>
                <w:highlight w:val="none"/>
                <w:u w:val="none"/>
                <w:lang w:val="en-US" w:eastAsia="zh-CN" w:bidi="ar"/>
              </w:rPr>
              <w:t>19621.20</w:t>
            </w:r>
          </w:p>
        </w:tc>
        <w:tc>
          <w:tcPr>
            <w:tcW w:w="1584" w:type="dxa"/>
            <w:vAlign w:val="center"/>
          </w:tcPr>
          <w:p>
            <w:pPr>
              <w:keepNext w:val="0"/>
              <w:keepLines w:val="0"/>
              <w:widowControl/>
              <w:suppressLineNumbers w:val="0"/>
              <w:ind w:firstLine="420" w:firstLineChars="200"/>
              <w:jc w:val="both"/>
              <w:textAlignment w:val="center"/>
              <w:rPr>
                <w:rFonts w:hint="default" w:hAnsi="宋体" w:cs="宋体"/>
                <w:i w:val="0"/>
                <w:color w:val="auto"/>
                <w:kern w:val="0"/>
                <w:sz w:val="21"/>
                <w:szCs w:val="21"/>
                <w:highlight w:val="none"/>
                <w:u w:val="none"/>
                <w:lang w:val="en-US" w:eastAsia="zh-CN" w:bidi="ar"/>
              </w:rPr>
            </w:pPr>
            <w:r>
              <w:rPr>
                <w:rFonts w:hint="eastAsia" w:hAnsi="宋体" w:cs="宋体"/>
                <w:i w:val="0"/>
                <w:color w:val="auto"/>
                <w:kern w:val="0"/>
                <w:sz w:val="21"/>
                <w:szCs w:val="21"/>
                <w:highlight w:val="none"/>
                <w:u w:val="none"/>
                <w:lang w:val="en-US" w:eastAsia="zh-CN" w:bidi="ar"/>
              </w:rPr>
              <w:t xml:space="preserve">5050.05 </w:t>
            </w:r>
          </w:p>
        </w:tc>
        <w:tc>
          <w:tcPr>
            <w:tcW w:w="1800" w:type="dxa"/>
            <w:vAlign w:val="center"/>
          </w:tcPr>
          <w:p>
            <w:pPr>
              <w:keepNext w:val="0"/>
              <w:keepLines w:val="0"/>
              <w:widowControl/>
              <w:suppressLineNumbers w:val="0"/>
              <w:ind w:firstLine="420" w:firstLineChars="200"/>
              <w:jc w:val="both"/>
              <w:textAlignment w:val="center"/>
              <w:rPr>
                <w:rFonts w:hint="default" w:hAnsi="宋体" w:cs="宋体"/>
                <w:i w:val="0"/>
                <w:color w:val="auto"/>
                <w:kern w:val="0"/>
                <w:sz w:val="21"/>
                <w:szCs w:val="21"/>
                <w:highlight w:val="none"/>
                <w:u w:val="none"/>
                <w:lang w:val="en-US" w:eastAsia="zh-CN" w:bidi="ar"/>
              </w:rPr>
            </w:pPr>
            <w:r>
              <w:rPr>
                <w:rFonts w:hint="eastAsia" w:hAnsi="宋体" w:cs="宋体"/>
                <w:i w:val="0"/>
                <w:color w:val="auto"/>
                <w:kern w:val="0"/>
                <w:sz w:val="21"/>
                <w:szCs w:val="21"/>
                <w:highlight w:val="none"/>
                <w:u w:val="none"/>
                <w:lang w:val="en-US" w:eastAsia="zh-CN" w:bidi="ar"/>
              </w:rPr>
              <w:t xml:space="preserve">3402.91 </w:t>
            </w:r>
          </w:p>
        </w:tc>
        <w:tc>
          <w:tcPr>
            <w:tcW w:w="1590" w:type="dxa"/>
            <w:vAlign w:val="center"/>
          </w:tcPr>
          <w:p>
            <w:pPr>
              <w:keepNext w:val="0"/>
              <w:keepLines w:val="0"/>
              <w:widowControl/>
              <w:suppressLineNumbers w:val="0"/>
              <w:ind w:firstLine="420" w:firstLineChars="200"/>
              <w:jc w:val="both"/>
              <w:textAlignment w:val="center"/>
              <w:rPr>
                <w:rFonts w:hint="eastAsia" w:hAnsi="宋体" w:cs="宋体"/>
                <w:i w:val="0"/>
                <w:color w:val="auto"/>
                <w:kern w:val="0"/>
                <w:sz w:val="21"/>
                <w:szCs w:val="21"/>
                <w:highlight w:val="none"/>
                <w:u w:val="none"/>
                <w:lang w:val="en-US" w:eastAsia="zh-CN" w:bidi="ar"/>
              </w:rPr>
            </w:pPr>
            <w:r>
              <w:rPr>
                <w:rFonts w:hint="eastAsia" w:hAnsi="宋体" w:cs="宋体"/>
                <w:i w:val="0"/>
                <w:color w:val="auto"/>
                <w:kern w:val="0"/>
                <w:sz w:val="21"/>
                <w:szCs w:val="21"/>
                <w:highlight w:val="none"/>
                <w:u w:val="none"/>
                <w:lang w:val="en-US" w:eastAsia="zh-CN" w:bidi="ar"/>
              </w:rPr>
              <w:t>67.38%</w:t>
            </w:r>
          </w:p>
        </w:tc>
      </w:tr>
    </w:tbl>
    <w:p>
      <w:pPr>
        <w:pStyle w:val="3"/>
        <w:spacing w:before="312" w:beforeLines="100" w:after="156" w:line="416" w:lineRule="auto"/>
        <w:rPr>
          <w:color w:val="auto"/>
          <w:highlight w:val="none"/>
        </w:rPr>
      </w:pPr>
      <w:bookmarkStart w:id="59" w:name="_Toc7273"/>
      <w:bookmarkStart w:id="60" w:name="_Toc13629"/>
      <w:r>
        <w:rPr>
          <w:rFonts w:hint="eastAsia"/>
          <w:color w:val="auto"/>
          <w:highlight w:val="none"/>
        </w:rPr>
        <w:t>4.</w:t>
      </w:r>
      <w:r>
        <w:rPr>
          <w:rFonts w:hint="eastAsia"/>
          <w:color w:val="auto"/>
          <w:highlight w:val="none"/>
          <w:lang w:val="en-US" w:eastAsia="zh-CN"/>
        </w:rPr>
        <w:t>7</w:t>
      </w:r>
      <w:r>
        <w:rPr>
          <w:rFonts w:hint="eastAsia"/>
          <w:color w:val="auto"/>
          <w:highlight w:val="none"/>
        </w:rPr>
        <w:t>、场地硬化面积校核</w:t>
      </w:r>
      <w:bookmarkEnd w:id="59"/>
      <w:bookmarkEnd w:id="60"/>
    </w:p>
    <w:p>
      <w:pPr>
        <w:spacing w:beforeLines="0" w:afterLines="0"/>
        <w:ind w:firstLine="480"/>
        <w:rPr>
          <w:rFonts w:hint="eastAsia"/>
          <w:color w:val="auto"/>
          <w:highlight w:val="none"/>
        </w:rPr>
      </w:pPr>
      <w:r>
        <w:rPr>
          <w:rFonts w:hint="eastAsia"/>
          <w:color w:val="auto"/>
          <w:highlight w:val="none"/>
        </w:rPr>
        <w:t>根据《海绵城市设施分布总平面图》可知，本项目建设用地面积为</w:t>
      </w:r>
      <w:r>
        <w:rPr>
          <w:rFonts w:hint="eastAsia"/>
          <w:color w:val="auto"/>
          <w:highlight w:val="none"/>
          <w:lang w:val="en-US" w:eastAsia="zh-CN"/>
        </w:rPr>
        <w:t>19621.20</w:t>
      </w:r>
      <w:r>
        <w:rPr>
          <w:rFonts w:hint="eastAsia"/>
          <w:color w:val="auto"/>
          <w:highlight w:val="none"/>
        </w:rPr>
        <w:t>㎡，其中</w:t>
      </w:r>
      <w:r>
        <w:rPr>
          <w:rFonts w:hint="eastAsia"/>
          <w:color w:val="auto"/>
          <w:highlight w:val="none"/>
          <w:lang w:val="en-US" w:eastAsia="zh-CN"/>
        </w:rPr>
        <w:t>室外</w:t>
      </w:r>
      <w:r>
        <w:rPr>
          <w:rFonts w:hint="eastAsia"/>
          <w:color w:val="auto"/>
          <w:highlight w:val="none"/>
        </w:rPr>
        <w:t>绿地面积5050.05㎡，</w:t>
      </w:r>
      <w:r>
        <w:rPr>
          <w:rFonts w:hint="eastAsia"/>
          <w:color w:val="auto"/>
          <w:highlight w:val="none"/>
          <w:lang w:val="en-US" w:eastAsia="zh-CN"/>
        </w:rPr>
        <w:t>绿化屋面面积为1235.57</w:t>
      </w:r>
      <w:r>
        <w:rPr>
          <w:rFonts w:hint="eastAsia"/>
          <w:color w:val="auto"/>
          <w:highlight w:val="none"/>
        </w:rPr>
        <w:t>㎡</w:t>
      </w:r>
      <w:r>
        <w:rPr>
          <w:rFonts w:hint="eastAsia"/>
          <w:color w:val="auto"/>
          <w:highlight w:val="none"/>
          <w:lang w:eastAsia="zh-CN"/>
        </w:rPr>
        <w:t>，</w:t>
      </w:r>
      <w:r>
        <w:rPr>
          <w:rFonts w:hint="eastAsia"/>
          <w:color w:val="auto"/>
          <w:highlight w:val="none"/>
        </w:rPr>
        <w:t>室外透水铺装面积为5488.50 ㎡，本项目场地硬化面积为7847.08㎡。</w:t>
      </w:r>
    </w:p>
    <w:p>
      <w:pPr>
        <w:spacing w:beforeLines="0" w:afterLines="0"/>
        <w:ind w:firstLine="480"/>
        <w:rPr>
          <w:rFonts w:hint="default" w:eastAsia="宋体"/>
          <w:color w:val="auto"/>
          <w:highlight w:val="none"/>
          <w:lang w:val="en-US" w:eastAsia="zh-CN"/>
        </w:rPr>
      </w:pPr>
      <w:r>
        <w:rPr>
          <w:rFonts w:hint="eastAsia"/>
          <w:color w:val="auto"/>
          <w:highlight w:val="none"/>
        </w:rPr>
        <w:t>本项目场地硬化面积</w:t>
      </w:r>
      <w:r>
        <w:rPr>
          <w:rFonts w:hint="eastAsia"/>
          <w:color w:val="auto"/>
          <w:highlight w:val="none"/>
          <w:lang w:val="en-US" w:eastAsia="zh-CN"/>
        </w:rPr>
        <w:t>未</w:t>
      </w:r>
      <w:r>
        <w:rPr>
          <w:rFonts w:hint="eastAsia"/>
          <w:color w:val="auto"/>
          <w:highlight w:val="none"/>
          <w:lang w:eastAsia="zh-CN"/>
        </w:rPr>
        <w:t>超过</w:t>
      </w:r>
      <w:r>
        <w:rPr>
          <w:rFonts w:hint="eastAsia"/>
          <w:color w:val="auto"/>
          <w:highlight w:val="none"/>
        </w:rPr>
        <w:t>1万平方米，</w:t>
      </w:r>
      <w:r>
        <w:rPr>
          <w:rFonts w:hint="eastAsia"/>
          <w:color w:val="auto"/>
          <w:highlight w:val="none"/>
          <w:lang w:val="en-US" w:eastAsia="zh-CN"/>
        </w:rPr>
        <w:t>满足设计要求。</w:t>
      </w:r>
    </w:p>
    <w:p>
      <w:pPr>
        <w:spacing w:before="156" w:after="156"/>
        <w:ind w:firstLine="420"/>
        <w:rPr>
          <w:rFonts w:hAnsi="宋体" w:cs="宋体"/>
          <w:color w:val="auto"/>
          <w:sz w:val="21"/>
          <w:szCs w:val="21"/>
          <w:highlight w:val="none"/>
        </w:rPr>
      </w:pPr>
      <w:r>
        <w:rPr>
          <w:rFonts w:hint="eastAsia" w:hAnsi="宋体" w:cs="宋体"/>
          <w:color w:val="auto"/>
          <w:sz w:val="21"/>
          <w:szCs w:val="21"/>
          <w:highlight w:val="none"/>
        </w:rPr>
        <w:t>注：场地硬化面积：包括建设用地范围内的道路、广场、庭院等部分的硬化面积，具体计算办法为“硬化面积=建设用地面积-绿地面积（包括实现绿化的屋顶）-透水铺装用地面积”。</w:t>
      </w:r>
    </w:p>
    <w:p>
      <w:pPr>
        <w:pStyle w:val="3"/>
        <w:spacing w:before="156" w:after="156"/>
        <w:rPr>
          <w:color w:val="auto"/>
          <w:highlight w:val="none"/>
        </w:rPr>
      </w:pPr>
      <w:bookmarkStart w:id="61" w:name="_Toc5918"/>
      <w:bookmarkStart w:id="62" w:name="_Toc8332"/>
      <w:r>
        <w:rPr>
          <w:rFonts w:hint="eastAsia"/>
          <w:color w:val="auto"/>
          <w:highlight w:val="none"/>
        </w:rPr>
        <w:t>4.</w:t>
      </w:r>
      <w:r>
        <w:rPr>
          <w:rFonts w:hint="eastAsia"/>
          <w:color w:val="auto"/>
          <w:highlight w:val="none"/>
          <w:lang w:val="en-US" w:eastAsia="zh-CN"/>
        </w:rPr>
        <w:t>8</w:t>
      </w:r>
      <w:r>
        <w:rPr>
          <w:rFonts w:hint="eastAsia"/>
          <w:color w:val="auto"/>
          <w:highlight w:val="none"/>
        </w:rPr>
        <w:t>、雨水管网及设计暴雨重现期校核</w:t>
      </w:r>
      <w:bookmarkEnd w:id="61"/>
      <w:bookmarkEnd w:id="62"/>
    </w:p>
    <w:p>
      <w:pPr>
        <w:spacing w:before="156" w:after="156" w:line="360" w:lineRule="auto"/>
        <w:ind w:firstLine="480"/>
        <w:rPr>
          <w:rFonts w:cs="宋体"/>
          <w:color w:val="auto"/>
          <w:highlight w:val="none"/>
        </w:rPr>
      </w:pPr>
      <w:r>
        <w:rPr>
          <w:rFonts w:hint="eastAsia" w:cs="宋体"/>
          <w:color w:val="auto"/>
          <w:highlight w:val="none"/>
        </w:rPr>
        <w:t>根据规划设计要求，本项目场地内采用雨污分流的排水体制</w:t>
      </w:r>
      <w:r>
        <w:rPr>
          <w:rFonts w:hint="eastAsia" w:hAnsi="宋体"/>
          <w:color w:val="auto"/>
          <w:highlight w:val="none"/>
        </w:rPr>
        <w:t>。本项目场地雨水管网设计暴雨重现期为5年。</w:t>
      </w:r>
      <w:r>
        <w:rPr>
          <w:rFonts w:hint="eastAsia" w:hAnsi="宋体"/>
          <w:color w:val="auto"/>
          <w:highlight w:val="none"/>
          <w:lang w:val="en-US" w:eastAsia="zh-CN"/>
        </w:rPr>
        <w:t>本项目位于广州黄埔，</w:t>
      </w:r>
      <w:r>
        <w:rPr>
          <w:rFonts w:hint="eastAsia" w:hAnsi="宋体"/>
          <w:color w:val="auto"/>
          <w:highlight w:val="none"/>
        </w:rPr>
        <w:t>根据《《广州市海绵城市规划导则》（试行版）》的规定，</w:t>
      </w:r>
      <w:r>
        <w:rPr>
          <w:rFonts w:hint="eastAsia" w:cs="宋体"/>
          <w:color w:val="auto"/>
          <w:highlight w:val="none"/>
        </w:rPr>
        <w:t>广州市</w:t>
      </w:r>
      <w:r>
        <w:rPr>
          <w:rFonts w:hint="eastAsia" w:cs="宋体"/>
          <w:color w:val="auto"/>
          <w:highlight w:val="none"/>
          <w:lang w:val="en-US" w:eastAsia="zh-CN"/>
        </w:rPr>
        <w:t>黄埔区</w:t>
      </w:r>
      <w:r>
        <w:rPr>
          <w:rFonts w:hint="eastAsia" w:cs="宋体"/>
          <w:color w:val="auto"/>
          <w:highlight w:val="none"/>
        </w:rPr>
        <w:t>暴雨强度公式计算为：</w:t>
      </w:r>
    </w:p>
    <w:p>
      <w:pPr>
        <w:spacing w:before="156" w:after="156" w:line="360" w:lineRule="auto"/>
        <w:ind w:firstLine="480"/>
        <w:jc w:val="center"/>
        <w:rPr>
          <w:rFonts w:hAnsi="宋体"/>
          <w:color w:val="auto"/>
          <w:position w:val="-10"/>
          <w:szCs w:val="21"/>
          <w:highlight w:val="none"/>
        </w:rPr>
      </w:pPr>
      <w:r>
        <w:rPr>
          <w:rFonts w:hint="eastAsia" w:hAnsi="宋体"/>
          <w:color w:val="auto"/>
          <w:position w:val="-28"/>
          <w:szCs w:val="21"/>
          <w:highlight w:val="none"/>
        </w:rPr>
        <w:object>
          <v:shape id="_x0000_i1030" o:spt="75" type="#_x0000_t75" style="height:53.65pt;width:226.9pt;" o:ole="t" filled="f" o:preferrelative="t" stroked="f" coordsize="21600,21600">
            <v:path/>
            <v:fill on="f" focussize="0,0"/>
            <v:stroke on="f"/>
            <v:imagedata r:id="rId36" o:title=""/>
            <o:lock v:ext="edit" aspectratio="t"/>
            <w10:wrap type="none"/>
            <w10:anchorlock/>
          </v:shape>
          <o:OLEObject Type="Embed" ProgID="Equation.3" ShapeID="_x0000_i1030" DrawAspect="Content" ObjectID="_1468075730" r:id="rId35">
            <o:LockedField>false</o:LockedField>
          </o:OLEObject>
        </w:object>
      </w:r>
    </w:p>
    <w:p>
      <w:pPr>
        <w:spacing w:before="156" w:after="156" w:line="360" w:lineRule="auto"/>
        <w:ind w:firstLine="480"/>
        <w:rPr>
          <w:rFonts w:hAnsi="宋体"/>
          <w:color w:val="auto"/>
          <w:position w:val="-10"/>
          <w:highlight w:val="none"/>
        </w:rPr>
      </w:pPr>
      <w:r>
        <w:rPr>
          <w:rFonts w:hint="eastAsia" w:hAnsi="宋体"/>
          <w:color w:val="auto"/>
          <w:position w:val="-10"/>
          <w:highlight w:val="none"/>
        </w:rPr>
        <w:t>式中：q--设计暴雨强度，L/(s.ha)；</w:t>
      </w:r>
    </w:p>
    <w:p>
      <w:pPr>
        <w:spacing w:before="156" w:after="156" w:line="360" w:lineRule="auto"/>
        <w:ind w:left="1507" w:leftChars="228" w:hanging="960" w:hangingChars="400"/>
        <w:rPr>
          <w:rFonts w:hAnsi="宋体"/>
          <w:color w:val="auto"/>
          <w:position w:val="-10"/>
          <w:highlight w:val="none"/>
        </w:rPr>
      </w:pPr>
      <w:r>
        <w:rPr>
          <w:rFonts w:hint="eastAsia" w:hAnsi="宋体"/>
          <w:color w:val="auto"/>
          <w:position w:val="-10"/>
          <w:highlight w:val="none"/>
        </w:rPr>
        <w:t xml:space="preserve">      t--降雨历时时间，min；本项目雨水主管降雨历时时间取10分钟。</w:t>
      </w:r>
    </w:p>
    <w:p>
      <w:pPr>
        <w:spacing w:before="156" w:after="156" w:line="360" w:lineRule="auto"/>
        <w:ind w:firstLine="480"/>
        <w:rPr>
          <w:rFonts w:hint="default" w:eastAsia="宋体" w:cs="宋体"/>
          <w:color w:val="auto"/>
          <w:highlight w:val="none"/>
          <w:lang w:val="en-US" w:eastAsia="zh-CN"/>
        </w:rPr>
      </w:pPr>
      <w:r>
        <w:rPr>
          <w:rFonts w:hint="eastAsia" w:cs="宋体"/>
          <w:color w:val="auto"/>
          <w:highlight w:val="none"/>
          <w:lang w:val="en-US" w:eastAsia="zh-CN"/>
        </w:rPr>
        <w:t>通过计算可知，本项目设计暴雨强度q为509.97L/(s.ha)。</w:t>
      </w:r>
    </w:p>
    <w:p>
      <w:pPr>
        <w:spacing w:before="156" w:after="156" w:line="360" w:lineRule="auto"/>
        <w:ind w:firstLine="480"/>
        <w:rPr>
          <w:rFonts w:hAnsi="宋体"/>
          <w:color w:val="auto"/>
          <w:position w:val="-12"/>
          <w:szCs w:val="21"/>
          <w:highlight w:val="none"/>
        </w:rPr>
      </w:pPr>
      <w:r>
        <w:rPr>
          <w:rFonts w:hint="eastAsia" w:cs="宋体"/>
          <w:color w:val="auto"/>
          <w:highlight w:val="none"/>
        </w:rPr>
        <w:t>根据《室外排水设计规范》（GB50014-2006（2016版）中条文3.2.1条规定，场地的雨水设计流量计算公式为：</w:t>
      </w:r>
    </w:p>
    <w:p>
      <w:pPr>
        <w:spacing w:before="156" w:after="156" w:line="360" w:lineRule="auto"/>
        <w:ind w:firstLine="480"/>
        <w:jc w:val="center"/>
        <w:rPr>
          <w:rFonts w:hAnsi="宋体"/>
          <w:color w:val="auto"/>
          <w:position w:val="-10"/>
          <w:szCs w:val="21"/>
          <w:highlight w:val="none"/>
        </w:rPr>
      </w:pPr>
      <w:r>
        <w:rPr>
          <w:rFonts w:hint="eastAsia" w:hAnsi="宋体"/>
          <w:color w:val="auto"/>
          <w:position w:val="-12"/>
          <w:szCs w:val="21"/>
          <w:highlight w:val="none"/>
        </w:rPr>
        <w:object>
          <v:shape id="_x0000_i1031" o:spt="75" type="#_x0000_t75" style="height:28.05pt;width:77.45pt;" o:ole="t"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1" r:id="rId37">
            <o:LockedField>false</o:LockedField>
          </o:OLEObject>
        </w:object>
      </w:r>
    </w:p>
    <w:p>
      <w:pPr>
        <w:spacing w:before="156" w:after="156" w:line="360" w:lineRule="auto"/>
        <w:ind w:firstLine="480"/>
        <w:rPr>
          <w:rFonts w:hAnsi="宋体"/>
          <w:color w:val="auto"/>
          <w:position w:val="-10"/>
          <w:highlight w:val="none"/>
        </w:rPr>
      </w:pPr>
      <w:r>
        <w:rPr>
          <w:rFonts w:hint="eastAsia" w:hAnsi="宋体"/>
          <w:color w:val="auto"/>
          <w:position w:val="-10"/>
          <w:highlight w:val="none"/>
        </w:rPr>
        <w:t>式中：Q</w:t>
      </w:r>
      <w:r>
        <w:rPr>
          <w:rFonts w:hint="eastAsia" w:hAnsi="宋体"/>
          <w:color w:val="auto"/>
          <w:position w:val="-10"/>
          <w:highlight w:val="none"/>
          <w:vertAlign w:val="subscript"/>
        </w:rPr>
        <w:t>S</w:t>
      </w:r>
      <w:r>
        <w:rPr>
          <w:rFonts w:hint="eastAsia" w:hAnsi="宋体"/>
          <w:color w:val="auto"/>
          <w:position w:val="-10"/>
          <w:highlight w:val="none"/>
        </w:rPr>
        <w:t>--雨水设计流量，L/s；</w:t>
      </w:r>
    </w:p>
    <w:p>
      <w:pPr>
        <w:spacing w:before="156" w:after="156" w:line="360" w:lineRule="auto"/>
        <w:ind w:firstLine="480"/>
        <w:rPr>
          <w:rFonts w:hAnsi="宋体"/>
          <w:color w:val="auto"/>
          <w:position w:val="-10"/>
          <w:highlight w:val="none"/>
        </w:rPr>
      </w:pPr>
      <w:r>
        <w:rPr>
          <w:rFonts w:hint="eastAsia" w:hAnsi="宋体"/>
          <w:color w:val="auto"/>
          <w:position w:val="-10"/>
          <w:highlight w:val="none"/>
        </w:rPr>
        <w:t xml:space="preserve">      ψ--径流系数；</w:t>
      </w:r>
    </w:p>
    <w:p>
      <w:pPr>
        <w:spacing w:before="156" w:after="156" w:line="360" w:lineRule="auto"/>
        <w:ind w:firstLine="480"/>
        <w:rPr>
          <w:rFonts w:hAnsi="宋体"/>
          <w:color w:val="auto"/>
          <w:position w:val="-10"/>
          <w:highlight w:val="none"/>
        </w:rPr>
      </w:pPr>
      <w:r>
        <w:rPr>
          <w:rFonts w:hint="eastAsia" w:hAnsi="宋体"/>
          <w:color w:val="auto"/>
          <w:position w:val="-10"/>
          <w:highlight w:val="none"/>
        </w:rPr>
        <w:t xml:space="preserve">      F--汇水面积（ha）；</w:t>
      </w:r>
    </w:p>
    <w:p>
      <w:pPr>
        <w:spacing w:before="156" w:after="156" w:line="360" w:lineRule="auto"/>
        <w:ind w:firstLine="480"/>
        <w:rPr>
          <w:rFonts w:hint="eastAsia" w:hAnsi="宋体"/>
          <w:color w:val="auto"/>
          <w:position w:val="-10"/>
          <w:highlight w:val="none"/>
        </w:rPr>
      </w:pPr>
      <w:r>
        <w:rPr>
          <w:rFonts w:hint="eastAsia" w:hAnsi="宋体"/>
          <w:color w:val="auto"/>
          <w:position w:val="-10"/>
          <w:highlight w:val="none"/>
        </w:rPr>
        <w:t>本项目室外埋地管全部采用双壁波纹管（粗糙系数取0.011）。根据《室外排水设计规范》（GB50014-2006（2016版）中4.2.1条及4.2.2条规定公示可以计算分析各汇水分区设计暴雨强度下雨水径流峰值及雨水管网的接纳能力，计算过程如下：</w:t>
      </w:r>
    </w:p>
    <w:p>
      <w:pPr>
        <w:spacing w:before="156" w:after="156" w:line="360" w:lineRule="auto"/>
        <w:ind w:firstLine="480"/>
        <w:rPr>
          <w:rFonts w:hint="eastAsia" w:hAnsi="宋体"/>
          <w:color w:val="auto"/>
          <w:position w:val="-10"/>
          <w:highlight w:val="none"/>
        </w:rPr>
      </w:pPr>
    </w:p>
    <w:p>
      <w:pPr>
        <w:spacing w:before="156" w:after="156" w:line="360" w:lineRule="auto"/>
        <w:ind w:firstLine="480"/>
        <w:rPr>
          <w:rFonts w:hint="eastAsia" w:hAnsi="宋体"/>
          <w:color w:val="auto"/>
          <w:position w:val="-10"/>
          <w:highlight w:val="none"/>
        </w:rPr>
      </w:pPr>
    </w:p>
    <w:p>
      <w:pPr>
        <w:spacing w:before="156" w:after="156" w:line="360" w:lineRule="auto"/>
        <w:ind w:firstLine="480"/>
        <w:rPr>
          <w:rFonts w:hint="eastAsia" w:hAnsi="宋体"/>
          <w:color w:val="auto"/>
          <w:position w:val="-10"/>
          <w:highlight w:val="none"/>
        </w:rPr>
      </w:pPr>
    </w:p>
    <w:p>
      <w:pPr>
        <w:autoSpaceDE/>
        <w:autoSpaceDN/>
        <w:adjustRightInd/>
        <w:spacing w:beforeLines="0" w:afterLines="0" w:line="360" w:lineRule="auto"/>
        <w:ind w:firstLine="482"/>
        <w:jc w:val="center"/>
        <w:rPr>
          <w:rFonts w:hAnsi="宋体" w:cs="宋体"/>
          <w:b/>
          <w:bCs/>
          <w:color w:val="auto"/>
          <w:highlight w:val="none"/>
        </w:rPr>
      </w:pPr>
      <w:r>
        <w:rPr>
          <w:rFonts w:hint="eastAsia" w:hAnsi="宋体" w:cs="宋体"/>
          <w:b/>
          <w:bCs/>
          <w:color w:val="auto"/>
          <w:highlight w:val="none"/>
        </w:rPr>
        <w:t>表4-1</w:t>
      </w:r>
      <w:r>
        <w:rPr>
          <w:rFonts w:hint="eastAsia" w:hAnsi="宋体" w:cs="宋体"/>
          <w:b/>
          <w:bCs/>
          <w:color w:val="auto"/>
          <w:highlight w:val="none"/>
          <w:lang w:val="en-US" w:eastAsia="zh-CN"/>
        </w:rPr>
        <w:t>6</w:t>
      </w:r>
      <w:r>
        <w:rPr>
          <w:rFonts w:hint="eastAsia" w:hAnsi="宋体" w:cs="宋体"/>
          <w:b/>
          <w:bCs/>
          <w:color w:val="auto"/>
          <w:highlight w:val="none"/>
        </w:rPr>
        <w:t xml:space="preserve">  各汇水分区雨水管网设计校核</w:t>
      </w:r>
    </w:p>
    <w:tbl>
      <w:tblPr>
        <w:tblStyle w:val="42"/>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05"/>
        <w:gridCol w:w="1024"/>
        <w:gridCol w:w="963"/>
        <w:gridCol w:w="1583"/>
        <w:gridCol w:w="1167"/>
        <w:gridCol w:w="1249"/>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1505" w:type="dxa"/>
            <w:shd w:val="clear" w:color="auto" w:fill="auto"/>
            <w:tcMar>
              <w:top w:w="15" w:type="dxa"/>
              <w:left w:w="15" w:type="dxa"/>
              <w:right w:w="15" w:type="dxa"/>
            </w:tcMar>
            <w:vAlign w:val="center"/>
          </w:tcPr>
          <w:p>
            <w:pPr>
              <w:pStyle w:val="51"/>
              <w:adjustRightInd w:val="0"/>
              <w:snapToGrid w:val="0"/>
              <w:spacing w:beforeLines="0" w:afterLines="0"/>
              <w:jc w:val="center"/>
              <w:rPr>
                <w:color w:val="auto"/>
                <w:highlight w:val="none"/>
              </w:rPr>
            </w:pPr>
            <w:r>
              <w:rPr>
                <w:rFonts w:hint="eastAsia"/>
                <w:color w:val="auto"/>
                <w:highlight w:val="none"/>
              </w:rPr>
              <w:t>汇水区域</w:t>
            </w:r>
          </w:p>
        </w:tc>
        <w:tc>
          <w:tcPr>
            <w:tcW w:w="1024" w:type="dxa"/>
            <w:shd w:val="clear" w:color="auto" w:fill="auto"/>
            <w:tcMar>
              <w:top w:w="15" w:type="dxa"/>
              <w:left w:w="15" w:type="dxa"/>
              <w:right w:w="15" w:type="dxa"/>
            </w:tcMar>
            <w:vAlign w:val="center"/>
          </w:tcPr>
          <w:p>
            <w:pPr>
              <w:pStyle w:val="51"/>
              <w:adjustRightInd w:val="0"/>
              <w:snapToGrid w:val="0"/>
              <w:spacing w:beforeLines="0" w:afterLines="0"/>
              <w:jc w:val="center"/>
              <w:rPr>
                <w:color w:val="auto"/>
                <w:highlight w:val="none"/>
              </w:rPr>
            </w:pPr>
            <w:r>
              <w:rPr>
                <w:rFonts w:hint="eastAsia"/>
                <w:color w:val="auto"/>
                <w:highlight w:val="none"/>
              </w:rPr>
              <w:t>汇水</w:t>
            </w:r>
          </w:p>
          <w:p>
            <w:pPr>
              <w:pStyle w:val="51"/>
              <w:adjustRightInd w:val="0"/>
              <w:snapToGrid w:val="0"/>
              <w:spacing w:beforeLines="0" w:afterLines="0"/>
              <w:jc w:val="center"/>
              <w:rPr>
                <w:color w:val="auto"/>
                <w:highlight w:val="none"/>
              </w:rPr>
            </w:pPr>
            <w:r>
              <w:rPr>
                <w:rFonts w:hint="eastAsia"/>
                <w:color w:val="auto"/>
                <w:highlight w:val="none"/>
              </w:rPr>
              <w:t>面积（</w:t>
            </w:r>
            <w:r>
              <w:rPr>
                <w:rFonts w:hint="eastAsia"/>
                <w:color w:val="auto"/>
                <w:highlight w:val="none"/>
                <w:lang w:eastAsia="zh-CN"/>
              </w:rPr>
              <w:t>㎡</w:t>
            </w:r>
            <w:r>
              <w:rPr>
                <w:rFonts w:hint="eastAsia"/>
                <w:color w:val="auto"/>
                <w:highlight w:val="none"/>
              </w:rPr>
              <w:t>）</w:t>
            </w:r>
          </w:p>
        </w:tc>
        <w:tc>
          <w:tcPr>
            <w:tcW w:w="963" w:type="dxa"/>
            <w:shd w:val="clear" w:color="auto" w:fill="auto"/>
            <w:tcMar>
              <w:top w:w="15" w:type="dxa"/>
              <w:left w:w="15" w:type="dxa"/>
              <w:right w:w="15" w:type="dxa"/>
            </w:tcMar>
            <w:vAlign w:val="center"/>
          </w:tcPr>
          <w:p>
            <w:pPr>
              <w:pStyle w:val="51"/>
              <w:adjustRightInd w:val="0"/>
              <w:snapToGrid w:val="0"/>
              <w:spacing w:beforeLines="0" w:afterLines="0"/>
              <w:jc w:val="center"/>
              <w:rPr>
                <w:color w:val="auto"/>
                <w:highlight w:val="none"/>
              </w:rPr>
            </w:pPr>
            <w:r>
              <w:rPr>
                <w:rFonts w:hint="eastAsia"/>
                <w:color w:val="auto"/>
                <w:highlight w:val="none"/>
              </w:rPr>
              <w:t>径流系数</w:t>
            </w:r>
          </w:p>
          <w:p>
            <w:pPr>
              <w:pStyle w:val="51"/>
              <w:adjustRightInd w:val="0"/>
              <w:snapToGrid w:val="0"/>
              <w:spacing w:beforeLines="0" w:afterLines="0"/>
              <w:jc w:val="center"/>
              <w:rPr>
                <w:color w:val="auto"/>
                <w:highlight w:val="none"/>
              </w:rPr>
            </w:pPr>
            <w:r>
              <w:rPr>
                <w:rFonts w:hint="eastAsia"/>
                <w:color w:val="auto"/>
                <w:highlight w:val="none"/>
              </w:rPr>
              <w:t>ψ</w:t>
            </w:r>
          </w:p>
        </w:tc>
        <w:tc>
          <w:tcPr>
            <w:tcW w:w="1583" w:type="dxa"/>
            <w:shd w:val="clear" w:color="auto" w:fill="auto"/>
            <w:tcMar>
              <w:top w:w="15" w:type="dxa"/>
              <w:left w:w="15" w:type="dxa"/>
              <w:right w:w="15" w:type="dxa"/>
            </w:tcMar>
            <w:vAlign w:val="center"/>
          </w:tcPr>
          <w:p>
            <w:pPr>
              <w:pStyle w:val="51"/>
              <w:adjustRightInd w:val="0"/>
              <w:snapToGrid w:val="0"/>
              <w:spacing w:beforeLines="0" w:afterLines="0"/>
              <w:jc w:val="center"/>
              <w:rPr>
                <w:color w:val="auto"/>
                <w:highlight w:val="none"/>
              </w:rPr>
            </w:pPr>
            <w:r>
              <w:rPr>
                <w:rFonts w:hint="eastAsia"/>
                <w:color w:val="auto"/>
                <w:highlight w:val="none"/>
              </w:rPr>
              <w:t>雨水设计流量（L/s）</w:t>
            </w:r>
          </w:p>
        </w:tc>
        <w:tc>
          <w:tcPr>
            <w:tcW w:w="1167" w:type="dxa"/>
            <w:shd w:val="clear" w:color="auto" w:fill="auto"/>
            <w:tcMar>
              <w:top w:w="15" w:type="dxa"/>
              <w:left w:w="15" w:type="dxa"/>
              <w:right w:w="15" w:type="dxa"/>
            </w:tcMar>
            <w:vAlign w:val="center"/>
          </w:tcPr>
          <w:p>
            <w:pPr>
              <w:pStyle w:val="51"/>
              <w:adjustRightInd w:val="0"/>
              <w:snapToGrid w:val="0"/>
              <w:spacing w:beforeLines="0" w:afterLines="0"/>
              <w:jc w:val="center"/>
              <w:rPr>
                <w:color w:val="auto"/>
                <w:highlight w:val="none"/>
              </w:rPr>
            </w:pPr>
            <w:r>
              <w:rPr>
                <w:rFonts w:hint="eastAsia"/>
                <w:color w:val="auto"/>
                <w:highlight w:val="none"/>
              </w:rPr>
              <w:t>雨水排出口</w:t>
            </w:r>
          </w:p>
          <w:p>
            <w:pPr>
              <w:pStyle w:val="51"/>
              <w:adjustRightInd w:val="0"/>
              <w:snapToGrid w:val="0"/>
              <w:spacing w:beforeLines="0" w:afterLines="0"/>
              <w:jc w:val="center"/>
              <w:rPr>
                <w:color w:val="auto"/>
                <w:highlight w:val="none"/>
              </w:rPr>
            </w:pPr>
            <w:r>
              <w:rPr>
                <w:rFonts w:hint="eastAsia"/>
                <w:color w:val="auto"/>
                <w:highlight w:val="none"/>
              </w:rPr>
              <w:t>管径</w:t>
            </w:r>
          </w:p>
        </w:tc>
        <w:tc>
          <w:tcPr>
            <w:tcW w:w="1249" w:type="dxa"/>
            <w:shd w:val="clear" w:color="auto" w:fill="auto"/>
            <w:tcMar>
              <w:top w:w="15" w:type="dxa"/>
              <w:left w:w="15" w:type="dxa"/>
              <w:right w:w="15" w:type="dxa"/>
            </w:tcMar>
            <w:vAlign w:val="center"/>
          </w:tcPr>
          <w:p>
            <w:pPr>
              <w:pStyle w:val="51"/>
              <w:adjustRightInd w:val="0"/>
              <w:snapToGrid w:val="0"/>
              <w:spacing w:beforeLines="0" w:afterLines="0"/>
              <w:jc w:val="center"/>
              <w:rPr>
                <w:color w:val="auto"/>
                <w:highlight w:val="none"/>
              </w:rPr>
            </w:pPr>
            <w:r>
              <w:rPr>
                <w:rFonts w:hint="eastAsia"/>
                <w:color w:val="auto"/>
                <w:highlight w:val="none"/>
              </w:rPr>
              <w:t>满流时流速</w:t>
            </w:r>
          </w:p>
          <w:p>
            <w:pPr>
              <w:pStyle w:val="51"/>
              <w:adjustRightInd w:val="0"/>
              <w:snapToGrid w:val="0"/>
              <w:spacing w:beforeLines="0" w:afterLines="0"/>
              <w:jc w:val="center"/>
              <w:rPr>
                <w:color w:val="auto"/>
                <w:highlight w:val="none"/>
              </w:rPr>
            </w:pPr>
            <w:r>
              <w:rPr>
                <w:rFonts w:hint="eastAsia"/>
                <w:color w:val="auto"/>
                <w:highlight w:val="none"/>
              </w:rPr>
              <w:t>（m/s）</w:t>
            </w:r>
          </w:p>
        </w:tc>
        <w:tc>
          <w:tcPr>
            <w:tcW w:w="1504" w:type="dxa"/>
            <w:shd w:val="clear" w:color="auto" w:fill="auto"/>
            <w:tcMar>
              <w:top w:w="15" w:type="dxa"/>
              <w:left w:w="15" w:type="dxa"/>
              <w:right w:w="15" w:type="dxa"/>
            </w:tcMar>
            <w:vAlign w:val="center"/>
          </w:tcPr>
          <w:p>
            <w:pPr>
              <w:pStyle w:val="51"/>
              <w:adjustRightInd w:val="0"/>
              <w:snapToGrid w:val="0"/>
              <w:spacing w:beforeLines="0" w:afterLines="0"/>
              <w:jc w:val="center"/>
              <w:rPr>
                <w:color w:val="auto"/>
                <w:highlight w:val="none"/>
              </w:rPr>
            </w:pPr>
            <w:r>
              <w:rPr>
                <w:rFonts w:hint="eastAsia"/>
                <w:color w:val="auto"/>
                <w:highlight w:val="none"/>
              </w:rPr>
              <w:t>设计水力</w:t>
            </w:r>
          </w:p>
          <w:p>
            <w:pPr>
              <w:pStyle w:val="51"/>
              <w:adjustRightInd w:val="0"/>
              <w:snapToGrid w:val="0"/>
              <w:spacing w:beforeLines="0" w:afterLines="0"/>
              <w:jc w:val="center"/>
              <w:rPr>
                <w:color w:val="auto"/>
                <w:highlight w:val="none"/>
              </w:rPr>
            </w:pPr>
            <w:r>
              <w:rPr>
                <w:rFonts w:hint="eastAsia"/>
                <w:color w:val="auto"/>
                <w:highlight w:val="none"/>
              </w:rPr>
              <w:t>坡度最小值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505"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总地块</w:t>
            </w:r>
          </w:p>
        </w:tc>
        <w:tc>
          <w:tcPr>
            <w:tcW w:w="1024"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hAnsi="宋体" w:cs="宋体"/>
                <w:i w:val="0"/>
                <w:color w:val="auto"/>
                <w:kern w:val="0"/>
                <w:sz w:val="21"/>
                <w:szCs w:val="21"/>
                <w:highlight w:val="none"/>
                <w:u w:val="none"/>
                <w:lang w:val="en-US" w:eastAsia="zh-CN" w:bidi="ar"/>
              </w:rPr>
              <w:t>19621.20</w:t>
            </w:r>
          </w:p>
        </w:tc>
        <w:tc>
          <w:tcPr>
            <w:tcW w:w="963"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hAnsi="宋体" w:cs="宋体"/>
                <w:i w:val="0"/>
                <w:color w:val="auto"/>
                <w:kern w:val="0"/>
                <w:sz w:val="21"/>
                <w:szCs w:val="21"/>
                <w:highlight w:val="none"/>
                <w:u w:val="none"/>
                <w:lang w:val="en-US" w:eastAsia="zh-CN" w:bidi="ar"/>
              </w:rPr>
              <w:t>0.516</w:t>
            </w:r>
          </w:p>
        </w:tc>
        <w:tc>
          <w:tcPr>
            <w:tcW w:w="1583"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hAnsi="宋体" w:cs="宋体"/>
                <w:i w:val="0"/>
                <w:color w:val="auto"/>
                <w:kern w:val="0"/>
                <w:sz w:val="21"/>
                <w:szCs w:val="21"/>
                <w:highlight w:val="none"/>
                <w:u w:val="none"/>
                <w:lang w:val="en-US" w:eastAsia="zh-CN" w:bidi="ar"/>
              </w:rPr>
              <w:t>516.10</w:t>
            </w:r>
          </w:p>
        </w:tc>
        <w:tc>
          <w:tcPr>
            <w:tcW w:w="1167"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DN</w:t>
            </w:r>
            <w:r>
              <w:rPr>
                <w:rFonts w:hint="eastAsia" w:hAnsi="宋体" w:cs="宋体"/>
                <w:i w:val="0"/>
                <w:color w:val="auto"/>
                <w:kern w:val="0"/>
                <w:sz w:val="21"/>
                <w:szCs w:val="21"/>
                <w:highlight w:val="none"/>
                <w:u w:val="none"/>
                <w:lang w:val="en-US" w:eastAsia="zh-CN" w:bidi="ar"/>
              </w:rPr>
              <w:t>900</w:t>
            </w:r>
          </w:p>
        </w:tc>
        <w:tc>
          <w:tcPr>
            <w:tcW w:w="1249"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hAnsi="宋体" w:cs="宋体"/>
                <w:i w:val="0"/>
                <w:color w:val="auto"/>
                <w:kern w:val="0"/>
                <w:sz w:val="21"/>
                <w:szCs w:val="21"/>
                <w:highlight w:val="none"/>
                <w:u w:val="none"/>
                <w:lang w:val="en-US" w:eastAsia="zh-CN" w:bidi="ar"/>
              </w:rPr>
              <w:t>0.84</w:t>
            </w:r>
          </w:p>
        </w:tc>
        <w:tc>
          <w:tcPr>
            <w:tcW w:w="1504" w:type="dxa"/>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0.00</w:t>
            </w:r>
            <w:r>
              <w:rPr>
                <w:rFonts w:hint="eastAsia" w:hAnsi="宋体" w:cs="宋体"/>
                <w:i w:val="0"/>
                <w:color w:val="auto"/>
                <w:kern w:val="0"/>
                <w:sz w:val="21"/>
                <w:szCs w:val="21"/>
                <w:highlight w:val="none"/>
                <w:u w:val="none"/>
                <w:lang w:val="en-US" w:eastAsia="zh-CN" w:bidi="ar"/>
              </w:rPr>
              <w:t>0158</w:t>
            </w:r>
          </w:p>
        </w:tc>
      </w:tr>
    </w:tbl>
    <w:p>
      <w:pPr>
        <w:spacing w:before="156" w:after="156" w:line="360" w:lineRule="auto"/>
        <w:ind w:firstLine="480"/>
        <w:rPr>
          <w:rFonts w:hAnsi="宋体"/>
          <w:color w:val="auto"/>
          <w:position w:val="-10"/>
          <w:highlight w:val="none"/>
        </w:rPr>
      </w:pPr>
      <w:r>
        <w:rPr>
          <w:rFonts w:hint="eastAsia" w:hAnsi="宋体"/>
          <w:color w:val="auto"/>
          <w:position w:val="-10"/>
          <w:highlight w:val="none"/>
        </w:rPr>
        <w:t>因此本项目设计坡度i=0.003，各汇水分区雨水总管在满流时速度为介于0.75m/s至5m/s,雨水管网设计管径、坡度均满足《室外排水设计规范》（GB50014-2006（2016版）中条文4.2.5条、4.2.7条的规定。因此，本项目场地雨水管网设计暴雨重现期≥5年，雨水管网设计接纳能力满足对应暴雨重现期的要求。</w:t>
      </w:r>
    </w:p>
    <w:p>
      <w:pPr>
        <w:pStyle w:val="3"/>
        <w:spacing w:before="156" w:after="156"/>
        <w:rPr>
          <w:color w:val="auto"/>
          <w:highlight w:val="none"/>
        </w:rPr>
      </w:pPr>
      <w:bookmarkStart w:id="63" w:name="_Toc15132"/>
      <w:bookmarkStart w:id="64" w:name="_Toc31148"/>
      <w:r>
        <w:rPr>
          <w:rFonts w:hint="eastAsia"/>
          <w:color w:val="auto"/>
          <w:highlight w:val="none"/>
        </w:rPr>
        <w:t>4.</w:t>
      </w:r>
      <w:r>
        <w:rPr>
          <w:rFonts w:hint="eastAsia"/>
          <w:color w:val="auto"/>
          <w:highlight w:val="none"/>
          <w:lang w:val="en-US" w:eastAsia="zh-CN"/>
        </w:rPr>
        <w:t>9</w:t>
      </w:r>
      <w:r>
        <w:rPr>
          <w:rFonts w:hint="eastAsia"/>
          <w:color w:val="auto"/>
          <w:highlight w:val="none"/>
        </w:rPr>
        <w:t>、建设前后径流总量校核</w:t>
      </w:r>
      <w:bookmarkEnd w:id="63"/>
      <w:bookmarkEnd w:id="64"/>
    </w:p>
    <w:p>
      <w:pPr>
        <w:spacing w:before="156" w:after="156"/>
        <w:ind w:firstLine="480"/>
        <w:rPr>
          <w:color w:val="auto"/>
          <w:highlight w:val="none"/>
        </w:rPr>
      </w:pPr>
      <w:r>
        <w:rPr>
          <w:rFonts w:hint="eastAsia"/>
          <w:color w:val="auto"/>
          <w:highlight w:val="none"/>
        </w:rPr>
        <w:t>根据《雨水综合利用》10SS705，本项目建设前后的雨水设计径流总量可按下式计算：</w:t>
      </w:r>
    </w:p>
    <w:p>
      <w:pPr>
        <w:spacing w:before="156" w:after="156"/>
        <w:ind w:firstLine="480"/>
        <w:jc w:val="center"/>
        <w:rPr>
          <w:color w:val="auto"/>
          <w:highlight w:val="none"/>
        </w:rPr>
      </w:pPr>
      <w:r>
        <w:rPr>
          <w:rFonts w:hint="eastAsia"/>
          <w:color w:val="auto"/>
          <w:highlight w:val="none"/>
        </w:rPr>
        <w:t>W=10Ψ</w:t>
      </w:r>
      <w:r>
        <w:rPr>
          <w:rFonts w:hint="eastAsia"/>
          <w:color w:val="auto"/>
          <w:highlight w:val="none"/>
          <w:vertAlign w:val="subscript"/>
        </w:rPr>
        <w:t>c</w:t>
      </w:r>
      <w:r>
        <w:rPr>
          <w:rFonts w:hint="eastAsia"/>
          <w:color w:val="auto"/>
          <w:highlight w:val="none"/>
        </w:rPr>
        <w:t>h</w:t>
      </w:r>
      <w:r>
        <w:rPr>
          <w:rFonts w:hint="eastAsia"/>
          <w:color w:val="auto"/>
          <w:highlight w:val="none"/>
          <w:vertAlign w:val="subscript"/>
        </w:rPr>
        <w:t>d</w:t>
      </w:r>
      <w:r>
        <w:rPr>
          <w:rFonts w:hint="eastAsia"/>
          <w:color w:val="auto"/>
          <w:highlight w:val="none"/>
        </w:rPr>
        <w:t>F</w:t>
      </w:r>
    </w:p>
    <w:p>
      <w:pPr>
        <w:spacing w:before="156" w:after="156"/>
        <w:ind w:firstLine="480"/>
        <w:jc w:val="both"/>
        <w:rPr>
          <w:rFonts w:hAnsi="宋体" w:cs="宋体"/>
          <w:color w:val="auto"/>
          <w:highlight w:val="none"/>
        </w:rPr>
      </w:pPr>
      <w:r>
        <w:rPr>
          <w:rFonts w:hint="eastAsia"/>
          <w:color w:val="auto"/>
          <w:highlight w:val="none"/>
        </w:rPr>
        <w:t>式中：W</w:t>
      </w:r>
      <w:r>
        <w:rPr>
          <w:rFonts w:hint="eastAsia" w:hAnsi="宋体" w:cs="宋体"/>
          <w:color w:val="auto"/>
          <w:highlight w:val="none"/>
        </w:rPr>
        <w:t>--雨水设计径流总量(m³)；</w:t>
      </w:r>
    </w:p>
    <w:p>
      <w:pPr>
        <w:spacing w:before="156" w:after="156"/>
        <w:ind w:firstLine="1200" w:firstLineChars="500"/>
        <w:jc w:val="both"/>
        <w:rPr>
          <w:rFonts w:hAnsi="宋体" w:cs="宋体"/>
          <w:color w:val="auto"/>
          <w:highlight w:val="none"/>
        </w:rPr>
      </w:pPr>
      <w:r>
        <w:rPr>
          <w:rFonts w:hint="eastAsia" w:hAnsi="宋体" w:cs="宋体"/>
          <w:color w:val="auto"/>
          <w:highlight w:val="none"/>
        </w:rPr>
        <w:t>ψ</w:t>
      </w:r>
      <w:r>
        <w:rPr>
          <w:rFonts w:hint="eastAsia" w:hAnsi="宋体" w:cs="宋体"/>
          <w:color w:val="auto"/>
          <w:highlight w:val="none"/>
          <w:vertAlign w:val="subscript"/>
        </w:rPr>
        <w:t>c</w:t>
      </w:r>
      <w:r>
        <w:rPr>
          <w:rFonts w:hint="eastAsia" w:hAnsi="宋体" w:cs="宋体"/>
          <w:color w:val="auto"/>
          <w:highlight w:val="none"/>
        </w:rPr>
        <w:t>--综合雨量径流系数，按4.2章表4-3取值；</w:t>
      </w:r>
    </w:p>
    <w:p>
      <w:pPr>
        <w:spacing w:before="156" w:after="156"/>
        <w:ind w:firstLine="1200" w:firstLineChars="500"/>
        <w:jc w:val="both"/>
        <w:rPr>
          <w:rFonts w:hAnsi="宋体" w:cs="宋体"/>
          <w:color w:val="auto"/>
          <w:highlight w:val="none"/>
        </w:rPr>
      </w:pPr>
      <w:r>
        <w:rPr>
          <w:rFonts w:hint="eastAsia"/>
          <w:color w:val="auto"/>
          <w:highlight w:val="none"/>
        </w:rPr>
        <w:t>h</w:t>
      </w:r>
      <w:r>
        <w:rPr>
          <w:rFonts w:hint="eastAsia"/>
          <w:color w:val="auto"/>
          <w:highlight w:val="none"/>
          <w:vertAlign w:val="subscript"/>
        </w:rPr>
        <w:t>d</w:t>
      </w:r>
      <w:r>
        <w:rPr>
          <w:rFonts w:hint="eastAsia" w:hAnsi="宋体" w:cs="宋体"/>
          <w:color w:val="auto"/>
          <w:highlight w:val="none"/>
        </w:rPr>
        <w:t>--2年重现期最大日降雨厚度(mm)；</w:t>
      </w:r>
    </w:p>
    <w:p>
      <w:pPr>
        <w:spacing w:before="156" w:after="156"/>
        <w:ind w:firstLine="1200" w:firstLineChars="500"/>
        <w:jc w:val="both"/>
        <w:rPr>
          <w:rFonts w:hAnsi="宋体" w:cs="宋体"/>
          <w:color w:val="auto"/>
          <w:highlight w:val="none"/>
        </w:rPr>
      </w:pPr>
      <w:r>
        <w:rPr>
          <w:rFonts w:hint="eastAsia" w:hAnsi="宋体" w:cs="宋体"/>
          <w:color w:val="auto"/>
          <w:highlight w:val="none"/>
        </w:rPr>
        <w:t>F-硬化面汇水面积(hm</w:t>
      </w:r>
      <w:r>
        <w:rPr>
          <w:rFonts w:hint="eastAsia" w:hAnsi="宋体" w:cs="宋体"/>
          <w:color w:val="auto"/>
          <w:highlight w:val="none"/>
          <w:vertAlign w:val="superscript"/>
        </w:rPr>
        <w:t>2</w:t>
      </w:r>
      <w:r>
        <w:rPr>
          <w:rFonts w:hint="eastAsia" w:hAnsi="宋体" w:cs="宋体"/>
          <w:color w:val="auto"/>
          <w:highlight w:val="none"/>
        </w:rPr>
        <w:t>)。</w:t>
      </w:r>
    </w:p>
    <w:p>
      <w:pPr>
        <w:spacing w:before="156" w:after="156"/>
        <w:ind w:firstLine="480"/>
        <w:rPr>
          <w:rFonts w:hint="eastAsia" w:hAnsi="宋体" w:cs="宋体"/>
          <w:color w:val="auto"/>
          <w:highlight w:val="none"/>
        </w:rPr>
      </w:pPr>
      <w:r>
        <w:rPr>
          <w:rFonts w:hint="eastAsia"/>
          <w:color w:val="auto"/>
          <w:highlight w:val="none"/>
        </w:rPr>
        <w:t>根据《雨水综合利用》10SS705附表全国主要城市降雨量资料，广州市2年</w:t>
      </w:r>
      <w:r>
        <w:rPr>
          <w:rFonts w:hint="eastAsia" w:hAnsi="宋体" w:cs="宋体"/>
          <w:color w:val="auto"/>
          <w:highlight w:val="none"/>
        </w:rPr>
        <w:t>重现期最大日降雨厚度取106.8mm。</w:t>
      </w:r>
    </w:p>
    <w:p>
      <w:pPr>
        <w:keepNext w:val="0"/>
        <w:keepLines w:val="0"/>
        <w:pageBreakBefore w:val="0"/>
        <w:widowControl w:val="0"/>
        <w:kinsoku/>
        <w:wordWrap/>
        <w:overflowPunct/>
        <w:topLinePunct w:val="0"/>
        <w:autoSpaceDE w:val="0"/>
        <w:autoSpaceDN w:val="0"/>
        <w:bidi w:val="0"/>
        <w:adjustRightInd w:val="0"/>
        <w:snapToGrid/>
        <w:spacing w:before="156" w:after="156" w:line="324" w:lineRule="auto"/>
        <w:ind w:firstLine="480"/>
        <w:textAlignment w:val="auto"/>
        <w:rPr>
          <w:rFonts w:hAnsi="宋体" w:cs="宋体"/>
          <w:color w:val="auto"/>
          <w:highlight w:val="none"/>
        </w:rPr>
      </w:pPr>
      <w:r>
        <w:rPr>
          <w:rFonts w:hint="eastAsia" w:hAnsi="宋体" w:cs="宋体"/>
          <w:color w:val="auto"/>
          <w:highlight w:val="none"/>
        </w:rPr>
        <w:t>由场地地形图可知，本项目开发前为钢筋混凝土路面、荒地以及绿地，其开发前综合雨量径流系数如下所示：</w:t>
      </w:r>
    </w:p>
    <w:p>
      <w:pPr>
        <w:spacing w:before="156" w:after="156"/>
        <w:ind w:firstLine="482"/>
        <w:jc w:val="center"/>
        <w:rPr>
          <w:rFonts w:hint="eastAsia" w:hAnsi="宋体" w:cs="宋体"/>
          <w:b/>
          <w:bCs/>
          <w:color w:val="auto"/>
          <w:highlight w:val="none"/>
        </w:rPr>
        <w:sectPr>
          <w:pgSz w:w="11850" w:h="16783"/>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spacing w:before="156" w:after="156"/>
        <w:ind w:firstLine="482"/>
        <w:jc w:val="center"/>
        <w:rPr>
          <w:rFonts w:hAnsi="宋体" w:cs="宋体"/>
          <w:color w:val="auto"/>
          <w:highlight w:val="none"/>
        </w:rPr>
      </w:pPr>
      <w:r>
        <w:rPr>
          <w:rFonts w:hint="eastAsia" w:hAnsi="宋体" w:cs="宋体"/>
          <w:b/>
          <w:bCs/>
          <w:color w:val="auto"/>
          <w:highlight w:val="none"/>
        </w:rPr>
        <w:t>表4-</w:t>
      </w:r>
      <w:r>
        <w:rPr>
          <w:rFonts w:hAnsi="宋体" w:cs="宋体"/>
          <w:b/>
          <w:bCs/>
          <w:color w:val="auto"/>
          <w:highlight w:val="none"/>
        </w:rPr>
        <w:t>1</w:t>
      </w:r>
      <w:r>
        <w:rPr>
          <w:rFonts w:hint="eastAsia" w:hAnsi="宋体" w:cs="宋体"/>
          <w:b/>
          <w:bCs/>
          <w:color w:val="auto"/>
          <w:highlight w:val="none"/>
          <w:lang w:val="en-US" w:eastAsia="zh-CN"/>
        </w:rPr>
        <w:t>7</w:t>
      </w:r>
      <w:r>
        <w:rPr>
          <w:rFonts w:hint="eastAsia" w:hAnsi="宋体" w:cs="宋体"/>
          <w:b/>
          <w:bCs/>
          <w:color w:val="auto"/>
          <w:highlight w:val="none"/>
        </w:rPr>
        <w:t xml:space="preserve">  </w:t>
      </w:r>
      <w:r>
        <w:rPr>
          <w:rFonts w:hint="eastAsia" w:hAnsi="宋体" w:cs="宋体"/>
          <w:b/>
          <w:bCs/>
          <w:color w:val="auto"/>
          <w:highlight w:val="none"/>
          <w:lang w:val="en-US" w:eastAsia="zh-CN"/>
        </w:rPr>
        <w:t>项目建设前</w:t>
      </w:r>
      <w:r>
        <w:rPr>
          <w:rFonts w:hint="eastAsia" w:hAnsi="宋体" w:cs="宋体"/>
          <w:b/>
          <w:bCs/>
          <w:color w:val="auto"/>
          <w:highlight w:val="none"/>
        </w:rPr>
        <w:t>总地块综合雨量径流系数</w:t>
      </w:r>
    </w:p>
    <w:tbl>
      <w:tblPr>
        <w:tblStyle w:val="42"/>
        <w:tblW w:w="8504" w:type="dxa"/>
        <w:tblInd w:w="25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FFFFFF" w:themeFill="background1"/>
        <w:tblLayout w:type="autofit"/>
        <w:tblCellMar>
          <w:top w:w="0" w:type="dxa"/>
          <w:left w:w="108" w:type="dxa"/>
          <w:bottom w:w="0" w:type="dxa"/>
          <w:right w:w="108" w:type="dxa"/>
        </w:tblCellMar>
      </w:tblPr>
      <w:tblGrid>
        <w:gridCol w:w="1788"/>
        <w:gridCol w:w="1026"/>
        <w:gridCol w:w="2100"/>
        <w:gridCol w:w="35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FFFFFF" w:themeFill="background1"/>
          <w:tblCellMar>
            <w:top w:w="0" w:type="dxa"/>
            <w:left w:w="108" w:type="dxa"/>
            <w:bottom w:w="0" w:type="dxa"/>
            <w:right w:w="108" w:type="dxa"/>
          </w:tblCellMar>
        </w:tblPrEx>
        <w:trPr>
          <w:trHeight w:val="302" w:hRule="atLeast"/>
        </w:trPr>
        <w:tc>
          <w:tcPr>
            <w:tcW w:w="1788" w:type="dxa"/>
            <w:vMerge w:val="restart"/>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下垫面类型</w:t>
            </w:r>
          </w:p>
        </w:tc>
        <w:tc>
          <w:tcPr>
            <w:tcW w:w="1026" w:type="dxa"/>
            <w:vMerge w:val="restart"/>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编号</w:t>
            </w:r>
          </w:p>
        </w:tc>
        <w:tc>
          <w:tcPr>
            <w:tcW w:w="210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面积（㎡）</w:t>
            </w:r>
          </w:p>
        </w:tc>
        <w:tc>
          <w:tcPr>
            <w:tcW w:w="359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综合雨量径流系数取值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FFFFFF" w:themeFill="background1"/>
          <w:tblCellMar>
            <w:top w:w="0" w:type="dxa"/>
            <w:left w:w="108" w:type="dxa"/>
            <w:bottom w:w="0" w:type="dxa"/>
            <w:right w:w="108" w:type="dxa"/>
          </w:tblCellMar>
        </w:tblPrEx>
        <w:trPr>
          <w:trHeight w:val="302" w:hRule="atLeast"/>
        </w:trPr>
        <w:tc>
          <w:tcPr>
            <w:tcW w:w="1788" w:type="dxa"/>
            <w:vMerge w:val="continue"/>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p>
        </w:tc>
        <w:tc>
          <w:tcPr>
            <w:tcW w:w="1026" w:type="dxa"/>
            <w:vMerge w:val="continue"/>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p>
        </w:tc>
        <w:tc>
          <w:tcPr>
            <w:tcW w:w="210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eastAsia"/>
                <w:color w:val="auto"/>
                <w:highlight w:val="none"/>
              </w:rPr>
            </w:pPr>
            <w:r>
              <w:rPr>
                <w:rFonts w:hint="eastAsia"/>
                <w:color w:val="auto"/>
                <w:highlight w:val="none"/>
              </w:rPr>
              <w:t>A</w:t>
            </w:r>
          </w:p>
        </w:tc>
        <w:tc>
          <w:tcPr>
            <w:tcW w:w="359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eastAsia"/>
                <w:color w:val="auto"/>
                <w:highlight w:val="none"/>
              </w:rPr>
            </w:pPr>
            <w:r>
              <w:rPr>
                <w:rFonts w:hint="eastAsia"/>
                <w:color w:val="auto"/>
                <w:highlight w:val="none"/>
              </w:rPr>
              <w:t>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FFFFFF" w:themeFill="background1"/>
        </w:tblPrEx>
        <w:trPr>
          <w:trHeight w:val="802" w:hRule="exact"/>
        </w:trPr>
        <w:tc>
          <w:tcPr>
            <w:tcW w:w="1788"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eastAsia" w:eastAsia="宋体"/>
                <w:color w:val="auto"/>
                <w:highlight w:val="none"/>
                <w:lang w:eastAsia="zh-CN"/>
              </w:rPr>
            </w:pPr>
            <w:r>
              <w:rPr>
                <w:rFonts w:hint="eastAsia"/>
                <w:color w:val="auto"/>
                <w:highlight w:val="none"/>
                <w:lang w:eastAsia="zh-CN"/>
              </w:rPr>
              <w:t>荒地</w:t>
            </w:r>
          </w:p>
        </w:tc>
        <w:tc>
          <w:tcPr>
            <w:tcW w:w="1026"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1</w:t>
            </w:r>
          </w:p>
        </w:tc>
        <w:tc>
          <w:tcPr>
            <w:tcW w:w="210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default" w:eastAsia="宋体"/>
                <w:color w:val="auto"/>
                <w:highlight w:val="none"/>
                <w:lang w:val="en-US" w:eastAsia="zh-CN"/>
              </w:rPr>
            </w:pPr>
            <w:r>
              <w:rPr>
                <w:rFonts w:hint="eastAsia"/>
                <w:color w:val="auto"/>
                <w:highlight w:val="none"/>
                <w:lang w:val="en-US" w:eastAsia="zh-CN"/>
              </w:rPr>
              <w:t>9000.0</w:t>
            </w:r>
          </w:p>
        </w:tc>
        <w:tc>
          <w:tcPr>
            <w:tcW w:w="359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 xml:space="preserve">0.40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FFFFFF" w:themeFill="background1"/>
          <w:tblCellMar>
            <w:top w:w="0" w:type="dxa"/>
            <w:left w:w="108" w:type="dxa"/>
            <w:bottom w:w="0" w:type="dxa"/>
            <w:right w:w="108" w:type="dxa"/>
          </w:tblCellMar>
        </w:tblPrEx>
        <w:trPr>
          <w:trHeight w:val="690" w:hRule="exact"/>
        </w:trPr>
        <w:tc>
          <w:tcPr>
            <w:tcW w:w="1788"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eastAsia" w:eastAsia="宋体"/>
                <w:color w:val="auto"/>
                <w:highlight w:val="none"/>
                <w:lang w:eastAsia="zh-CN"/>
              </w:rPr>
            </w:pPr>
            <w:r>
              <w:rPr>
                <w:rFonts w:hint="eastAsia"/>
                <w:color w:val="auto"/>
                <w:highlight w:val="none"/>
                <w:lang w:eastAsia="zh-CN"/>
              </w:rPr>
              <w:t>钢筋混凝土</w:t>
            </w:r>
          </w:p>
        </w:tc>
        <w:tc>
          <w:tcPr>
            <w:tcW w:w="1026"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2</w:t>
            </w:r>
          </w:p>
        </w:tc>
        <w:tc>
          <w:tcPr>
            <w:tcW w:w="210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default" w:eastAsia="宋体"/>
                <w:color w:val="auto"/>
                <w:highlight w:val="none"/>
                <w:lang w:val="en-US" w:eastAsia="zh-CN"/>
              </w:rPr>
            </w:pPr>
            <w:r>
              <w:rPr>
                <w:rFonts w:hint="eastAsia"/>
                <w:color w:val="auto"/>
                <w:highlight w:val="none"/>
                <w:lang w:val="en-US" w:eastAsia="zh-CN"/>
              </w:rPr>
              <w:t>5621.20</w:t>
            </w:r>
          </w:p>
        </w:tc>
        <w:tc>
          <w:tcPr>
            <w:tcW w:w="359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FFFFFF" w:themeFill="background1"/>
          <w:tblCellMar>
            <w:top w:w="0" w:type="dxa"/>
            <w:left w:w="108" w:type="dxa"/>
            <w:bottom w:w="0" w:type="dxa"/>
            <w:right w:w="108" w:type="dxa"/>
          </w:tblCellMar>
        </w:tblPrEx>
        <w:trPr>
          <w:trHeight w:val="499" w:hRule="exact"/>
        </w:trPr>
        <w:tc>
          <w:tcPr>
            <w:tcW w:w="1788"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绿地</w:t>
            </w:r>
          </w:p>
        </w:tc>
        <w:tc>
          <w:tcPr>
            <w:tcW w:w="1026"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3</w:t>
            </w:r>
          </w:p>
        </w:tc>
        <w:tc>
          <w:tcPr>
            <w:tcW w:w="210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default" w:eastAsia="宋体"/>
                <w:color w:val="auto"/>
                <w:highlight w:val="none"/>
                <w:lang w:val="en-US" w:eastAsia="zh-CN"/>
              </w:rPr>
            </w:pPr>
            <w:r>
              <w:rPr>
                <w:rFonts w:hint="eastAsia"/>
                <w:color w:val="auto"/>
                <w:highlight w:val="none"/>
                <w:lang w:val="en-US" w:eastAsia="zh-CN"/>
              </w:rPr>
              <w:t>5000.00</w:t>
            </w:r>
          </w:p>
        </w:tc>
        <w:tc>
          <w:tcPr>
            <w:tcW w:w="359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eastAsia" w:eastAsia="宋体"/>
                <w:color w:val="auto"/>
                <w:highlight w:val="none"/>
                <w:lang w:eastAsia="zh-CN"/>
              </w:rPr>
            </w:pPr>
            <w:r>
              <w:rPr>
                <w:rFonts w:hint="eastAsia"/>
                <w:color w:val="auto"/>
                <w:highlight w:val="none"/>
              </w:rPr>
              <w:t>0.2</w:t>
            </w:r>
            <w:r>
              <w:rPr>
                <w:rFonts w:hint="eastAsia"/>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FFFFFF" w:themeFill="background1"/>
          <w:tblCellMar>
            <w:top w:w="0" w:type="dxa"/>
            <w:left w:w="108" w:type="dxa"/>
            <w:bottom w:w="0" w:type="dxa"/>
            <w:right w:w="108" w:type="dxa"/>
          </w:tblCellMar>
        </w:tblPrEx>
        <w:trPr>
          <w:trHeight w:val="499" w:hRule="exact"/>
        </w:trPr>
        <w:tc>
          <w:tcPr>
            <w:tcW w:w="1788"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default" w:eastAsia="宋体"/>
                <w:color w:val="auto"/>
                <w:highlight w:val="none"/>
                <w:lang w:val="en-US" w:eastAsia="zh-CN"/>
              </w:rPr>
            </w:pPr>
            <w:r>
              <w:rPr>
                <w:rFonts w:hint="eastAsia"/>
                <w:color w:val="auto"/>
                <w:highlight w:val="none"/>
                <w:lang w:val="en-US" w:eastAsia="zh-CN"/>
              </w:rPr>
              <w:t>合计</w:t>
            </w:r>
          </w:p>
        </w:tc>
        <w:tc>
          <w:tcPr>
            <w:tcW w:w="1026"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color w:val="auto"/>
                <w:highlight w:val="none"/>
              </w:rPr>
            </w:pPr>
            <w:r>
              <w:rPr>
                <w:rFonts w:hint="eastAsia"/>
                <w:color w:val="auto"/>
                <w:highlight w:val="none"/>
              </w:rPr>
              <w:t>4</w:t>
            </w:r>
          </w:p>
        </w:tc>
        <w:tc>
          <w:tcPr>
            <w:tcW w:w="210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default"/>
                <w:color w:val="auto"/>
                <w:highlight w:val="none"/>
                <w:lang w:val="en-US"/>
              </w:rPr>
            </w:pPr>
            <w:r>
              <w:rPr>
                <w:rFonts w:hint="eastAsia"/>
                <w:color w:val="auto"/>
                <w:highlight w:val="none"/>
                <w:lang w:val="en-US" w:eastAsia="zh-CN"/>
              </w:rPr>
              <w:t>19621.20</w:t>
            </w:r>
          </w:p>
        </w:tc>
        <w:tc>
          <w:tcPr>
            <w:tcW w:w="3590"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FFFFFF" w:themeFill="background1"/>
          <w:tblCellMar>
            <w:top w:w="0" w:type="dxa"/>
            <w:left w:w="108" w:type="dxa"/>
            <w:bottom w:w="0" w:type="dxa"/>
            <w:right w:w="108" w:type="dxa"/>
          </w:tblCellMar>
        </w:tblPrEx>
        <w:trPr>
          <w:trHeight w:val="499" w:hRule="exact"/>
        </w:trPr>
        <w:tc>
          <w:tcPr>
            <w:tcW w:w="1788" w:type="dxa"/>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eastAsia"/>
                <w:color w:val="auto"/>
                <w:highlight w:val="none"/>
              </w:rPr>
            </w:pPr>
            <w:r>
              <w:rPr>
                <w:rFonts w:hint="eastAsia"/>
                <w:color w:val="auto"/>
                <w:highlight w:val="none"/>
              </w:rPr>
              <w:t>综合径流系数</w:t>
            </w:r>
          </w:p>
        </w:tc>
        <w:tc>
          <w:tcPr>
            <w:tcW w:w="6716" w:type="dxa"/>
            <w:gridSpan w:val="3"/>
            <w:shd w:val="clear" w:color="000000" w:fill="FFFFFF" w:themeFill="background1"/>
            <w:vAlign w:val="center"/>
          </w:tcPr>
          <w:p>
            <w:pPr>
              <w:pStyle w:val="51"/>
              <w:keepNext w:val="0"/>
              <w:keepLines w:val="0"/>
              <w:pageBreakBefore w:val="0"/>
              <w:widowControl w:val="0"/>
              <w:kinsoku/>
              <w:wordWrap/>
              <w:overflowPunct/>
              <w:topLinePunct w:val="0"/>
              <w:autoSpaceDE/>
              <w:autoSpaceDN/>
              <w:bidi w:val="0"/>
              <w:adjustRightInd/>
              <w:snapToGrid/>
              <w:spacing w:before="31" w:after="31" w:line="156" w:lineRule="auto"/>
              <w:textAlignment w:val="auto"/>
              <w:rPr>
                <w:rFonts w:hint="default"/>
                <w:color w:val="auto"/>
                <w:highlight w:val="none"/>
                <w:lang w:val="en-US" w:eastAsia="zh-CN"/>
              </w:rPr>
            </w:pPr>
            <w:r>
              <w:rPr>
                <w:rFonts w:hint="eastAsia"/>
                <w:color w:val="auto"/>
                <w:highlight w:val="none"/>
              </w:rPr>
              <w:t>ψZ =(A1*B1+A2*B2+A3*B3)/A</w:t>
            </w:r>
            <w:r>
              <w:rPr>
                <w:rFonts w:hint="eastAsia"/>
                <w:color w:val="auto"/>
                <w:highlight w:val="none"/>
                <w:lang w:val="en-US" w:eastAsia="zh-CN"/>
              </w:rPr>
              <w:t>4</w:t>
            </w:r>
            <w:r>
              <w:rPr>
                <w:rFonts w:hint="eastAsia"/>
                <w:color w:val="auto"/>
                <w:highlight w:val="none"/>
              </w:rPr>
              <w:t>=0.</w:t>
            </w:r>
            <w:r>
              <w:rPr>
                <w:rFonts w:hint="eastAsia"/>
                <w:color w:val="auto"/>
                <w:highlight w:val="none"/>
                <w:lang w:val="en-US" w:eastAsia="zh-CN"/>
              </w:rPr>
              <w:t>48</w:t>
            </w:r>
          </w:p>
        </w:tc>
      </w:tr>
    </w:tbl>
    <w:p>
      <w:pPr>
        <w:spacing w:before="156" w:after="156"/>
        <w:ind w:firstLine="480"/>
        <w:rPr>
          <w:color w:val="auto"/>
          <w:highlight w:val="none"/>
        </w:rPr>
      </w:pPr>
      <w:r>
        <w:rPr>
          <w:rFonts w:hint="eastAsia"/>
          <w:color w:val="auto"/>
          <w:highlight w:val="none"/>
        </w:rPr>
        <w:t>本项目建设前</w:t>
      </w:r>
      <w:r>
        <w:rPr>
          <w:rFonts w:hint="eastAsia" w:hAnsi="宋体" w:cs="宋体"/>
          <w:color w:val="auto"/>
          <w:highlight w:val="none"/>
        </w:rPr>
        <w:t>硬化面雨量径流系数ψ</w:t>
      </w:r>
      <w:r>
        <w:rPr>
          <w:rFonts w:hint="eastAsia" w:hAnsi="宋体" w:cs="宋体"/>
          <w:color w:val="auto"/>
          <w:highlight w:val="none"/>
          <w:vertAlign w:val="subscript"/>
        </w:rPr>
        <w:t>c</w:t>
      </w:r>
      <w:r>
        <w:rPr>
          <w:rFonts w:hint="eastAsia" w:hAnsi="宋体" w:cs="宋体"/>
          <w:color w:val="auto"/>
          <w:highlight w:val="none"/>
        </w:rPr>
        <w:t>为0.</w:t>
      </w:r>
      <w:r>
        <w:rPr>
          <w:rFonts w:hint="eastAsia" w:hAnsi="宋体" w:cs="宋体"/>
          <w:color w:val="auto"/>
          <w:highlight w:val="none"/>
          <w:lang w:val="en-US" w:eastAsia="zh-CN"/>
        </w:rPr>
        <w:t>48</w:t>
      </w:r>
      <w:r>
        <w:rPr>
          <w:rFonts w:hint="eastAsia" w:hAnsi="宋体" w:cs="宋体"/>
          <w:color w:val="auto"/>
          <w:highlight w:val="none"/>
        </w:rPr>
        <w:t>。本项目建设前硬化面雨水设计径流总量</w:t>
      </w:r>
      <w:r>
        <w:rPr>
          <w:rFonts w:hint="eastAsia" w:hAnsi="宋体" w:cs="宋体"/>
          <w:color w:val="auto"/>
          <w:spacing w:val="-6"/>
          <w:highlight w:val="none"/>
        </w:rPr>
        <w:t>W=</w:t>
      </w:r>
      <w:r>
        <w:rPr>
          <w:rFonts w:hint="eastAsia"/>
          <w:color w:val="auto"/>
          <w:spacing w:val="-6"/>
          <w:highlight w:val="none"/>
        </w:rPr>
        <w:t>10Ψ</w:t>
      </w:r>
      <w:r>
        <w:rPr>
          <w:rFonts w:hint="eastAsia"/>
          <w:color w:val="auto"/>
          <w:spacing w:val="-6"/>
          <w:highlight w:val="none"/>
          <w:vertAlign w:val="subscript"/>
        </w:rPr>
        <w:t>c</w:t>
      </w:r>
      <w:r>
        <w:rPr>
          <w:rFonts w:hint="eastAsia"/>
          <w:color w:val="auto"/>
          <w:spacing w:val="-6"/>
          <w:highlight w:val="none"/>
        </w:rPr>
        <w:t>h</w:t>
      </w:r>
      <w:r>
        <w:rPr>
          <w:rFonts w:hint="eastAsia"/>
          <w:color w:val="auto"/>
          <w:spacing w:val="-6"/>
          <w:highlight w:val="none"/>
          <w:vertAlign w:val="subscript"/>
        </w:rPr>
        <w:t>d</w:t>
      </w:r>
      <w:r>
        <w:rPr>
          <w:rFonts w:hint="eastAsia"/>
          <w:color w:val="auto"/>
          <w:spacing w:val="-6"/>
          <w:highlight w:val="none"/>
        </w:rPr>
        <w:t>F=10*0.</w:t>
      </w:r>
      <w:r>
        <w:rPr>
          <w:rFonts w:hint="eastAsia"/>
          <w:color w:val="auto"/>
          <w:spacing w:val="-6"/>
          <w:highlight w:val="none"/>
          <w:lang w:val="en-US" w:eastAsia="zh-CN"/>
        </w:rPr>
        <w:t>48*</w:t>
      </w:r>
      <w:r>
        <w:rPr>
          <w:rFonts w:hint="eastAsia"/>
          <w:color w:val="auto"/>
          <w:spacing w:val="-6"/>
          <w:highlight w:val="none"/>
        </w:rPr>
        <w:t>106.8*</w:t>
      </w:r>
      <w:r>
        <w:rPr>
          <w:rFonts w:hint="eastAsia"/>
          <w:color w:val="auto"/>
          <w:spacing w:val="-6"/>
          <w:highlight w:val="none"/>
          <w:lang w:val="en-US" w:eastAsia="zh-CN"/>
        </w:rPr>
        <w:t>19621.20/10000</w:t>
      </w:r>
      <w:r>
        <w:rPr>
          <w:rFonts w:hint="eastAsia"/>
          <w:color w:val="auto"/>
          <w:spacing w:val="-6"/>
          <w:highlight w:val="none"/>
        </w:rPr>
        <w:t>=</w:t>
      </w:r>
      <w:r>
        <w:rPr>
          <w:rFonts w:hint="eastAsia"/>
          <w:color w:val="auto"/>
          <w:spacing w:val="-6"/>
          <w:highlight w:val="none"/>
          <w:lang w:val="en-US" w:eastAsia="zh-CN"/>
        </w:rPr>
        <w:t>1004.77</w:t>
      </w:r>
      <w:r>
        <w:rPr>
          <w:rFonts w:hint="eastAsia"/>
          <w:color w:val="auto"/>
          <w:spacing w:val="-6"/>
          <w:highlight w:val="none"/>
        </w:rPr>
        <w:t>m³。</w:t>
      </w:r>
    </w:p>
    <w:p>
      <w:pPr>
        <w:spacing w:before="156" w:after="156"/>
        <w:ind w:firstLine="480"/>
        <w:rPr>
          <w:rFonts w:hAnsi="宋体" w:cs="宋体"/>
          <w:color w:val="auto"/>
          <w:highlight w:val="none"/>
        </w:rPr>
      </w:pPr>
      <w:r>
        <w:rPr>
          <w:rFonts w:hint="eastAsia"/>
          <w:color w:val="auto"/>
          <w:highlight w:val="none"/>
        </w:rPr>
        <w:t>本项目建设后</w:t>
      </w:r>
      <w:r>
        <w:rPr>
          <w:rFonts w:hint="eastAsia" w:hAnsi="宋体" w:cs="宋体"/>
          <w:color w:val="auto"/>
          <w:highlight w:val="none"/>
        </w:rPr>
        <w:t>硬化面雨量径流系数ψ</w:t>
      </w:r>
      <w:r>
        <w:rPr>
          <w:rFonts w:hint="eastAsia" w:hAnsi="宋体" w:cs="宋体"/>
          <w:color w:val="auto"/>
          <w:highlight w:val="none"/>
          <w:vertAlign w:val="subscript"/>
        </w:rPr>
        <w:t>c</w:t>
      </w:r>
      <w:r>
        <w:rPr>
          <w:rFonts w:hint="eastAsia" w:hAnsi="宋体" w:cs="宋体"/>
          <w:color w:val="auto"/>
          <w:highlight w:val="none"/>
        </w:rPr>
        <w:t>为0.</w:t>
      </w:r>
      <w:r>
        <w:rPr>
          <w:rFonts w:hint="eastAsia" w:hAnsi="宋体" w:cs="宋体"/>
          <w:color w:val="auto"/>
          <w:highlight w:val="none"/>
          <w:lang w:val="en-US" w:eastAsia="zh-CN"/>
        </w:rPr>
        <w:t>516</w:t>
      </w:r>
      <w:r>
        <w:rPr>
          <w:rFonts w:hint="eastAsia" w:hAnsi="宋体" w:cs="宋体"/>
          <w:color w:val="auto"/>
          <w:highlight w:val="none"/>
        </w:rPr>
        <w:t>。本项目硬化面雨水设计径流总量W</w:t>
      </w:r>
      <w:r>
        <w:rPr>
          <w:rFonts w:hint="eastAsia" w:hAnsi="宋体" w:cs="宋体"/>
          <w:color w:val="auto"/>
          <w:highlight w:val="none"/>
          <w:vertAlign w:val="subscript"/>
        </w:rPr>
        <w:t>1</w:t>
      </w:r>
      <w:r>
        <w:rPr>
          <w:rFonts w:hint="eastAsia" w:hAnsi="宋体" w:cs="宋体"/>
          <w:color w:val="auto"/>
          <w:highlight w:val="none"/>
        </w:rPr>
        <w:t>=</w:t>
      </w:r>
      <w:r>
        <w:rPr>
          <w:rFonts w:hint="eastAsia"/>
          <w:color w:val="auto"/>
          <w:highlight w:val="none"/>
        </w:rPr>
        <w:t>10Ψ</w:t>
      </w:r>
      <w:r>
        <w:rPr>
          <w:rFonts w:hint="eastAsia"/>
          <w:color w:val="auto"/>
          <w:highlight w:val="none"/>
          <w:vertAlign w:val="subscript"/>
        </w:rPr>
        <w:t>c</w:t>
      </w:r>
      <w:r>
        <w:rPr>
          <w:rFonts w:hint="eastAsia"/>
          <w:color w:val="auto"/>
          <w:highlight w:val="none"/>
        </w:rPr>
        <w:t>h</w:t>
      </w:r>
      <w:r>
        <w:rPr>
          <w:rFonts w:hint="eastAsia"/>
          <w:color w:val="auto"/>
          <w:highlight w:val="none"/>
          <w:vertAlign w:val="subscript"/>
        </w:rPr>
        <w:t>d</w:t>
      </w:r>
      <w:r>
        <w:rPr>
          <w:rFonts w:hint="eastAsia"/>
          <w:color w:val="auto"/>
          <w:highlight w:val="none"/>
        </w:rPr>
        <w:t>F=10*0.</w:t>
      </w:r>
      <w:r>
        <w:rPr>
          <w:rFonts w:hint="eastAsia"/>
          <w:color w:val="auto"/>
          <w:highlight w:val="none"/>
          <w:lang w:val="en-US" w:eastAsia="zh-CN"/>
        </w:rPr>
        <w:t>516</w:t>
      </w:r>
      <w:r>
        <w:rPr>
          <w:rFonts w:hint="eastAsia"/>
          <w:color w:val="auto"/>
          <w:highlight w:val="none"/>
        </w:rPr>
        <w:t>*106.8*</w:t>
      </w:r>
      <w:r>
        <w:rPr>
          <w:rFonts w:hint="eastAsia"/>
          <w:color w:val="auto"/>
          <w:spacing w:val="-6"/>
          <w:highlight w:val="none"/>
          <w:lang w:val="en-US" w:eastAsia="zh-CN"/>
        </w:rPr>
        <w:t>19621.20/10000</w:t>
      </w:r>
      <w:r>
        <w:rPr>
          <w:rFonts w:hint="eastAsia"/>
          <w:color w:val="auto"/>
          <w:highlight w:val="none"/>
        </w:rPr>
        <w:t>=</w:t>
      </w:r>
      <w:r>
        <w:rPr>
          <w:rFonts w:hint="eastAsia"/>
          <w:color w:val="auto"/>
          <w:highlight w:val="none"/>
          <w:lang w:val="en-US" w:eastAsia="zh-CN"/>
        </w:rPr>
        <w:t>1080.13</w:t>
      </w:r>
      <w:r>
        <w:rPr>
          <w:rFonts w:hint="eastAsia"/>
          <w:color w:val="auto"/>
          <w:highlight w:val="none"/>
        </w:rPr>
        <w:t>m³。本项目采用下沉绿地的措施对场地进行调蓄，实际调蓄容积达到</w:t>
      </w:r>
      <w:r>
        <w:rPr>
          <w:rFonts w:hint="eastAsia" w:hAnsi="宋体" w:cs="宋体"/>
          <w:color w:val="auto"/>
          <w:highlight w:val="none"/>
          <w:lang w:val="en-US" w:eastAsia="zh-CN"/>
        </w:rPr>
        <w:t>471.45</w:t>
      </w:r>
      <w:r>
        <w:rPr>
          <w:rFonts w:hint="eastAsia" w:hAnsi="宋体" w:cs="宋体"/>
          <w:color w:val="auto"/>
          <w:highlight w:val="none"/>
        </w:rPr>
        <w:t>m³。即本项目建设后硬化面雨水设计径流总量W=W</w:t>
      </w:r>
      <w:r>
        <w:rPr>
          <w:rFonts w:hint="eastAsia" w:hAnsi="宋体" w:cs="宋体"/>
          <w:color w:val="auto"/>
          <w:highlight w:val="none"/>
          <w:vertAlign w:val="subscript"/>
        </w:rPr>
        <w:t>1</w:t>
      </w:r>
      <w:r>
        <w:rPr>
          <w:rFonts w:hint="eastAsia" w:hAnsi="宋体" w:cs="宋体"/>
          <w:color w:val="auto"/>
          <w:highlight w:val="none"/>
        </w:rPr>
        <w:t>-</w:t>
      </w:r>
      <w:r>
        <w:rPr>
          <w:rFonts w:hint="eastAsia" w:hAnsi="宋体" w:cs="宋体"/>
          <w:color w:val="auto"/>
          <w:highlight w:val="none"/>
          <w:lang w:val="en-US" w:eastAsia="zh-CN"/>
        </w:rPr>
        <w:t>471.45</w:t>
      </w:r>
      <w:r>
        <w:rPr>
          <w:rFonts w:hint="eastAsia" w:hAnsi="宋体" w:cs="宋体"/>
          <w:color w:val="auto"/>
          <w:highlight w:val="none"/>
        </w:rPr>
        <w:t>=</w:t>
      </w:r>
      <w:r>
        <w:rPr>
          <w:rFonts w:hint="eastAsia" w:hAnsi="宋体" w:cs="宋体"/>
          <w:color w:val="auto"/>
          <w:highlight w:val="none"/>
          <w:lang w:val="en-US" w:eastAsia="zh-CN"/>
        </w:rPr>
        <w:t>608.68</w:t>
      </w:r>
      <w:r>
        <w:rPr>
          <w:rFonts w:hint="eastAsia" w:hAnsi="宋体" w:cs="宋体"/>
          <w:color w:val="auto"/>
          <w:highlight w:val="none"/>
        </w:rPr>
        <w:t>m³＜</w:t>
      </w:r>
      <w:r>
        <w:rPr>
          <w:rFonts w:hint="eastAsia" w:hAnsi="宋体" w:cs="宋体"/>
          <w:color w:val="auto"/>
          <w:highlight w:val="none"/>
          <w:lang w:val="en-US" w:eastAsia="zh-CN"/>
        </w:rPr>
        <w:t>1004.77</w:t>
      </w:r>
      <w:r>
        <w:rPr>
          <w:rFonts w:hint="eastAsia"/>
          <w:color w:val="auto"/>
          <w:highlight w:val="none"/>
        </w:rPr>
        <w:t>m³</w:t>
      </w:r>
      <w:r>
        <w:rPr>
          <w:rFonts w:hint="eastAsia" w:hAnsi="宋体" w:cs="宋体"/>
          <w:color w:val="auto"/>
          <w:highlight w:val="none"/>
        </w:rPr>
        <w:t>。</w:t>
      </w:r>
    </w:p>
    <w:p>
      <w:pPr>
        <w:spacing w:before="156" w:after="156" w:line="360" w:lineRule="auto"/>
        <w:ind w:firstLine="480"/>
        <w:rPr>
          <w:color w:val="auto"/>
          <w:highlight w:val="none"/>
        </w:rPr>
      </w:pPr>
      <w:r>
        <w:rPr>
          <w:rFonts w:hint="eastAsia"/>
          <w:color w:val="auto"/>
          <w:highlight w:val="none"/>
        </w:rPr>
        <w:t>通过计算可知，对于相同的设计重现期，本项目改建后的径流量不得超过原有径流量，满足《室外排水设计规范》（GB50014-2006（2016版））的相关规定。</w:t>
      </w:r>
    </w:p>
    <w:p>
      <w:pPr>
        <w:pStyle w:val="3"/>
        <w:spacing w:before="156" w:after="156"/>
        <w:rPr>
          <w:color w:val="auto"/>
          <w:highlight w:val="none"/>
        </w:rPr>
      </w:pPr>
      <w:bookmarkStart w:id="65" w:name="_Toc22907"/>
      <w:bookmarkStart w:id="66" w:name="_Toc28652"/>
      <w:r>
        <w:rPr>
          <w:rFonts w:hint="eastAsia"/>
          <w:color w:val="auto"/>
          <w:highlight w:val="none"/>
        </w:rPr>
        <w:t>4.1</w:t>
      </w:r>
      <w:r>
        <w:rPr>
          <w:rFonts w:hint="eastAsia"/>
          <w:color w:val="auto"/>
          <w:highlight w:val="none"/>
          <w:lang w:val="en-US" w:eastAsia="zh-CN"/>
        </w:rPr>
        <w:t>0</w:t>
      </w:r>
      <w:r>
        <w:rPr>
          <w:rFonts w:hint="eastAsia"/>
          <w:color w:val="auto"/>
          <w:highlight w:val="none"/>
        </w:rPr>
        <w:t>、雨水径流峰值控制计算</w:t>
      </w:r>
      <w:bookmarkEnd w:id="65"/>
      <w:bookmarkEnd w:id="66"/>
    </w:p>
    <w:p>
      <w:pPr>
        <w:spacing w:before="156" w:after="156"/>
        <w:ind w:firstLine="480"/>
        <w:rPr>
          <w:rFonts w:ascii="Times New Roman"/>
          <w:color w:val="auto"/>
          <w:highlight w:val="none"/>
        </w:rPr>
      </w:pPr>
      <w:r>
        <w:rPr>
          <w:rFonts w:ascii="Times New Roman"/>
          <w:color w:val="auto"/>
          <w:highlight w:val="none"/>
        </w:rPr>
        <w:t>根据《建筑与小区雨水利用工程技术规范》GB 50400-2016第3.1.3条，建设用地内应对雨水径流峰值进行控制，需控制利用的雨水径流总量按下式计算。</w:t>
      </w:r>
    </w:p>
    <w:p>
      <w:pPr>
        <w:spacing w:before="156" w:after="156"/>
        <w:ind w:firstLine="640"/>
        <w:jc w:val="center"/>
        <w:rPr>
          <w:rFonts w:ascii="Times New Roman"/>
          <w:color w:val="auto"/>
          <w:sz w:val="32"/>
          <w:szCs w:val="32"/>
          <w:highlight w:val="none"/>
        </w:rPr>
      </w:pPr>
      <w:r>
        <w:rPr>
          <w:rFonts w:ascii="Times New Roman"/>
          <w:color w:val="auto"/>
          <w:sz w:val="32"/>
          <w:szCs w:val="32"/>
          <w:highlight w:val="none"/>
        </w:rPr>
        <w:t>W=10（φ</w:t>
      </w:r>
      <w:r>
        <w:rPr>
          <w:rFonts w:ascii="Times New Roman"/>
          <w:color w:val="auto"/>
          <w:sz w:val="32"/>
          <w:szCs w:val="32"/>
          <w:highlight w:val="none"/>
          <w:vertAlign w:val="subscript"/>
        </w:rPr>
        <w:t>c</w:t>
      </w:r>
      <w:r>
        <w:rPr>
          <w:rFonts w:ascii="Times New Roman"/>
          <w:color w:val="auto"/>
          <w:sz w:val="32"/>
          <w:szCs w:val="32"/>
          <w:highlight w:val="none"/>
        </w:rPr>
        <w:t>-φ</w:t>
      </w:r>
      <w:r>
        <w:rPr>
          <w:rFonts w:ascii="Times New Roman"/>
          <w:color w:val="auto"/>
          <w:sz w:val="32"/>
          <w:szCs w:val="32"/>
          <w:highlight w:val="none"/>
          <w:vertAlign w:val="subscript"/>
        </w:rPr>
        <w:t>0</w:t>
      </w:r>
      <w:r>
        <w:rPr>
          <w:rFonts w:ascii="Times New Roman"/>
          <w:color w:val="auto"/>
          <w:sz w:val="32"/>
          <w:szCs w:val="32"/>
          <w:highlight w:val="none"/>
        </w:rPr>
        <w:t>）h</w:t>
      </w:r>
      <w:r>
        <w:rPr>
          <w:rFonts w:ascii="Times New Roman"/>
          <w:color w:val="auto"/>
          <w:sz w:val="32"/>
          <w:szCs w:val="32"/>
          <w:highlight w:val="none"/>
          <w:vertAlign w:val="subscript"/>
        </w:rPr>
        <w:t>y</w:t>
      </w:r>
      <w:r>
        <w:rPr>
          <w:rFonts w:ascii="Times New Roman"/>
          <w:color w:val="auto"/>
          <w:sz w:val="32"/>
          <w:szCs w:val="32"/>
          <w:highlight w:val="none"/>
        </w:rPr>
        <w:t>F</w:t>
      </w:r>
    </w:p>
    <w:p>
      <w:pPr>
        <w:spacing w:before="156" w:after="156"/>
        <w:ind w:firstLine="480"/>
        <w:rPr>
          <w:rFonts w:ascii="Times New Roman"/>
          <w:color w:val="auto"/>
          <w:highlight w:val="none"/>
        </w:rPr>
      </w:pPr>
      <w:r>
        <w:rPr>
          <w:rFonts w:ascii="Times New Roman"/>
          <w:color w:val="auto"/>
          <w:highlight w:val="none"/>
        </w:rPr>
        <w:t>式中：W—需控制及利用的雨水径流总量（m³）</w:t>
      </w:r>
    </w:p>
    <w:p>
      <w:pPr>
        <w:spacing w:before="156" w:after="156"/>
        <w:ind w:firstLine="1200" w:firstLineChars="500"/>
        <w:rPr>
          <w:rFonts w:ascii="Times New Roman"/>
          <w:color w:val="auto"/>
          <w:highlight w:val="none"/>
        </w:rPr>
      </w:pPr>
      <w:r>
        <w:rPr>
          <w:rFonts w:ascii="Times New Roman"/>
          <w:color w:val="auto"/>
          <w:highlight w:val="none"/>
        </w:rPr>
        <w:t>φ</w:t>
      </w:r>
      <w:r>
        <w:rPr>
          <w:rFonts w:ascii="Times New Roman"/>
          <w:color w:val="auto"/>
          <w:highlight w:val="none"/>
          <w:vertAlign w:val="subscript"/>
        </w:rPr>
        <w:t>c</w:t>
      </w:r>
      <w:r>
        <w:rPr>
          <w:rFonts w:ascii="Times New Roman"/>
          <w:color w:val="auto"/>
          <w:highlight w:val="none"/>
        </w:rPr>
        <w:t>—雨量径流系数</w:t>
      </w:r>
    </w:p>
    <w:p>
      <w:pPr>
        <w:spacing w:before="156" w:after="156"/>
        <w:ind w:firstLine="1200" w:firstLineChars="500"/>
        <w:rPr>
          <w:rFonts w:ascii="Times New Roman"/>
          <w:color w:val="auto"/>
          <w:highlight w:val="none"/>
        </w:rPr>
      </w:pPr>
      <w:r>
        <w:rPr>
          <w:rFonts w:ascii="Times New Roman"/>
          <w:color w:val="auto"/>
          <w:highlight w:val="none"/>
        </w:rPr>
        <w:t>φ</w:t>
      </w:r>
      <w:r>
        <w:rPr>
          <w:rFonts w:ascii="Times New Roman"/>
          <w:color w:val="auto"/>
          <w:highlight w:val="none"/>
          <w:vertAlign w:val="subscript"/>
        </w:rPr>
        <w:t>0</w:t>
      </w:r>
      <w:r>
        <w:rPr>
          <w:rFonts w:ascii="Times New Roman"/>
          <w:color w:val="auto"/>
          <w:highlight w:val="none"/>
        </w:rPr>
        <w:t>—控制径流峰值所对应的径流系数，应符合当地规划控制要求</w:t>
      </w:r>
    </w:p>
    <w:p>
      <w:pPr>
        <w:spacing w:before="156" w:after="156"/>
        <w:ind w:firstLine="1200" w:firstLineChars="500"/>
        <w:rPr>
          <w:rFonts w:ascii="Times New Roman"/>
          <w:color w:val="auto"/>
          <w:highlight w:val="none"/>
        </w:rPr>
      </w:pPr>
      <w:r>
        <w:rPr>
          <w:rFonts w:ascii="Times New Roman"/>
          <w:color w:val="auto"/>
          <w:highlight w:val="none"/>
        </w:rPr>
        <w:t>h</w:t>
      </w:r>
      <w:r>
        <w:rPr>
          <w:rFonts w:ascii="Times New Roman"/>
          <w:color w:val="auto"/>
          <w:highlight w:val="none"/>
          <w:vertAlign w:val="subscript"/>
        </w:rPr>
        <w:t>y</w:t>
      </w:r>
      <w:r>
        <w:rPr>
          <w:rFonts w:ascii="Times New Roman"/>
          <w:color w:val="auto"/>
          <w:highlight w:val="none"/>
        </w:rPr>
        <w:t>—设计日降雨量（mm）</w:t>
      </w:r>
    </w:p>
    <w:p>
      <w:pPr>
        <w:spacing w:before="156" w:after="156"/>
        <w:ind w:firstLine="1200" w:firstLineChars="500"/>
        <w:rPr>
          <w:rFonts w:ascii="Times New Roman"/>
          <w:color w:val="auto"/>
          <w:highlight w:val="none"/>
        </w:rPr>
      </w:pPr>
      <w:r>
        <w:rPr>
          <w:rFonts w:ascii="Times New Roman"/>
          <w:color w:val="auto"/>
          <w:highlight w:val="none"/>
        </w:rPr>
        <w:t>F—硬化汇水面面积(hm</w:t>
      </w:r>
      <w:r>
        <w:rPr>
          <w:rFonts w:ascii="Times New Roman"/>
          <w:color w:val="auto"/>
          <w:highlight w:val="none"/>
          <w:vertAlign w:val="superscript"/>
        </w:rPr>
        <w:t>2</w:t>
      </w:r>
      <w:r>
        <w:rPr>
          <w:rFonts w:ascii="Times New Roman"/>
          <w:color w:val="auto"/>
          <w:highlight w:val="none"/>
        </w:rPr>
        <w:t>)，应按硬化汇水面水平投影面积计算。</w:t>
      </w:r>
    </w:p>
    <w:p>
      <w:pPr>
        <w:spacing w:before="156" w:after="156"/>
        <w:ind w:firstLine="480"/>
        <w:rPr>
          <w:rFonts w:ascii="Times New Roman"/>
          <w:color w:val="auto"/>
          <w:highlight w:val="none"/>
        </w:rPr>
      </w:pPr>
      <w:r>
        <w:rPr>
          <w:rFonts w:ascii="Times New Roman"/>
          <w:color w:val="auto"/>
          <w:highlight w:val="none"/>
        </w:rPr>
        <w:t>根据表4-4，本项目总地块综合雨量径流系数φ</w:t>
      </w:r>
      <w:r>
        <w:rPr>
          <w:rFonts w:ascii="Times New Roman"/>
          <w:color w:val="auto"/>
          <w:highlight w:val="none"/>
          <w:vertAlign w:val="subscript"/>
        </w:rPr>
        <w:t>c</w:t>
      </w:r>
      <w:r>
        <w:rPr>
          <w:rFonts w:ascii="Times New Roman"/>
          <w:color w:val="auto"/>
          <w:highlight w:val="none"/>
        </w:rPr>
        <w:t>为0.</w:t>
      </w:r>
      <w:r>
        <w:rPr>
          <w:rFonts w:hint="eastAsia" w:ascii="Times New Roman"/>
          <w:color w:val="auto"/>
          <w:highlight w:val="none"/>
          <w:lang w:val="en-US" w:eastAsia="zh-CN"/>
        </w:rPr>
        <w:t>516</w:t>
      </w:r>
      <w:r>
        <w:rPr>
          <w:rFonts w:ascii="Times New Roman"/>
          <w:color w:val="auto"/>
          <w:highlight w:val="none"/>
        </w:rPr>
        <w:t>；控制径流峰值所对应的径流系数φ</w:t>
      </w:r>
      <w:r>
        <w:rPr>
          <w:rFonts w:ascii="Times New Roman"/>
          <w:color w:val="auto"/>
          <w:highlight w:val="none"/>
          <w:vertAlign w:val="subscript"/>
        </w:rPr>
        <w:t>0</w:t>
      </w:r>
      <w:r>
        <w:rPr>
          <w:rFonts w:ascii="Times New Roman"/>
          <w:color w:val="auto"/>
          <w:highlight w:val="none"/>
        </w:rPr>
        <w:t>为0.400；广州市常年最大24h降雨量h</w:t>
      </w:r>
      <w:r>
        <w:rPr>
          <w:rFonts w:ascii="Times New Roman"/>
          <w:color w:val="auto"/>
          <w:highlight w:val="none"/>
          <w:vertAlign w:val="subscript"/>
        </w:rPr>
        <w:t>y</w:t>
      </w:r>
      <w:r>
        <w:rPr>
          <w:rFonts w:ascii="Times New Roman"/>
          <w:color w:val="auto"/>
          <w:highlight w:val="none"/>
        </w:rPr>
        <w:t>取51.8mm；汇水面面积F为</w:t>
      </w:r>
      <w:r>
        <w:rPr>
          <w:rFonts w:hint="eastAsia" w:ascii="Times New Roman"/>
          <w:color w:val="auto"/>
          <w:highlight w:val="none"/>
          <w:lang w:val="en-US" w:eastAsia="zh-CN"/>
        </w:rPr>
        <w:t>19621.20㎡</w:t>
      </w:r>
      <w:r>
        <w:rPr>
          <w:rFonts w:ascii="Times New Roman"/>
          <w:color w:val="auto"/>
          <w:highlight w:val="none"/>
        </w:rPr>
        <w:t>。因此本项目需控制及利用的雨水径流总量W为</w:t>
      </w:r>
      <w:r>
        <w:rPr>
          <w:rFonts w:hint="eastAsia" w:ascii="Times New Roman"/>
          <w:color w:val="auto"/>
          <w:highlight w:val="none"/>
          <w:lang w:val="en-US" w:eastAsia="zh-CN"/>
        </w:rPr>
        <w:t>117.77</w:t>
      </w:r>
      <w:r>
        <w:rPr>
          <w:rFonts w:ascii="Times New Roman"/>
          <w:color w:val="auto"/>
          <w:highlight w:val="none"/>
        </w:rPr>
        <w:t>m³。</w:t>
      </w:r>
    </w:p>
    <w:p>
      <w:pPr>
        <w:pStyle w:val="3"/>
        <w:spacing w:before="156" w:after="156"/>
        <w:rPr>
          <w:color w:val="auto"/>
          <w:highlight w:val="none"/>
        </w:rPr>
      </w:pPr>
      <w:bookmarkStart w:id="67" w:name="_Toc24828"/>
      <w:bookmarkStart w:id="68" w:name="_Toc12703"/>
      <w:r>
        <w:rPr>
          <w:rFonts w:hint="eastAsia"/>
          <w:color w:val="auto"/>
          <w:highlight w:val="none"/>
        </w:rPr>
        <w:t>4.1</w:t>
      </w:r>
      <w:r>
        <w:rPr>
          <w:rFonts w:hint="eastAsia"/>
          <w:color w:val="auto"/>
          <w:highlight w:val="none"/>
          <w:lang w:val="en-US" w:eastAsia="zh-CN"/>
        </w:rPr>
        <w:t>1</w:t>
      </w:r>
      <w:r>
        <w:rPr>
          <w:rFonts w:hint="eastAsia"/>
          <w:color w:val="auto"/>
          <w:highlight w:val="none"/>
        </w:rPr>
        <w:t>、新建项目雨水外排量计算</w:t>
      </w:r>
      <w:bookmarkEnd w:id="67"/>
      <w:bookmarkEnd w:id="68"/>
    </w:p>
    <w:p>
      <w:pPr>
        <w:spacing w:before="156" w:after="156"/>
        <w:ind w:firstLine="480"/>
        <w:rPr>
          <w:rFonts w:ascii="Times New Roman"/>
          <w:color w:val="auto"/>
          <w:highlight w:val="none"/>
        </w:rPr>
      </w:pPr>
      <w:r>
        <w:rPr>
          <w:rFonts w:ascii="Times New Roman"/>
          <w:color w:val="auto"/>
          <w:highlight w:val="none"/>
        </w:rPr>
        <w:t>根据《建筑与小区雨水利用工程技术规范》GB 50400-2016第4.3.12条，建设场地外排雨水总量应按下式计算：</w:t>
      </w:r>
    </w:p>
    <w:p>
      <w:pPr>
        <w:spacing w:before="156" w:after="156"/>
        <w:ind w:firstLine="640"/>
        <w:jc w:val="center"/>
        <w:rPr>
          <w:rFonts w:ascii="Times New Roman"/>
          <w:color w:val="auto"/>
          <w:sz w:val="32"/>
          <w:szCs w:val="32"/>
          <w:highlight w:val="none"/>
        </w:rPr>
      </w:pPr>
      <w:r>
        <w:rPr>
          <w:rFonts w:ascii="Times New Roman"/>
          <w:color w:val="auto"/>
          <w:sz w:val="32"/>
          <w:szCs w:val="32"/>
          <w:highlight w:val="none"/>
        </w:rPr>
        <w:t>W</w:t>
      </w:r>
      <w:r>
        <w:rPr>
          <w:rFonts w:ascii="Times New Roman"/>
          <w:color w:val="auto"/>
          <w:sz w:val="32"/>
          <w:szCs w:val="32"/>
          <w:highlight w:val="none"/>
          <w:vertAlign w:val="subscript"/>
        </w:rPr>
        <w:t>p</w:t>
      </w:r>
      <w:r>
        <w:rPr>
          <w:rFonts w:ascii="Times New Roman"/>
          <w:color w:val="auto"/>
          <w:sz w:val="32"/>
          <w:szCs w:val="32"/>
          <w:highlight w:val="none"/>
        </w:rPr>
        <w:t>=10φ</w:t>
      </w:r>
      <w:r>
        <w:rPr>
          <w:rFonts w:ascii="Times New Roman"/>
          <w:color w:val="auto"/>
          <w:sz w:val="32"/>
          <w:szCs w:val="32"/>
          <w:highlight w:val="none"/>
          <w:vertAlign w:val="subscript"/>
        </w:rPr>
        <w:t>z</w:t>
      </w:r>
      <w:r>
        <w:rPr>
          <w:rFonts w:ascii="Times New Roman"/>
          <w:color w:val="auto"/>
          <w:sz w:val="32"/>
          <w:szCs w:val="32"/>
          <w:highlight w:val="none"/>
        </w:rPr>
        <w:t>h</w:t>
      </w:r>
      <w:r>
        <w:rPr>
          <w:rFonts w:ascii="Times New Roman"/>
          <w:color w:val="auto"/>
          <w:sz w:val="32"/>
          <w:szCs w:val="32"/>
          <w:highlight w:val="none"/>
          <w:vertAlign w:val="subscript"/>
        </w:rPr>
        <w:t>p</w:t>
      </w:r>
      <w:r>
        <w:rPr>
          <w:rFonts w:ascii="Times New Roman"/>
          <w:color w:val="auto"/>
          <w:sz w:val="32"/>
          <w:szCs w:val="32"/>
          <w:highlight w:val="none"/>
        </w:rPr>
        <w:t>F</w:t>
      </w:r>
      <w:r>
        <w:rPr>
          <w:rFonts w:ascii="Times New Roman"/>
          <w:color w:val="auto"/>
          <w:sz w:val="32"/>
          <w:szCs w:val="32"/>
          <w:highlight w:val="none"/>
          <w:vertAlign w:val="subscript"/>
        </w:rPr>
        <w:t>z</w:t>
      </w:r>
      <w:r>
        <w:rPr>
          <w:rFonts w:ascii="Times New Roman"/>
          <w:color w:val="auto"/>
          <w:sz w:val="32"/>
          <w:szCs w:val="32"/>
          <w:highlight w:val="none"/>
        </w:rPr>
        <w:t>-V</w:t>
      </w:r>
      <w:r>
        <w:rPr>
          <w:rFonts w:ascii="Times New Roman"/>
          <w:color w:val="auto"/>
          <w:sz w:val="32"/>
          <w:szCs w:val="32"/>
          <w:highlight w:val="none"/>
          <w:vertAlign w:val="subscript"/>
        </w:rPr>
        <w:t>L</w:t>
      </w:r>
    </w:p>
    <w:p>
      <w:pPr>
        <w:spacing w:before="156" w:after="156"/>
        <w:ind w:firstLine="480"/>
        <w:rPr>
          <w:rFonts w:ascii="Times New Roman"/>
          <w:color w:val="auto"/>
          <w:highlight w:val="none"/>
        </w:rPr>
      </w:pPr>
      <w:r>
        <w:rPr>
          <w:rFonts w:ascii="Times New Roman"/>
          <w:color w:val="auto"/>
          <w:highlight w:val="none"/>
        </w:rPr>
        <w:t>式中：Φ</w:t>
      </w:r>
      <w:r>
        <w:rPr>
          <w:rFonts w:ascii="Times New Roman"/>
          <w:color w:val="auto"/>
          <w:highlight w:val="none"/>
          <w:vertAlign w:val="subscript"/>
        </w:rPr>
        <w:t>z</w:t>
      </w:r>
      <w:r>
        <w:rPr>
          <w:rFonts w:ascii="Times New Roman"/>
          <w:color w:val="auto"/>
          <w:highlight w:val="none"/>
        </w:rPr>
        <w:t>—建设场地综合雨量径流系数</w:t>
      </w:r>
    </w:p>
    <w:p>
      <w:pPr>
        <w:spacing w:before="156" w:after="156"/>
        <w:ind w:firstLine="1200" w:firstLineChars="500"/>
        <w:rPr>
          <w:rFonts w:ascii="Times New Roman"/>
          <w:color w:val="auto"/>
          <w:highlight w:val="none"/>
        </w:rPr>
      </w:pPr>
      <w:r>
        <w:rPr>
          <w:rFonts w:ascii="Times New Roman"/>
          <w:color w:val="auto"/>
          <w:highlight w:val="none"/>
        </w:rPr>
        <w:t>h</w:t>
      </w:r>
      <w:r>
        <w:rPr>
          <w:rFonts w:ascii="Times New Roman"/>
          <w:color w:val="auto"/>
          <w:highlight w:val="none"/>
          <w:vertAlign w:val="subscript"/>
        </w:rPr>
        <w:t>p</w:t>
      </w:r>
      <w:r>
        <w:rPr>
          <w:rFonts w:ascii="Times New Roman"/>
          <w:color w:val="auto"/>
          <w:highlight w:val="none"/>
        </w:rPr>
        <w:t>—日降雨量（mm）</w:t>
      </w:r>
    </w:p>
    <w:p>
      <w:pPr>
        <w:spacing w:before="156" w:after="156"/>
        <w:ind w:firstLine="1200" w:firstLineChars="500"/>
        <w:rPr>
          <w:rFonts w:ascii="Times New Roman"/>
          <w:color w:val="auto"/>
          <w:highlight w:val="none"/>
        </w:rPr>
      </w:pPr>
      <w:r>
        <w:rPr>
          <w:rFonts w:ascii="Times New Roman"/>
          <w:color w:val="auto"/>
          <w:highlight w:val="none"/>
        </w:rPr>
        <w:t>F</w:t>
      </w:r>
      <w:r>
        <w:rPr>
          <w:rFonts w:ascii="Times New Roman"/>
          <w:color w:val="auto"/>
          <w:highlight w:val="none"/>
          <w:vertAlign w:val="subscript"/>
        </w:rPr>
        <w:t>z</w:t>
      </w:r>
      <w:r>
        <w:rPr>
          <w:rFonts w:ascii="Times New Roman"/>
          <w:color w:val="auto"/>
          <w:highlight w:val="none"/>
        </w:rPr>
        <w:t>—建设场地总面积（</w:t>
      </w:r>
      <w:r>
        <w:rPr>
          <w:rFonts w:hint="eastAsia" w:ascii="Times New Roman"/>
          <w:color w:val="auto"/>
          <w:highlight w:val="none"/>
          <w:lang w:val="en-US" w:eastAsia="zh-CN"/>
        </w:rPr>
        <w:t>ha</w:t>
      </w:r>
      <w:r>
        <w:rPr>
          <w:rFonts w:ascii="Times New Roman"/>
          <w:color w:val="auto"/>
          <w:highlight w:val="none"/>
        </w:rPr>
        <w:t>）</w:t>
      </w:r>
    </w:p>
    <w:p>
      <w:pPr>
        <w:spacing w:before="156" w:after="156"/>
        <w:ind w:firstLine="1200" w:firstLineChars="500"/>
        <w:rPr>
          <w:rFonts w:ascii="Times New Roman"/>
          <w:color w:val="auto"/>
          <w:highlight w:val="none"/>
        </w:rPr>
      </w:pPr>
      <w:r>
        <w:rPr>
          <w:rFonts w:ascii="Times New Roman"/>
          <w:color w:val="auto"/>
          <w:highlight w:val="none"/>
        </w:rPr>
        <w:t>V</w:t>
      </w:r>
      <w:r>
        <w:rPr>
          <w:rFonts w:ascii="Times New Roman"/>
          <w:color w:val="auto"/>
          <w:highlight w:val="none"/>
          <w:vertAlign w:val="subscript"/>
        </w:rPr>
        <w:t>L</w:t>
      </w:r>
      <w:r>
        <w:rPr>
          <w:rFonts w:ascii="Times New Roman"/>
          <w:color w:val="auto"/>
          <w:highlight w:val="none"/>
        </w:rPr>
        <w:t>—雨水控制及利用设施截留雨量（m³）</w:t>
      </w:r>
    </w:p>
    <w:p>
      <w:pPr>
        <w:spacing w:before="156" w:after="156"/>
        <w:ind w:firstLine="480"/>
        <w:rPr>
          <w:rFonts w:ascii="Times New Roman" w:hAnsi="Times New Roman" w:cs="Times New Roman"/>
          <w:color w:val="auto"/>
          <w:highlight w:val="none"/>
        </w:rPr>
      </w:pPr>
      <w:r>
        <w:rPr>
          <w:rFonts w:ascii="Times New Roman" w:hAnsi="Times New Roman" w:cs="Times New Roman"/>
          <w:color w:val="auto"/>
          <w:highlight w:val="none"/>
        </w:rPr>
        <w:t>根据表4-4，本项目建设场地综合雨量径流系数Φz为0.</w:t>
      </w:r>
      <w:r>
        <w:rPr>
          <w:rFonts w:hint="eastAsia" w:ascii="Times New Roman" w:cs="Times New Roman"/>
          <w:color w:val="auto"/>
          <w:highlight w:val="none"/>
          <w:lang w:val="en-US" w:eastAsia="zh-CN"/>
        </w:rPr>
        <w:t>516</w:t>
      </w:r>
      <w:r>
        <w:rPr>
          <w:rFonts w:ascii="Times New Roman" w:hAnsi="Times New Roman" w:cs="Times New Roman"/>
          <w:color w:val="auto"/>
          <w:highlight w:val="none"/>
        </w:rPr>
        <w:t>；广州市常年最大24h降雨量hp取51.8mm；建设场地总面积Fz为</w:t>
      </w:r>
      <w:r>
        <w:rPr>
          <w:rFonts w:hint="eastAsia" w:ascii="Times New Roman" w:cs="Times New Roman"/>
          <w:color w:val="auto"/>
          <w:highlight w:val="none"/>
          <w:lang w:val="en-US" w:eastAsia="zh-CN"/>
        </w:rPr>
        <w:t>19621.20</w:t>
      </w:r>
      <w:r>
        <w:rPr>
          <w:rFonts w:hint="eastAsia" w:ascii="Times New Roman" w:cs="Times New Roman"/>
          <w:color w:val="auto"/>
          <w:highlight w:val="none"/>
          <w:lang w:eastAsia="zh-CN"/>
        </w:rPr>
        <w:t>㎡</w:t>
      </w:r>
      <w:r>
        <w:rPr>
          <w:rFonts w:ascii="Times New Roman" w:hAnsi="Times New Roman" w:cs="Times New Roman"/>
          <w:color w:val="auto"/>
          <w:highlight w:val="none"/>
        </w:rPr>
        <w:t>。根据表4-8，本项目LID设施实际有效调蓄容积即雨水控制及利用设施截留雨量VL为</w:t>
      </w:r>
      <w:r>
        <w:rPr>
          <w:rFonts w:hint="eastAsia" w:ascii="Times New Roman" w:cs="Times New Roman"/>
          <w:color w:val="auto"/>
          <w:highlight w:val="none"/>
          <w:lang w:val="en-US" w:eastAsia="zh-CN"/>
        </w:rPr>
        <w:t>471.45</w:t>
      </w:r>
      <w:r>
        <w:rPr>
          <w:rFonts w:ascii="Times New Roman" w:hAnsi="Times New Roman" w:cs="Times New Roman"/>
          <w:color w:val="auto"/>
          <w:highlight w:val="none"/>
        </w:rPr>
        <w:t>m³。因此本项目建设场地外排雨水总量Wp为</w:t>
      </w:r>
      <w:r>
        <w:rPr>
          <w:rFonts w:hint="eastAsia" w:ascii="Times New Roman" w:cs="Times New Roman"/>
          <w:color w:val="auto"/>
          <w:highlight w:val="none"/>
          <w:lang w:val="en-US" w:eastAsia="zh-CN"/>
        </w:rPr>
        <w:t>52.43</w:t>
      </w:r>
      <w:r>
        <w:rPr>
          <w:rFonts w:ascii="Times New Roman" w:hAnsi="Times New Roman" w:cs="Times New Roman"/>
          <w:color w:val="auto"/>
          <w:highlight w:val="none"/>
        </w:rPr>
        <w:t>m³。</w:t>
      </w:r>
    </w:p>
    <w:p>
      <w:pPr>
        <w:pStyle w:val="2"/>
        <w:spacing w:before="156" w:after="156"/>
        <w:rPr>
          <w:color w:val="auto"/>
          <w:highlight w:val="none"/>
        </w:rPr>
        <w:sectPr>
          <w:pgSz w:w="11850" w:h="16783"/>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bookmarkStart w:id="69" w:name="_Toc17954"/>
      <w:bookmarkStart w:id="70" w:name="_Toc10329"/>
      <w:bookmarkStart w:id="71" w:name="_Toc515977248"/>
      <w:bookmarkStart w:id="72" w:name="_Toc515976567"/>
      <w:bookmarkStart w:id="73" w:name="_Toc515976872"/>
      <w:bookmarkStart w:id="74" w:name="_Toc527731095"/>
    </w:p>
    <w:p>
      <w:pPr>
        <w:pStyle w:val="2"/>
        <w:spacing w:before="156" w:after="156"/>
        <w:rPr>
          <w:color w:val="auto"/>
          <w:highlight w:val="none"/>
        </w:rPr>
      </w:pPr>
      <w:bookmarkStart w:id="75" w:name="_Toc17567"/>
      <w:r>
        <w:rPr>
          <w:rFonts w:hint="eastAsia"/>
          <w:color w:val="auto"/>
          <w:highlight w:val="none"/>
        </w:rPr>
        <w:t>5、项目海绵城市设计指标及结果</w:t>
      </w:r>
      <w:bookmarkEnd w:id="69"/>
      <w:bookmarkEnd w:id="75"/>
    </w:p>
    <w:p>
      <w:pPr>
        <w:spacing w:beforeLines="0" w:afterLines="0" w:line="360" w:lineRule="auto"/>
        <w:ind w:firstLine="480"/>
        <w:rPr>
          <w:rFonts w:hint="eastAsia" w:hAnsi="宋体" w:cs="宋体"/>
          <w:color w:val="auto"/>
          <w:highlight w:val="none"/>
        </w:rPr>
      </w:pPr>
      <w:r>
        <w:rPr>
          <w:rFonts w:hint="eastAsia" w:hAnsi="宋体" w:cs="宋体"/>
          <w:color w:val="auto"/>
          <w:highlight w:val="none"/>
        </w:rPr>
        <w:t>通过对本项目海绵城市的设计及计算，本项目海绵城市设计各项指标结果如下表所示：</w:t>
      </w:r>
    </w:p>
    <w:p>
      <w:pPr>
        <w:autoSpaceDE/>
        <w:autoSpaceDN/>
        <w:adjustRightInd/>
        <w:spacing w:beforeLines="0" w:afterLines="0" w:line="360" w:lineRule="auto"/>
        <w:ind w:firstLine="482"/>
        <w:jc w:val="center"/>
        <w:rPr>
          <w:rFonts w:hAnsi="宋体" w:cs="宋体"/>
          <w:b/>
          <w:bCs/>
          <w:color w:val="auto"/>
          <w:highlight w:val="none"/>
        </w:rPr>
      </w:pPr>
      <w:r>
        <w:rPr>
          <w:rFonts w:hint="eastAsia" w:hAnsi="宋体" w:cs="宋体"/>
          <w:b/>
          <w:bCs/>
          <w:color w:val="auto"/>
          <w:highlight w:val="none"/>
        </w:rPr>
        <w:t>表5-1  海绵城市专项设计方案自评表</w:t>
      </w:r>
    </w:p>
    <w:tbl>
      <w:tblPr>
        <w:tblStyle w:val="42"/>
        <w:tblpPr w:leftFromText="180" w:rightFromText="180" w:vertAnchor="text" w:horzAnchor="page" w:tblpX="1412" w:tblpY="458"/>
        <w:tblOverlap w:val="never"/>
        <w:tblW w:w="860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0"/>
        <w:gridCol w:w="863"/>
        <w:gridCol w:w="4235"/>
        <w:gridCol w:w="1560"/>
        <w:gridCol w:w="12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408" w:type="dxa"/>
            <w:gridSpan w:val="4"/>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年径流总量控制率目标（%）</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408" w:type="dxa"/>
            <w:gridSpan w:val="4"/>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年径流总量控制率目标对应设计降雨量（mm）</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408" w:type="dxa"/>
            <w:gridSpan w:val="4"/>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建设指标</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75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规划总用地（㎡）</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20296.00</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规划建设用地面积（㎡）</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19621.20</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restart"/>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绿地总面积（㎡）</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5050.05</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continue"/>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c>
          <w:tcPr>
            <w:tcW w:w="863"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w:t>
            </w:r>
          </w:p>
        </w:tc>
        <w:tc>
          <w:tcPr>
            <w:tcW w:w="4235"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下沉绿地（㎡）</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3402.91</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restart"/>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w:t>
            </w:r>
            <w:r>
              <w:rPr>
                <w:rFonts w:hint="eastAsia" w:ascii="宋体" w:hAnsi="宋体" w:eastAsia="宋体" w:cs="宋体"/>
                <w:color w:val="auto"/>
                <w:sz w:val="21"/>
                <w:szCs w:val="21"/>
                <w:highlight w:val="none"/>
                <w:lang w:val="en-US" w:eastAsia="zh-CN"/>
              </w:rPr>
              <w:t>硬化</w:t>
            </w:r>
            <w:r>
              <w:rPr>
                <w:rFonts w:hint="eastAsia" w:ascii="宋体" w:hAnsi="宋体" w:eastAsia="宋体" w:cs="宋体"/>
                <w:color w:val="auto"/>
                <w:sz w:val="21"/>
                <w:szCs w:val="21"/>
                <w:highlight w:val="none"/>
              </w:rPr>
              <w:t>铺装面积（㎡）</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6688.15</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continue"/>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c>
          <w:tcPr>
            <w:tcW w:w="863"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w:t>
            </w:r>
          </w:p>
        </w:tc>
        <w:tc>
          <w:tcPr>
            <w:tcW w:w="4235"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透水性铺装（㎡）</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5488.50</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室外硬</w:t>
            </w:r>
            <w:r>
              <w:rPr>
                <w:rFonts w:hint="eastAsia" w:ascii="宋体" w:hAnsi="宋体" w:eastAsia="宋体" w:cs="宋体"/>
                <w:color w:val="auto"/>
                <w:sz w:val="21"/>
                <w:szCs w:val="21"/>
                <w:highlight w:val="none"/>
                <w:lang w:val="en-US" w:eastAsia="zh-CN"/>
              </w:rPr>
              <w:t>化</w:t>
            </w:r>
            <w:r>
              <w:rPr>
                <w:rFonts w:hint="eastAsia" w:ascii="宋体" w:hAnsi="宋体" w:eastAsia="宋体" w:cs="宋体"/>
                <w:color w:val="auto"/>
                <w:sz w:val="21"/>
                <w:szCs w:val="21"/>
                <w:highlight w:val="none"/>
              </w:rPr>
              <w:t>地面面积（㎡）</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6688.15</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可渗透地面面积（绿地、透水铺装）（㎡）</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10538.55</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场地硬化面积（㎡）</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7847.08 </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场地雨水调蓄设施有效容积（m³）</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471.45</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restart"/>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综</w:t>
            </w:r>
          </w:p>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w:t>
            </w:r>
          </w:p>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自</w:t>
            </w:r>
          </w:p>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评</w:t>
            </w: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控制目标内容</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完成值</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目标值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continue"/>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年径流总量控制率（%）</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85.91</w:t>
            </w:r>
            <w:r>
              <w:rPr>
                <w:rFonts w:hint="eastAsia" w:ascii="宋体" w:hAnsi="宋体" w:eastAsia="宋体" w:cs="宋体"/>
                <w:color w:val="auto"/>
                <w:sz w:val="21"/>
                <w:szCs w:val="21"/>
                <w:highlight w:val="none"/>
              </w:rPr>
              <w:t>%</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continue"/>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雨水管网设计暴雨重现期（年）</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5年</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continue"/>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面源污染削减率（%）</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65.84</w:t>
            </w:r>
            <w:r>
              <w:rPr>
                <w:rFonts w:hint="eastAsia" w:ascii="宋体" w:hAnsi="宋体" w:eastAsia="宋体" w:cs="宋体"/>
                <w:color w:val="auto"/>
                <w:sz w:val="21"/>
                <w:szCs w:val="21"/>
                <w:highlight w:val="none"/>
              </w:rPr>
              <w:t>%</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continue"/>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下凹式绿地比例（%）</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67.38%</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continue"/>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室外可渗透地面率（%）</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89.77</w:t>
            </w:r>
            <w:r>
              <w:rPr>
                <w:rFonts w:hint="eastAsia" w:ascii="宋体" w:hAnsi="宋体" w:eastAsia="宋体" w:cs="宋体"/>
                <w:color w:val="auto"/>
                <w:sz w:val="21"/>
                <w:szCs w:val="21"/>
                <w:highlight w:val="none"/>
              </w:rPr>
              <w:t>%</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vMerge w:val="continue"/>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p>
        </w:tc>
        <w:tc>
          <w:tcPr>
            <w:tcW w:w="5098" w:type="dxa"/>
            <w:gridSpan w:val="2"/>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单位硬化面积调蓄容积</w:t>
            </w:r>
          </w:p>
        </w:tc>
        <w:tc>
          <w:tcPr>
            <w:tcW w:w="156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20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6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≥500m³/ha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750" w:type="dxa"/>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76"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结论</w:t>
            </w:r>
          </w:p>
        </w:tc>
        <w:tc>
          <w:tcPr>
            <w:tcW w:w="7858" w:type="dxa"/>
            <w:gridSpan w:val="4"/>
            <w:tcBorders>
              <w:tl2br w:val="nil"/>
              <w:tr2bl w:val="nil"/>
            </w:tcBorders>
            <w:shd w:val="clear" w:color="auto" w:fill="auto"/>
            <w:tcMar>
              <w:top w:w="15" w:type="dxa"/>
              <w:left w:w="15" w:type="dxa"/>
              <w:right w:w="15" w:type="dxa"/>
            </w:tcMar>
            <w:vAlign w:val="center"/>
          </w:tcPr>
          <w:p>
            <w:pPr>
              <w:pStyle w:val="51"/>
              <w:keepNext w:val="0"/>
              <w:keepLines w:val="0"/>
              <w:pageBreakBefore w:val="0"/>
              <w:widowControl w:val="0"/>
              <w:kinsoku/>
              <w:wordWrap/>
              <w:overflowPunct/>
              <w:topLinePunct w:val="0"/>
              <w:autoSpaceDE/>
              <w:autoSpaceDN/>
              <w:bidi w:val="0"/>
              <w:adjustRightInd w:val="0"/>
              <w:snapToGrid/>
              <w:spacing w:before="31" w:after="31" w:line="276"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本项目控制目标均全部达标（本项目场地硬化面积未超1万㎡，单位硬化面积调蓄容积无需按500m³/ha的指标配建）</w:t>
            </w:r>
          </w:p>
        </w:tc>
      </w:tr>
    </w:tbl>
    <w:p>
      <w:pPr>
        <w:pStyle w:val="128"/>
        <w:spacing w:beforeLines="0" w:afterLines="0" w:line="360" w:lineRule="auto"/>
        <w:ind w:left="315" w:hanging="315" w:hangingChars="150"/>
        <w:jc w:val="left"/>
        <w:rPr>
          <w:rFonts w:hint="eastAsia" w:ascii="宋体" w:hAnsi="宋体" w:cs="宋体"/>
          <w:color w:val="auto"/>
          <w:szCs w:val="21"/>
          <w:highlight w:val="none"/>
        </w:rPr>
      </w:pPr>
    </w:p>
    <w:p>
      <w:pPr>
        <w:pStyle w:val="128"/>
        <w:spacing w:beforeLines="0" w:afterLines="0" w:line="360" w:lineRule="auto"/>
        <w:ind w:left="315" w:hanging="315" w:hangingChars="150"/>
        <w:jc w:val="left"/>
        <w:rPr>
          <w:rFonts w:hint="eastAsia" w:ascii="宋体" w:hAnsi="宋体" w:cs="宋体"/>
          <w:color w:val="auto"/>
          <w:szCs w:val="21"/>
          <w:highlight w:val="none"/>
        </w:rPr>
      </w:pPr>
    </w:p>
    <w:p>
      <w:pPr>
        <w:pStyle w:val="128"/>
        <w:spacing w:beforeLines="0" w:afterLines="0" w:line="360" w:lineRule="auto"/>
        <w:ind w:left="315" w:hanging="315" w:hangingChars="150"/>
        <w:jc w:val="left"/>
        <w:rPr>
          <w:rFonts w:ascii="宋体" w:hAnsi="宋体" w:cs="宋体"/>
          <w:color w:val="auto"/>
          <w:szCs w:val="21"/>
          <w:highlight w:val="none"/>
        </w:rPr>
      </w:pPr>
      <w:r>
        <w:rPr>
          <w:rFonts w:hint="eastAsia" w:ascii="宋体" w:hAnsi="宋体" w:cs="宋体"/>
          <w:color w:val="auto"/>
          <w:szCs w:val="21"/>
          <w:highlight w:val="none"/>
        </w:rPr>
        <w:t>说明：</w:t>
      </w:r>
    </w:p>
    <w:p>
      <w:pPr>
        <w:pStyle w:val="128"/>
        <w:numPr>
          <w:ilvl w:val="0"/>
          <w:numId w:val="4"/>
        </w:numPr>
        <w:spacing w:beforeLines="0" w:afterLines="0" w:line="360" w:lineRule="auto"/>
        <w:ind w:firstLineChars="0"/>
        <w:jc w:val="left"/>
        <w:rPr>
          <w:rFonts w:ascii="宋体" w:hAnsi="宋体" w:cs="宋体"/>
          <w:color w:val="auto"/>
          <w:szCs w:val="21"/>
          <w:highlight w:val="none"/>
        </w:rPr>
      </w:pPr>
      <w:bookmarkStart w:id="76" w:name="_Toc476136170"/>
      <w:bookmarkStart w:id="77" w:name="_Toc476135222"/>
      <w:r>
        <w:rPr>
          <w:rFonts w:hint="eastAsia" w:ascii="宋体" w:hAnsi="宋体" w:cs="宋体"/>
          <w:color w:val="auto"/>
          <w:szCs w:val="21"/>
          <w:highlight w:val="none"/>
        </w:rPr>
        <w:t>年径流总量控制率：指根据多年日降雨量统计数据分析计算，通过自然和人工强化的渗透、储存、蒸发（腾）等方式，场地内累计全年得到控制（不外排）的雨量占全年总降雨量的百分比。</w:t>
      </w:r>
    </w:p>
    <w:p>
      <w:pPr>
        <w:pStyle w:val="128"/>
        <w:numPr>
          <w:ilvl w:val="0"/>
          <w:numId w:val="4"/>
        </w:numPr>
        <w:spacing w:beforeLines="0" w:afterLines="0" w:line="360" w:lineRule="auto"/>
        <w:ind w:firstLineChars="0"/>
        <w:jc w:val="left"/>
        <w:rPr>
          <w:rFonts w:ascii="宋体" w:hAnsi="宋体" w:cs="宋体"/>
          <w:color w:val="auto"/>
          <w:szCs w:val="21"/>
          <w:highlight w:val="none"/>
        </w:rPr>
      </w:pPr>
      <w:r>
        <w:rPr>
          <w:rFonts w:hint="eastAsia" w:ascii="宋体" w:hAnsi="宋体" w:cs="宋体"/>
          <w:color w:val="auto"/>
          <w:szCs w:val="21"/>
          <w:highlight w:val="none"/>
        </w:rPr>
        <w:t>室外硬</w:t>
      </w:r>
      <w:r>
        <w:rPr>
          <w:rFonts w:hint="eastAsia" w:ascii="宋体" w:hAnsi="宋体" w:cs="宋体"/>
          <w:color w:val="auto"/>
          <w:szCs w:val="21"/>
          <w:highlight w:val="none"/>
          <w:lang w:val="en-US" w:eastAsia="zh-CN"/>
        </w:rPr>
        <w:t>化</w:t>
      </w:r>
      <w:r>
        <w:rPr>
          <w:rFonts w:hint="eastAsia" w:ascii="宋体" w:hAnsi="宋体" w:cs="宋体"/>
          <w:color w:val="auto"/>
          <w:szCs w:val="21"/>
          <w:highlight w:val="none"/>
        </w:rPr>
        <w:t>地面面积：包括铺装等硬质地面，具体计算办法为“室外硬质地面面积=建设用地面积-建筑占地面积-水体面积</w:t>
      </w:r>
      <w:r>
        <w:rPr>
          <w:rFonts w:hint="eastAsia" w:ascii="宋体" w:hAnsi="宋体" w:cs="宋体"/>
          <w:color w:val="auto"/>
          <w:szCs w:val="21"/>
          <w:highlight w:val="none"/>
          <w:lang w:val="en-US" w:eastAsia="zh-CN"/>
        </w:rPr>
        <w:t>-绿地面积</w:t>
      </w:r>
      <w:r>
        <w:rPr>
          <w:rFonts w:hint="eastAsia" w:ascii="宋体" w:hAnsi="宋体" w:cs="宋体"/>
          <w:color w:val="auto"/>
          <w:szCs w:val="21"/>
          <w:highlight w:val="none"/>
        </w:rPr>
        <w:t>”。</w:t>
      </w:r>
    </w:p>
    <w:p>
      <w:pPr>
        <w:pStyle w:val="128"/>
        <w:numPr>
          <w:ilvl w:val="0"/>
          <w:numId w:val="4"/>
        </w:numPr>
        <w:spacing w:beforeLines="0" w:afterLines="0" w:line="360" w:lineRule="auto"/>
        <w:ind w:firstLineChars="0"/>
        <w:jc w:val="left"/>
        <w:rPr>
          <w:rFonts w:ascii="宋体" w:hAnsi="宋体" w:cs="宋体"/>
          <w:color w:val="auto"/>
          <w:szCs w:val="21"/>
          <w:highlight w:val="none"/>
        </w:rPr>
      </w:pPr>
      <w:r>
        <w:rPr>
          <w:rFonts w:hint="eastAsia" w:ascii="宋体" w:hAnsi="宋体" w:cs="宋体"/>
          <w:color w:val="auto"/>
          <w:szCs w:val="21"/>
          <w:highlight w:val="none"/>
        </w:rPr>
        <w:t>场地硬化面积：包括建设用地范围内的屋顶、道路、广场、庭院等部分的硬化面积，具体计算办法为“硬化面积=建设用地面积-绿地面积（包括实现绿化的屋顶）-透水铺装用地面积”。其中屋顶硬化面积，按屋顶（不包括实现绿化的屋顶）的投影面积计算。</w:t>
      </w:r>
    </w:p>
    <w:p>
      <w:pPr>
        <w:pStyle w:val="128"/>
        <w:numPr>
          <w:ilvl w:val="0"/>
          <w:numId w:val="4"/>
        </w:numPr>
        <w:spacing w:beforeLines="0" w:afterLines="0" w:line="360" w:lineRule="auto"/>
        <w:ind w:firstLineChars="0"/>
        <w:jc w:val="left"/>
        <w:rPr>
          <w:rFonts w:ascii="宋体" w:hAnsi="宋体" w:cs="宋体"/>
          <w:color w:val="auto"/>
          <w:szCs w:val="21"/>
          <w:highlight w:val="none"/>
        </w:rPr>
      </w:pPr>
      <w:r>
        <w:rPr>
          <w:rFonts w:hint="eastAsia" w:ascii="宋体" w:hAnsi="宋体" w:cs="宋体"/>
          <w:color w:val="auto"/>
          <w:szCs w:val="21"/>
          <w:highlight w:val="none"/>
        </w:rPr>
        <w:t>下凹式绿地比例：是指包括简易式生物滞留设施（使用时必须考虑土壤下渗性能等因素）、复杂生物滞留设施等，低于场地的绿地面积占全部绿地面积的比例。</w:t>
      </w:r>
      <w:bookmarkEnd w:id="76"/>
      <w:bookmarkEnd w:id="77"/>
    </w:p>
    <w:p>
      <w:pPr>
        <w:pStyle w:val="128"/>
        <w:numPr>
          <w:ilvl w:val="0"/>
          <w:numId w:val="4"/>
        </w:numPr>
        <w:spacing w:beforeLines="0" w:afterLines="0" w:line="360" w:lineRule="auto"/>
        <w:ind w:left="360" w:leftChars="0" w:hanging="360" w:firstLineChars="0"/>
        <w:jc w:val="left"/>
        <w:rPr>
          <w:rFonts w:ascii="宋体" w:hAnsi="宋体" w:cs="宋体"/>
          <w:color w:val="auto"/>
          <w:szCs w:val="21"/>
          <w:highlight w:val="none"/>
        </w:rPr>
      </w:pPr>
      <w:r>
        <w:rPr>
          <w:rFonts w:hint="eastAsia" w:ascii="宋体" w:hAnsi="宋体" w:cs="宋体"/>
          <w:color w:val="auto"/>
          <w:szCs w:val="21"/>
          <w:highlight w:val="none"/>
        </w:rPr>
        <w:t>透水铺装率：人行道、停车场、广场具有渗透功能铺装面积占除机动车道以外全部铺装的比例。</w:t>
      </w:r>
    </w:p>
    <w:p>
      <w:pPr>
        <w:pStyle w:val="128"/>
        <w:widowControl w:val="0"/>
        <w:numPr>
          <w:ilvl w:val="0"/>
          <w:numId w:val="4"/>
        </w:numPr>
        <w:autoSpaceDE/>
        <w:autoSpaceDN/>
        <w:adjustRightInd/>
        <w:spacing w:beforeLines="0" w:afterLines="0" w:line="360" w:lineRule="auto"/>
        <w:ind w:left="360" w:leftChars="0" w:hanging="360" w:firstLineChars="0"/>
        <w:jc w:val="left"/>
        <w:rPr>
          <w:rFonts w:hint="eastAsia" w:ascii="宋体" w:hAnsi="宋体" w:cs="宋体"/>
          <w:color w:val="auto"/>
          <w:sz w:val="21"/>
          <w:szCs w:val="21"/>
          <w:highlight w:val="none"/>
          <w:lang w:val="en-US" w:eastAsia="zh-CN"/>
        </w:rPr>
      </w:pPr>
      <w:r>
        <w:rPr>
          <w:rFonts w:hint="eastAsia" w:ascii="宋体" w:hAnsi="宋体" w:cs="宋体"/>
          <w:color w:val="auto"/>
          <w:szCs w:val="21"/>
          <w:highlight w:val="none"/>
          <w:lang w:val="en-US" w:eastAsia="zh-CN"/>
        </w:rPr>
        <w:t>室外可渗透地面率=</w:t>
      </w:r>
      <w:r>
        <w:rPr>
          <w:rFonts w:hint="eastAsia" w:ascii="宋体" w:hAnsi="宋体" w:eastAsia="宋体" w:cs="宋体"/>
          <w:color w:val="auto"/>
          <w:sz w:val="21"/>
          <w:szCs w:val="21"/>
          <w:highlight w:val="none"/>
        </w:rPr>
        <w:t>可渗透地面面积（绿地、透水铺装）</w:t>
      </w:r>
      <w:r>
        <w:rPr>
          <w:rFonts w:hint="eastAsia" w:ascii="宋体" w:hAnsi="宋体" w:cs="宋体"/>
          <w:color w:val="auto"/>
          <w:sz w:val="21"/>
          <w:szCs w:val="21"/>
          <w:highlight w:val="none"/>
          <w:lang w:val="en-US" w:eastAsia="zh-CN"/>
        </w:rPr>
        <w:t>/场地室外用地面积；</w:t>
      </w:r>
    </w:p>
    <w:p>
      <w:pPr>
        <w:pStyle w:val="128"/>
        <w:widowControl w:val="0"/>
        <w:numPr>
          <w:ilvl w:val="0"/>
          <w:numId w:val="0"/>
        </w:numPr>
        <w:autoSpaceDE/>
        <w:autoSpaceDN/>
        <w:adjustRightInd/>
        <w:spacing w:beforeLines="0" w:afterLines="0" w:line="360" w:lineRule="auto"/>
        <w:ind w:firstLine="210" w:firstLineChars="10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其中，</w:t>
      </w:r>
      <w:r>
        <w:rPr>
          <w:rFonts w:hint="eastAsia" w:ascii="宋体" w:hAnsi="宋体" w:eastAsia="宋体" w:cs="宋体"/>
          <w:color w:val="auto"/>
          <w:sz w:val="21"/>
          <w:szCs w:val="21"/>
          <w:highlight w:val="none"/>
        </w:rPr>
        <w:t>可渗透地面面积（绿地、透水铺装</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=5050.05+5488.50=10538.55㎡；</w:t>
      </w:r>
    </w:p>
    <w:p>
      <w:pPr>
        <w:pStyle w:val="128"/>
        <w:widowControl w:val="0"/>
        <w:numPr>
          <w:ilvl w:val="0"/>
          <w:numId w:val="0"/>
        </w:numPr>
        <w:autoSpaceDE/>
        <w:autoSpaceDN/>
        <w:adjustRightInd/>
        <w:spacing w:beforeLines="0" w:afterLines="0" w:line="360" w:lineRule="auto"/>
        <w:ind w:leftChars="0" w:firstLine="210" w:firstLineChars="10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场地室外用地面积=规划建设用地面积-建筑基底面积=19621.20-7883.00=11738.20㎡</w:t>
      </w:r>
    </w:p>
    <w:p>
      <w:pPr>
        <w:pStyle w:val="128"/>
        <w:widowControl w:val="0"/>
        <w:numPr>
          <w:ilvl w:val="0"/>
          <w:numId w:val="0"/>
        </w:numPr>
        <w:autoSpaceDE/>
        <w:autoSpaceDN/>
        <w:adjustRightInd/>
        <w:spacing w:beforeLines="0" w:afterLines="0" w:line="360" w:lineRule="auto"/>
        <w:ind w:leftChars="0" w:firstLine="210" w:firstLineChars="100"/>
        <w:jc w:val="left"/>
        <w:rPr>
          <w:rFonts w:hint="default" w:ascii="宋体" w:hAnsi="宋体" w:cs="宋体"/>
          <w:color w:val="auto"/>
          <w:sz w:val="21"/>
          <w:szCs w:val="21"/>
          <w:highlight w:val="none"/>
          <w:lang w:val="en-US" w:eastAsia="zh-CN"/>
        </w:rPr>
      </w:pPr>
      <w:r>
        <w:rPr>
          <w:rFonts w:hint="eastAsia" w:ascii="宋体" w:hAnsi="宋体" w:cs="宋体"/>
          <w:color w:val="auto"/>
          <w:szCs w:val="21"/>
          <w:highlight w:val="none"/>
          <w:lang w:val="en-US" w:eastAsia="zh-CN"/>
        </w:rPr>
        <w:t>室外可渗透地面率=</w:t>
      </w:r>
      <w:r>
        <w:rPr>
          <w:rFonts w:hint="eastAsia" w:ascii="宋体" w:hAnsi="宋体" w:cs="宋体"/>
          <w:color w:val="auto"/>
          <w:sz w:val="21"/>
          <w:szCs w:val="21"/>
          <w:highlight w:val="none"/>
          <w:lang w:val="en-US" w:eastAsia="zh-CN"/>
        </w:rPr>
        <w:t>10538.55/11738.20=89.77%；</w:t>
      </w:r>
    </w:p>
    <w:p>
      <w:pPr>
        <w:pStyle w:val="128"/>
        <w:widowControl w:val="0"/>
        <w:numPr>
          <w:ilvl w:val="0"/>
          <w:numId w:val="0"/>
        </w:numPr>
        <w:autoSpaceDE/>
        <w:autoSpaceDN/>
        <w:adjustRightInd/>
        <w:spacing w:beforeLines="0" w:afterLines="0" w:line="360" w:lineRule="auto"/>
        <w:jc w:val="left"/>
        <w:rPr>
          <w:rFonts w:hint="default" w:ascii="宋体" w:hAnsi="宋体" w:cs="宋体"/>
          <w:color w:val="auto"/>
          <w:sz w:val="21"/>
          <w:szCs w:val="21"/>
          <w:highlight w:val="none"/>
          <w:lang w:val="en-US" w:eastAsia="zh-CN"/>
        </w:rPr>
        <w:sectPr>
          <w:pgSz w:w="11850" w:h="16783"/>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宋体" w:hAnsi="宋体" w:cs="宋体"/>
          <w:color w:val="auto"/>
          <w:sz w:val="21"/>
          <w:szCs w:val="21"/>
          <w:highlight w:val="none"/>
          <w:lang w:val="en-US" w:eastAsia="zh-CN"/>
        </w:rPr>
        <w:br w:type="textWrapping"/>
      </w:r>
    </w:p>
    <w:bookmarkEnd w:id="70"/>
    <w:bookmarkEnd w:id="71"/>
    <w:bookmarkEnd w:id="72"/>
    <w:bookmarkEnd w:id="73"/>
    <w:bookmarkEnd w:id="74"/>
    <w:p>
      <w:pPr>
        <w:pStyle w:val="2"/>
        <w:spacing w:before="156" w:after="156"/>
        <w:rPr>
          <w:color w:val="auto"/>
          <w:highlight w:val="none"/>
        </w:rPr>
      </w:pPr>
      <w:bookmarkStart w:id="78" w:name="_Toc1733387"/>
      <w:bookmarkStart w:id="79" w:name="_Toc114"/>
      <w:bookmarkStart w:id="80" w:name="_Toc29448"/>
      <w:r>
        <w:rPr>
          <w:rFonts w:hint="eastAsia"/>
          <w:color w:val="auto"/>
          <w:highlight w:val="none"/>
        </w:rPr>
        <w:t>6、维护管理</w:t>
      </w:r>
      <w:bookmarkEnd w:id="78"/>
      <w:bookmarkEnd w:id="79"/>
      <w:bookmarkEnd w:id="80"/>
    </w:p>
    <w:p>
      <w:pPr>
        <w:pStyle w:val="3"/>
        <w:spacing w:before="156" w:after="156"/>
        <w:rPr>
          <w:color w:val="auto"/>
          <w:highlight w:val="none"/>
        </w:rPr>
      </w:pPr>
      <w:bookmarkStart w:id="81" w:name="_Toc515976571"/>
      <w:bookmarkStart w:id="82" w:name="_Toc515976876"/>
      <w:bookmarkStart w:id="83" w:name="_Toc527731099"/>
      <w:bookmarkStart w:id="84" w:name="_Toc515977252"/>
      <w:bookmarkStart w:id="85" w:name="_Toc8837"/>
      <w:r>
        <w:rPr>
          <w:rFonts w:hint="eastAsia"/>
          <w:color w:val="auto"/>
          <w:highlight w:val="none"/>
        </w:rPr>
        <w:t>6.1基本要求</w:t>
      </w:r>
      <w:bookmarkEnd w:id="81"/>
      <w:bookmarkEnd w:id="82"/>
      <w:bookmarkEnd w:id="83"/>
      <w:bookmarkEnd w:id="84"/>
      <w:bookmarkEnd w:id="85"/>
    </w:p>
    <w:p>
      <w:pPr>
        <w:spacing w:before="156" w:after="156" w:line="360" w:lineRule="auto"/>
        <w:ind w:left="480" w:hanging="480" w:hangingChars="200"/>
        <w:rPr>
          <w:rFonts w:hAnsi="宋体" w:cs="宋体"/>
          <w:color w:val="auto"/>
          <w:highlight w:val="none"/>
        </w:rPr>
      </w:pPr>
      <w:r>
        <w:rPr>
          <w:rFonts w:hint="eastAsia" w:hAnsi="宋体" w:cs="宋体"/>
          <w:color w:val="auto"/>
          <w:highlight w:val="none"/>
        </w:rPr>
        <w:t>1）应建立健全低影响开发设施的维护管理制度和操作规程，配备专职管理人员和相应监测手段，并对管理人员和操作人员加强专业技术培训。</w:t>
      </w:r>
    </w:p>
    <w:p>
      <w:pPr>
        <w:spacing w:before="156" w:after="156" w:line="360" w:lineRule="auto"/>
        <w:ind w:left="480" w:hanging="480" w:hangingChars="200"/>
        <w:rPr>
          <w:rFonts w:hAnsi="宋体" w:cs="宋体"/>
          <w:color w:val="auto"/>
          <w:highlight w:val="none"/>
        </w:rPr>
      </w:pPr>
      <w:r>
        <w:rPr>
          <w:rFonts w:hint="eastAsia" w:hAnsi="宋体" w:cs="宋体"/>
          <w:color w:val="auto"/>
          <w:highlight w:val="none"/>
        </w:rPr>
        <w:t>2）低影响开发于是设施的维护管理部门应做好雨季来临前和雨季期间设施的检修和维护管理，保障设施正常、安全运行。</w:t>
      </w:r>
    </w:p>
    <w:p>
      <w:pPr>
        <w:spacing w:before="156" w:after="156" w:line="360" w:lineRule="auto"/>
        <w:ind w:left="480" w:hanging="480" w:hangingChars="200"/>
        <w:rPr>
          <w:rFonts w:hAnsi="宋体" w:cs="宋体"/>
          <w:color w:val="auto"/>
          <w:highlight w:val="none"/>
        </w:rPr>
      </w:pPr>
      <w:r>
        <w:rPr>
          <w:rFonts w:hint="eastAsia" w:hAnsi="宋体" w:cs="宋体"/>
          <w:color w:val="auto"/>
          <w:highlight w:val="none"/>
        </w:rPr>
        <w:t>3）应加强宣传教育和引导，提高公众对海绵城市建设、低影响开发、绿色建筑、城市节水、水生态修复、内涝防治等工作中雨水控制与利用重要性的认识，鼓励公众积极参与低影响开发设施的建设、运行与维护。</w:t>
      </w:r>
    </w:p>
    <w:p>
      <w:pPr>
        <w:pStyle w:val="3"/>
        <w:spacing w:before="156" w:after="156"/>
        <w:rPr>
          <w:color w:val="auto"/>
          <w:highlight w:val="none"/>
        </w:rPr>
      </w:pPr>
      <w:bookmarkStart w:id="86" w:name="_Toc515977253"/>
      <w:bookmarkStart w:id="87" w:name="_Toc527731100"/>
      <w:bookmarkStart w:id="88" w:name="_Toc515976572"/>
      <w:bookmarkStart w:id="89" w:name="_Toc515976877"/>
      <w:bookmarkStart w:id="90" w:name="_Toc20753"/>
      <w:bookmarkStart w:id="91" w:name="_Toc25974"/>
      <w:r>
        <w:rPr>
          <w:rFonts w:hint="eastAsia"/>
          <w:color w:val="auto"/>
          <w:highlight w:val="none"/>
        </w:rPr>
        <w:t>6.2设施维护</w:t>
      </w:r>
      <w:bookmarkEnd w:id="86"/>
      <w:bookmarkEnd w:id="87"/>
      <w:bookmarkEnd w:id="88"/>
      <w:bookmarkEnd w:id="89"/>
      <w:bookmarkEnd w:id="90"/>
      <w:bookmarkEnd w:id="91"/>
    </w:p>
    <w:p>
      <w:pPr>
        <w:spacing w:before="156" w:after="156" w:line="360" w:lineRule="auto"/>
        <w:ind w:left="480" w:hanging="480" w:hangingChars="200"/>
        <w:rPr>
          <w:rFonts w:hAnsi="宋体"/>
          <w:color w:val="auto"/>
          <w:highlight w:val="none"/>
        </w:rPr>
      </w:pPr>
      <w:r>
        <w:rPr>
          <w:rFonts w:hint="eastAsia" w:hAnsi="宋体"/>
          <w:color w:val="auto"/>
          <w:highlight w:val="none"/>
        </w:rPr>
        <w:t>1）下沉绿地</w:t>
      </w:r>
    </w:p>
    <w:p>
      <w:pPr>
        <w:numPr>
          <w:ilvl w:val="0"/>
          <w:numId w:val="5"/>
        </w:numPr>
        <w:spacing w:before="156" w:after="156" w:line="360" w:lineRule="auto"/>
        <w:ind w:left="480" w:hanging="480" w:hangingChars="200"/>
        <w:rPr>
          <w:rFonts w:hAnsi="宋体"/>
          <w:color w:val="auto"/>
          <w:highlight w:val="none"/>
        </w:rPr>
      </w:pPr>
      <w:r>
        <w:rPr>
          <w:rFonts w:hint="eastAsia" w:hAnsi="宋体"/>
          <w:color w:val="auto"/>
          <w:highlight w:val="none"/>
        </w:rPr>
        <w:t>下沉绿地处设置警示标识，避免事故发生。</w:t>
      </w:r>
    </w:p>
    <w:p>
      <w:pPr>
        <w:numPr>
          <w:ilvl w:val="0"/>
          <w:numId w:val="5"/>
        </w:numPr>
        <w:spacing w:before="156" w:after="156" w:line="360" w:lineRule="auto"/>
        <w:ind w:left="480" w:hanging="480" w:hangingChars="200"/>
        <w:rPr>
          <w:rFonts w:hAnsi="宋体"/>
          <w:color w:val="auto"/>
          <w:highlight w:val="none"/>
        </w:rPr>
      </w:pPr>
      <w:r>
        <w:rPr>
          <w:rFonts w:hint="eastAsia" w:hAnsi="宋体"/>
          <w:color w:val="auto"/>
          <w:highlight w:val="none"/>
        </w:rPr>
        <w:t>应及时补种修剪植物、清除杂草；</w:t>
      </w:r>
    </w:p>
    <w:p>
      <w:pPr>
        <w:numPr>
          <w:ilvl w:val="0"/>
          <w:numId w:val="5"/>
        </w:numPr>
        <w:spacing w:before="156" w:after="156" w:line="360" w:lineRule="auto"/>
        <w:ind w:left="480" w:hanging="480" w:hangingChars="200"/>
        <w:rPr>
          <w:rFonts w:hAnsi="宋体"/>
          <w:color w:val="auto"/>
          <w:highlight w:val="none"/>
        </w:rPr>
      </w:pPr>
      <w:r>
        <w:rPr>
          <w:rFonts w:hint="eastAsia" w:hAnsi="宋体"/>
          <w:color w:val="auto"/>
          <w:highlight w:val="none"/>
        </w:rPr>
        <w:t>进水口不能有效收集汇水面径流雨水时，应加大进水口规模或进行局部下沉等；</w:t>
      </w:r>
    </w:p>
    <w:p>
      <w:pPr>
        <w:numPr>
          <w:ilvl w:val="0"/>
          <w:numId w:val="5"/>
        </w:numPr>
        <w:spacing w:before="156" w:after="156" w:line="360" w:lineRule="auto"/>
        <w:ind w:left="480" w:hanging="480" w:hangingChars="200"/>
        <w:rPr>
          <w:rFonts w:hAnsi="宋体"/>
          <w:color w:val="auto"/>
          <w:highlight w:val="none"/>
        </w:rPr>
      </w:pPr>
      <w:r>
        <w:rPr>
          <w:rFonts w:hint="eastAsia" w:hAnsi="宋体"/>
          <w:color w:val="auto"/>
          <w:highlight w:val="none"/>
        </w:rPr>
        <w:t>进水口、溢流口因冲刷造成水土流失时，应设置碎石缓冲或采取其他防冲刷措施；</w:t>
      </w:r>
    </w:p>
    <w:p>
      <w:pPr>
        <w:numPr>
          <w:ilvl w:val="0"/>
          <w:numId w:val="5"/>
        </w:numPr>
        <w:spacing w:before="156" w:after="156" w:line="360" w:lineRule="auto"/>
        <w:ind w:left="480" w:hanging="480" w:hangingChars="200"/>
        <w:rPr>
          <w:rFonts w:hAnsi="宋体"/>
          <w:color w:val="auto"/>
          <w:highlight w:val="none"/>
        </w:rPr>
      </w:pPr>
      <w:r>
        <w:rPr>
          <w:rFonts w:hint="eastAsia" w:hAnsi="宋体"/>
          <w:color w:val="auto"/>
          <w:highlight w:val="none"/>
        </w:rPr>
        <w:t>进水口、溢流口堵塞或淤积导致过水不畅时，应及时清理垃圾与沉积物；</w:t>
      </w:r>
    </w:p>
    <w:p>
      <w:pPr>
        <w:numPr>
          <w:ilvl w:val="0"/>
          <w:numId w:val="5"/>
        </w:numPr>
        <w:spacing w:before="156" w:after="156" w:line="360" w:lineRule="auto"/>
        <w:ind w:left="480" w:hanging="480" w:hangingChars="200"/>
        <w:rPr>
          <w:rFonts w:hAnsi="宋体"/>
          <w:color w:val="auto"/>
          <w:highlight w:val="none"/>
        </w:rPr>
      </w:pPr>
      <w:r>
        <w:rPr>
          <w:rFonts w:hint="eastAsia" w:hAnsi="宋体"/>
          <w:color w:val="auto"/>
          <w:highlight w:val="none"/>
        </w:rPr>
        <w:t>调蓄空间因沉积物淤积导致调蓄能力不足时，应及时清理沉积物；</w:t>
      </w:r>
    </w:p>
    <w:p>
      <w:pPr>
        <w:numPr>
          <w:ilvl w:val="0"/>
          <w:numId w:val="5"/>
        </w:numPr>
        <w:spacing w:before="156" w:after="156" w:line="360" w:lineRule="auto"/>
        <w:ind w:left="480" w:hanging="480" w:hangingChars="200"/>
        <w:rPr>
          <w:rFonts w:hAnsi="宋体"/>
          <w:color w:val="auto"/>
          <w:highlight w:val="none"/>
        </w:rPr>
      </w:pPr>
      <w:r>
        <w:rPr>
          <w:rFonts w:hint="eastAsia" w:hAnsi="宋体"/>
          <w:color w:val="auto"/>
          <w:highlight w:val="none"/>
        </w:rPr>
        <w:t>当调蓄空间雨水的排空时间超过36h时，应及时置换树皮覆盖层或表层种植土；</w:t>
      </w:r>
    </w:p>
    <w:p>
      <w:pPr>
        <w:spacing w:before="156" w:after="156" w:line="360" w:lineRule="auto"/>
        <w:ind w:left="480" w:hanging="480" w:hangingChars="200"/>
        <w:rPr>
          <w:rFonts w:hAnsi="宋体"/>
          <w:color w:val="auto"/>
          <w:highlight w:val="none"/>
        </w:rPr>
      </w:pPr>
      <w:r>
        <w:rPr>
          <w:rFonts w:hint="eastAsia" w:hAnsi="宋体"/>
          <w:color w:val="auto"/>
          <w:highlight w:val="none"/>
        </w:rPr>
        <w:t>检修2次/年（雨季之前、期中），植物生长季节修剪1次/月。</w:t>
      </w:r>
    </w:p>
    <w:p>
      <w:pPr>
        <w:numPr>
          <w:ilvl w:val="0"/>
          <w:numId w:val="6"/>
        </w:numPr>
        <w:spacing w:before="156" w:after="156" w:line="360" w:lineRule="auto"/>
        <w:ind w:left="480" w:hanging="480" w:hangingChars="200"/>
        <w:rPr>
          <w:rFonts w:hAnsi="宋体"/>
          <w:color w:val="auto"/>
          <w:highlight w:val="none"/>
        </w:rPr>
      </w:pPr>
      <w:r>
        <w:rPr>
          <w:rFonts w:hint="eastAsia" w:hAnsi="宋体"/>
          <w:color w:val="auto"/>
          <w:highlight w:val="none"/>
        </w:rPr>
        <w:t>雨水花园</w:t>
      </w:r>
    </w:p>
    <w:p>
      <w:pPr>
        <w:spacing w:before="156" w:after="156" w:line="360" w:lineRule="auto"/>
        <w:ind w:left="200" w:firstLine="0" w:firstLineChars="0"/>
        <w:rPr>
          <w:rFonts w:hAnsi="宋体"/>
          <w:color w:val="auto"/>
          <w:highlight w:val="none"/>
        </w:rPr>
      </w:pPr>
      <w:r>
        <w:rPr>
          <w:rFonts w:hint="eastAsia" w:hAnsi="宋体"/>
          <w:color w:val="auto"/>
          <w:highlight w:val="none"/>
        </w:rPr>
        <w:t>a.进水口、溢流口因冲刷造成水土流失时，应设置碎石缓冲或采取其他防冲刷措施;</w:t>
      </w:r>
    </w:p>
    <w:p>
      <w:pPr>
        <w:spacing w:before="156" w:after="156" w:line="360" w:lineRule="auto"/>
        <w:ind w:left="200" w:firstLine="0" w:firstLineChars="0"/>
        <w:rPr>
          <w:rFonts w:hAnsi="宋体"/>
          <w:color w:val="auto"/>
          <w:highlight w:val="none"/>
        </w:rPr>
      </w:pPr>
      <w:r>
        <w:rPr>
          <w:rFonts w:hint="eastAsia" w:hAnsi="宋体"/>
          <w:color w:val="auto"/>
          <w:highlight w:val="none"/>
        </w:rPr>
        <w:t>b.进水口、溢流口堵塞或淤积导致过水不畅时，应及时清理垃圾与沉积物;</w:t>
      </w:r>
    </w:p>
    <w:p>
      <w:pPr>
        <w:spacing w:before="156" w:after="156" w:line="360" w:lineRule="auto"/>
        <w:ind w:firstLine="0" w:firstLineChars="0"/>
        <w:rPr>
          <w:rFonts w:hAnsi="宋体"/>
          <w:color w:val="auto"/>
          <w:highlight w:val="none"/>
        </w:rPr>
      </w:pPr>
      <w:r>
        <w:rPr>
          <w:rFonts w:hint="eastAsia" w:hAnsi="宋体"/>
          <w:color w:val="auto"/>
          <w:highlight w:val="none"/>
        </w:rPr>
        <w:t>c.前置塘/预处理池内沉积物淤积超过50%时，应及时进行清淤;</w:t>
      </w:r>
    </w:p>
    <w:p>
      <w:pPr>
        <w:spacing w:before="156" w:after="156" w:line="360" w:lineRule="auto"/>
        <w:ind w:firstLine="0" w:firstLineChars="0"/>
        <w:rPr>
          <w:rFonts w:hAnsi="宋体"/>
          <w:color w:val="auto"/>
          <w:highlight w:val="none"/>
        </w:rPr>
      </w:pPr>
      <w:r>
        <w:rPr>
          <w:rFonts w:hint="eastAsia" w:hAnsi="宋体"/>
          <w:color w:val="auto"/>
          <w:highlight w:val="none"/>
        </w:rPr>
        <w:t>d.防误接、误用、误饮等警示标识、护栏等安全防护设施及预警系统损坏或缺失时,</w:t>
      </w:r>
    </w:p>
    <w:p>
      <w:pPr>
        <w:spacing w:before="156" w:after="156" w:line="360" w:lineRule="auto"/>
        <w:ind w:left="480" w:hanging="480" w:hangingChars="200"/>
        <w:rPr>
          <w:rFonts w:hAnsi="宋体"/>
          <w:color w:val="auto"/>
          <w:highlight w:val="none"/>
        </w:rPr>
      </w:pPr>
      <w:r>
        <w:rPr>
          <w:rFonts w:hint="eastAsia" w:hAnsi="宋体"/>
          <w:color w:val="auto"/>
          <w:highlight w:val="none"/>
        </w:rPr>
        <w:t>3）透水铺装</w:t>
      </w:r>
    </w:p>
    <w:p>
      <w:pPr>
        <w:spacing w:before="156" w:after="156" w:line="360" w:lineRule="auto"/>
        <w:ind w:left="480" w:hanging="480" w:hangingChars="200"/>
        <w:rPr>
          <w:rFonts w:hAnsi="宋体"/>
          <w:color w:val="auto"/>
          <w:highlight w:val="none"/>
        </w:rPr>
      </w:pPr>
      <w:r>
        <w:rPr>
          <w:rFonts w:hint="eastAsia" w:hAnsi="宋体"/>
          <w:color w:val="auto"/>
          <w:highlight w:val="none"/>
        </w:rPr>
        <w:t>a.面层出现破损时应及时进行修补或更换；</w:t>
      </w:r>
    </w:p>
    <w:p>
      <w:pPr>
        <w:spacing w:before="156" w:after="156" w:line="360" w:lineRule="auto"/>
        <w:ind w:left="480" w:hanging="480" w:hangingChars="200"/>
        <w:rPr>
          <w:rFonts w:hAnsi="宋体"/>
          <w:color w:val="auto"/>
          <w:highlight w:val="none"/>
        </w:rPr>
      </w:pPr>
      <w:r>
        <w:rPr>
          <w:rFonts w:hint="eastAsia" w:hAnsi="宋体"/>
          <w:color w:val="auto"/>
          <w:highlight w:val="none"/>
        </w:rPr>
        <w:t>b.出现不均匀沉降时应进行局部整修找平；</w:t>
      </w:r>
    </w:p>
    <w:p>
      <w:pPr>
        <w:spacing w:before="156" w:after="156" w:line="360" w:lineRule="auto"/>
        <w:ind w:left="480" w:hanging="480" w:hangingChars="200"/>
        <w:rPr>
          <w:rFonts w:hAnsi="宋体"/>
          <w:color w:val="auto"/>
          <w:highlight w:val="none"/>
        </w:rPr>
      </w:pPr>
      <w:r>
        <w:rPr>
          <w:rFonts w:hint="eastAsia" w:hAnsi="宋体"/>
          <w:color w:val="auto"/>
          <w:highlight w:val="none"/>
        </w:rPr>
        <w:t>c.当渗透能力大幅下降时应采用冲洗、负压抽吸等方法及时进行清理；</w:t>
      </w:r>
    </w:p>
    <w:p>
      <w:pPr>
        <w:spacing w:before="156" w:after="156" w:line="360" w:lineRule="auto"/>
        <w:ind w:left="480" w:hanging="480" w:hangingChars="200"/>
        <w:rPr>
          <w:rFonts w:hAnsi="宋体"/>
          <w:color w:val="auto"/>
          <w:highlight w:val="none"/>
        </w:rPr>
      </w:pPr>
      <w:r>
        <w:rPr>
          <w:rFonts w:hint="eastAsia" w:hAnsi="宋体"/>
          <w:color w:val="auto"/>
          <w:highlight w:val="none"/>
        </w:rPr>
        <w:t>d.检修、疏通透水能力 2 次/年（雨季之前和期中）。</w:t>
      </w:r>
    </w:p>
    <w:p>
      <w:pPr>
        <w:pStyle w:val="2"/>
        <w:tabs>
          <w:tab w:val="clear" w:pos="0"/>
        </w:tabs>
        <w:spacing w:before="156" w:after="156"/>
        <w:jc w:val="both"/>
        <w:rPr>
          <w:rStyle w:val="163"/>
          <w:color w:val="auto"/>
          <w:sz w:val="36"/>
          <w:szCs w:val="36"/>
          <w:highlight w:val="none"/>
        </w:rPr>
      </w:pPr>
      <w:bookmarkStart w:id="92" w:name="_Toc20635"/>
      <w:bookmarkStart w:id="93" w:name="_Toc8080713"/>
      <w:bookmarkStart w:id="94" w:name="_Toc19526"/>
      <w:bookmarkStart w:id="95" w:name="_Toc1748"/>
      <w:bookmarkStart w:id="96" w:name="_Toc31577"/>
      <w:r>
        <w:rPr>
          <w:rStyle w:val="163"/>
          <w:rFonts w:hint="eastAsia"/>
          <w:color w:val="auto"/>
          <w:sz w:val="36"/>
          <w:szCs w:val="36"/>
          <w:highlight w:val="none"/>
        </w:rPr>
        <w:t>7.海绵设施建设成本估算</w:t>
      </w:r>
      <w:bookmarkEnd w:id="92"/>
      <w:bookmarkEnd w:id="93"/>
      <w:bookmarkEnd w:id="94"/>
      <w:bookmarkEnd w:id="95"/>
      <w:bookmarkEnd w:id="96"/>
    </w:p>
    <w:p>
      <w:pPr>
        <w:pStyle w:val="127"/>
        <w:adjustRightInd/>
        <w:spacing w:before="156" w:after="156" w:line="360" w:lineRule="auto"/>
        <w:ind w:firstLine="480" w:firstLineChars="200"/>
        <w:jc w:val="both"/>
        <w:rPr>
          <w:color w:val="auto"/>
          <w:highlight w:val="none"/>
        </w:rPr>
      </w:pPr>
      <w:r>
        <w:rPr>
          <w:rFonts w:hint="eastAsia"/>
          <w:color w:val="auto"/>
          <w:highlight w:val="none"/>
        </w:rPr>
        <w:t>本项目海绵城市技术成本估算表：</w:t>
      </w:r>
    </w:p>
    <w:p>
      <w:pPr>
        <w:pStyle w:val="13"/>
        <w:spacing w:before="156" w:after="156"/>
        <w:jc w:val="center"/>
        <w:rPr>
          <w:rFonts w:ascii="宋体" w:hAnsi="宋体" w:eastAsia="宋体" w:cs="宋体"/>
          <w:b/>
          <w:bCs/>
          <w:color w:val="auto"/>
          <w:sz w:val="24"/>
          <w:szCs w:val="24"/>
          <w:highlight w:val="none"/>
        </w:rPr>
      </w:pPr>
      <w:bookmarkStart w:id="97" w:name="_Toc502568616"/>
      <w:r>
        <w:rPr>
          <w:rFonts w:hint="eastAsia" w:ascii="宋体" w:hAnsi="宋体" w:eastAsia="宋体" w:cs="宋体"/>
          <w:b/>
          <w:bCs/>
          <w:color w:val="auto"/>
          <w:sz w:val="24"/>
          <w:szCs w:val="24"/>
          <w:highlight w:val="none"/>
        </w:rPr>
        <w:t>表 7</w:t>
      </w:r>
      <w:r>
        <w:rPr>
          <w:rFonts w:hint="eastAsia" w:ascii="宋体" w:hAnsi="宋体" w:eastAsia="宋体" w:cs="宋体"/>
          <w:b/>
          <w:bCs/>
          <w:color w:val="auto"/>
          <w:sz w:val="24"/>
          <w:szCs w:val="24"/>
          <w:highlight w:val="none"/>
        </w:rPr>
        <w:noBreakHyphen/>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SEQ 表 \* ARABIC \s 1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t>项目海绵城市</w:t>
      </w:r>
      <w:bookmarkEnd w:id="97"/>
      <w:r>
        <w:rPr>
          <w:rFonts w:hint="eastAsia" w:ascii="宋体" w:hAnsi="宋体" w:eastAsia="宋体" w:cs="宋体"/>
          <w:b/>
          <w:bCs/>
          <w:color w:val="auto"/>
          <w:sz w:val="24"/>
          <w:szCs w:val="24"/>
          <w:highlight w:val="none"/>
        </w:rPr>
        <w:t>主要增量成本估算</w:t>
      </w:r>
    </w:p>
    <w:tbl>
      <w:tblPr>
        <w:tblStyle w:val="42"/>
        <w:tblW w:w="91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1281"/>
        <w:gridCol w:w="1472"/>
        <w:gridCol w:w="1005"/>
        <w:gridCol w:w="1774"/>
        <w:gridCol w:w="917"/>
        <w:gridCol w:w="1131"/>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670" w:type="dxa"/>
            <w:vMerge w:val="restart"/>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81" w:type="dxa"/>
            <w:vMerge w:val="restart"/>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海绵技术措施</w:t>
            </w:r>
          </w:p>
        </w:tc>
        <w:tc>
          <w:tcPr>
            <w:tcW w:w="2477" w:type="dxa"/>
            <w:gridSpan w:val="2"/>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绿建技术工艺</w:t>
            </w:r>
          </w:p>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c>
          <w:tcPr>
            <w:tcW w:w="2691" w:type="dxa"/>
            <w:gridSpan w:val="2"/>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传统技术工艺</w:t>
            </w:r>
          </w:p>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c>
          <w:tcPr>
            <w:tcW w:w="1131" w:type="dxa"/>
            <w:vMerge w:val="restart"/>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工程量</w:t>
            </w:r>
          </w:p>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936" w:type="dxa"/>
            <w:vMerge w:val="restart"/>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造价</w:t>
            </w:r>
          </w:p>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增量</w:t>
            </w:r>
          </w:p>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670" w:type="dxa"/>
            <w:vMerge w:val="continue"/>
            <w:vAlign w:val="center"/>
          </w:tcPr>
          <w:p>
            <w:pPr>
              <w:pStyle w:val="51"/>
              <w:spacing w:before="31" w:after="31"/>
              <w:rPr>
                <w:rFonts w:hint="eastAsia" w:ascii="宋体" w:hAnsi="宋体" w:eastAsia="宋体" w:cs="宋体"/>
                <w:color w:val="auto"/>
                <w:sz w:val="21"/>
                <w:szCs w:val="21"/>
                <w:highlight w:val="none"/>
              </w:rPr>
            </w:pPr>
          </w:p>
        </w:tc>
        <w:tc>
          <w:tcPr>
            <w:tcW w:w="1281" w:type="dxa"/>
            <w:vMerge w:val="continue"/>
            <w:vAlign w:val="center"/>
          </w:tcPr>
          <w:p>
            <w:pPr>
              <w:pStyle w:val="51"/>
              <w:spacing w:before="31" w:after="31"/>
              <w:rPr>
                <w:rFonts w:hint="eastAsia" w:ascii="宋体" w:hAnsi="宋体" w:eastAsia="宋体" w:cs="宋体"/>
                <w:color w:val="auto"/>
                <w:sz w:val="21"/>
                <w:szCs w:val="21"/>
                <w:highlight w:val="none"/>
              </w:rPr>
            </w:pPr>
          </w:p>
        </w:tc>
        <w:tc>
          <w:tcPr>
            <w:tcW w:w="1472"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技术特征</w:t>
            </w:r>
          </w:p>
        </w:tc>
        <w:tc>
          <w:tcPr>
            <w:tcW w:w="1005"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造价</w:t>
            </w:r>
          </w:p>
        </w:tc>
        <w:tc>
          <w:tcPr>
            <w:tcW w:w="1774"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技术特征</w:t>
            </w:r>
          </w:p>
        </w:tc>
        <w:tc>
          <w:tcPr>
            <w:tcW w:w="917"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造价</w:t>
            </w:r>
          </w:p>
        </w:tc>
        <w:tc>
          <w:tcPr>
            <w:tcW w:w="1131" w:type="dxa"/>
            <w:vMerge w:val="continue"/>
            <w:vAlign w:val="center"/>
          </w:tcPr>
          <w:p>
            <w:pPr>
              <w:pStyle w:val="51"/>
              <w:spacing w:before="31" w:after="31"/>
              <w:rPr>
                <w:rFonts w:hint="eastAsia" w:ascii="宋体" w:hAnsi="宋体" w:eastAsia="宋体" w:cs="宋体"/>
                <w:color w:val="auto"/>
                <w:sz w:val="21"/>
                <w:szCs w:val="21"/>
                <w:highlight w:val="none"/>
              </w:rPr>
            </w:pPr>
          </w:p>
        </w:tc>
        <w:tc>
          <w:tcPr>
            <w:tcW w:w="936" w:type="dxa"/>
            <w:vMerge w:val="continue"/>
            <w:vAlign w:val="center"/>
          </w:tcPr>
          <w:p>
            <w:pPr>
              <w:pStyle w:val="51"/>
              <w:spacing w:before="31" w:after="31"/>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670"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81"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透水铺装</w:t>
            </w:r>
          </w:p>
        </w:tc>
        <w:tc>
          <w:tcPr>
            <w:tcW w:w="1472" w:type="dxa"/>
            <w:vAlign w:val="center"/>
          </w:tcPr>
          <w:p>
            <w:pPr>
              <w:pStyle w:val="51"/>
              <w:spacing w:before="31" w:after="3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透水</w:t>
            </w:r>
            <w:r>
              <w:rPr>
                <w:rFonts w:hint="eastAsia" w:ascii="宋体" w:hAnsi="宋体" w:cs="宋体"/>
                <w:color w:val="auto"/>
                <w:sz w:val="21"/>
                <w:szCs w:val="21"/>
                <w:highlight w:val="none"/>
                <w:lang w:val="en-US" w:eastAsia="zh-CN"/>
              </w:rPr>
              <w:t>沥青</w:t>
            </w:r>
          </w:p>
        </w:tc>
        <w:tc>
          <w:tcPr>
            <w:tcW w:w="1005"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250</w:t>
            </w:r>
          </w:p>
        </w:tc>
        <w:tc>
          <w:tcPr>
            <w:tcW w:w="1774"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普通混凝土道路</w:t>
            </w:r>
          </w:p>
        </w:tc>
        <w:tc>
          <w:tcPr>
            <w:tcW w:w="917" w:type="dxa"/>
            <w:vAlign w:val="center"/>
          </w:tcPr>
          <w:p>
            <w:pPr>
              <w:pStyle w:val="51"/>
              <w:spacing w:before="31" w:after="3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w:t>
            </w:r>
          </w:p>
        </w:tc>
        <w:tc>
          <w:tcPr>
            <w:tcW w:w="1131"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2008.84 </w:t>
            </w:r>
          </w:p>
        </w:tc>
        <w:tc>
          <w:tcPr>
            <w:tcW w:w="936"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670" w:type="dxa"/>
            <w:vAlign w:val="center"/>
          </w:tcPr>
          <w:p>
            <w:pPr>
              <w:pStyle w:val="51"/>
              <w:spacing w:before="31" w:after="31"/>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281"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透水铺装</w:t>
            </w:r>
          </w:p>
        </w:tc>
        <w:tc>
          <w:tcPr>
            <w:tcW w:w="1472"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透水砖</w:t>
            </w:r>
          </w:p>
        </w:tc>
        <w:tc>
          <w:tcPr>
            <w:tcW w:w="1005"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250</w:t>
            </w:r>
          </w:p>
        </w:tc>
        <w:tc>
          <w:tcPr>
            <w:tcW w:w="1774"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普通混凝土道路</w:t>
            </w:r>
          </w:p>
        </w:tc>
        <w:tc>
          <w:tcPr>
            <w:tcW w:w="917" w:type="dxa"/>
            <w:vAlign w:val="center"/>
          </w:tcPr>
          <w:p>
            <w:pPr>
              <w:pStyle w:val="51"/>
              <w:spacing w:before="31" w:after="3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w:t>
            </w:r>
          </w:p>
        </w:tc>
        <w:tc>
          <w:tcPr>
            <w:tcW w:w="1131"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3479.66 </w:t>
            </w:r>
          </w:p>
        </w:tc>
        <w:tc>
          <w:tcPr>
            <w:tcW w:w="936"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670"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281"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下沉绿地</w:t>
            </w:r>
          </w:p>
        </w:tc>
        <w:tc>
          <w:tcPr>
            <w:tcW w:w="1472"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下沉绿地</w:t>
            </w:r>
          </w:p>
        </w:tc>
        <w:tc>
          <w:tcPr>
            <w:tcW w:w="1005"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150</w:t>
            </w:r>
          </w:p>
        </w:tc>
        <w:tc>
          <w:tcPr>
            <w:tcW w:w="1774"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917" w:type="dxa"/>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1131"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3402.91 </w:t>
            </w:r>
          </w:p>
        </w:tc>
        <w:tc>
          <w:tcPr>
            <w:tcW w:w="936"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8250" w:type="dxa"/>
            <w:gridSpan w:val="7"/>
            <w:vAlign w:val="center"/>
          </w:tcPr>
          <w:p>
            <w:pPr>
              <w:pStyle w:val="51"/>
              <w:spacing w:before="31" w:after="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合计造价增量(万元)</w:t>
            </w:r>
          </w:p>
        </w:tc>
        <w:tc>
          <w:tcPr>
            <w:tcW w:w="936" w:type="dxa"/>
            <w:vAlign w:val="center"/>
          </w:tcPr>
          <w:p>
            <w:pPr>
              <w:pStyle w:val="51"/>
              <w:spacing w:before="31" w:after="31"/>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100.42</w:t>
            </w:r>
          </w:p>
        </w:tc>
      </w:tr>
    </w:tbl>
    <w:p>
      <w:pPr>
        <w:spacing w:before="156" w:after="156" w:line="360" w:lineRule="auto"/>
        <w:ind w:firstLine="0" w:firstLineChars="0"/>
        <w:rPr>
          <w:rFonts w:hAnsi="宋体"/>
          <w:color w:val="auto"/>
          <w:highlight w:val="none"/>
        </w:rPr>
      </w:pPr>
    </w:p>
    <w:sectPr>
      <w:pgSz w:w="11850" w:h="16783"/>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Helv">
    <w:altName w:val="Segoe Print"/>
    <w:panose1 w:val="020B060402020203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全真楷書">
    <w:altName w:val="楷体_GB2312"/>
    <w:panose1 w:val="00000000000000000000"/>
    <w:charset w:val="88"/>
    <w:family w:val="modern"/>
    <w:pitch w:val="default"/>
    <w:sig w:usb0="00000000" w:usb1="00000000" w:usb2="00000010" w:usb3="00000000" w:csb0="00100000" w:csb1="00000000"/>
  </w:font>
  <w:font w:name="楷体_GB2312">
    <w:panose1 w:val="02010609030101010101"/>
    <w:charset w:val="86"/>
    <w:family w:val="auto"/>
    <w:pitch w:val="default"/>
    <w:sig w:usb0="00000001" w:usb1="080E0000" w:usb2="00000000" w:usb3="00000000" w:csb0="00040000" w:csb1="00000000"/>
  </w:font>
  <w:font w:name="Adobe 黑体 Std R">
    <w:altName w:val="黑体"/>
    <w:panose1 w:val="00000000000000000000"/>
    <w:charset w:val="86"/>
    <w:family w:val="swiss"/>
    <w:pitch w:val="default"/>
    <w:sig w:usb0="00000000" w:usb1="00000000" w:usb2="00000016" w:usb3="00000000" w:csb0="00060007"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after="120"/>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after="120"/>
      <w:ind w:firstLine="36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spacing w:before="120" w:after="12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TvHlRM0BAACaAwAADgAAAAAAAAABACAAAAAeAQAAZHJzL2Uy&#10;b0RvYy54bWxQSwUGAAAAAAYABgBZAQAAXQUAAAAA&#10;">
              <v:fill on="f" focussize="0,0"/>
              <v:stroke on="f"/>
              <v:imagedata o:title=""/>
              <o:lock v:ext="edit" aspectratio="f"/>
              <v:textbox inset="0mm,0mm,0mm,0mm" style="mso-fit-shape-to-text:t;">
                <w:txbxContent>
                  <w:p>
                    <w:pPr>
                      <w:snapToGrid w:val="0"/>
                      <w:spacing w:before="120" w:after="12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15" w:lineRule="auto"/>
        <w:ind w:firstLine="480"/>
      </w:pPr>
      <w:r>
        <w:separator/>
      </w:r>
    </w:p>
  </w:footnote>
  <w:footnote w:type="continuationSeparator" w:id="1">
    <w:p>
      <w:pPr>
        <w:spacing w:before="0" w:after="0" w:line="415"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9E0A12"/>
    <w:multiLevelType w:val="singleLevel"/>
    <w:tmpl w:val="A19E0A12"/>
    <w:lvl w:ilvl="0" w:tentative="0">
      <w:start w:val="2"/>
      <w:numFmt w:val="decimal"/>
      <w:suff w:val="nothing"/>
      <w:lvlText w:val="%1）"/>
      <w:lvlJc w:val="left"/>
    </w:lvl>
  </w:abstractNum>
  <w:abstractNum w:abstractNumId="1">
    <w:nsid w:val="ED7DF20D"/>
    <w:multiLevelType w:val="singleLevel"/>
    <w:tmpl w:val="ED7DF20D"/>
    <w:lvl w:ilvl="0" w:tentative="0">
      <w:start w:val="2"/>
      <w:numFmt w:val="decimal"/>
      <w:suff w:val="nothing"/>
      <w:lvlText w:val="%1、"/>
      <w:lvlJc w:val="left"/>
    </w:lvl>
  </w:abstractNum>
  <w:abstractNum w:abstractNumId="2">
    <w:nsid w:val="10E60712"/>
    <w:multiLevelType w:val="multilevel"/>
    <w:tmpl w:val="10E60712"/>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pStyle w:val="72"/>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53BF0C48"/>
    <w:multiLevelType w:val="multilevel"/>
    <w:tmpl w:val="53BF0C48"/>
    <w:lvl w:ilvl="0" w:tentative="0">
      <w:start w:val="1"/>
      <w:numFmt w:val="decimal"/>
      <w:lvlText w:val="%1"/>
      <w:lvlJc w:val="left"/>
      <w:pPr>
        <w:ind w:left="0" w:firstLine="0"/>
      </w:pPr>
      <w:rPr>
        <w:rFonts w:hint="eastAsia" w:eastAsia="Adobe 黑体 Std R"/>
        <w:sz w:val="32"/>
      </w:rPr>
    </w:lvl>
    <w:lvl w:ilvl="1" w:tentative="0">
      <w:start w:val="1"/>
      <w:numFmt w:val="decimal"/>
      <w:isLgl/>
      <w:lvlText w:val="%1.%2"/>
      <w:lvlJc w:val="left"/>
      <w:pPr>
        <w:ind w:left="0" w:firstLine="0"/>
      </w:pPr>
      <w:rPr>
        <w:rFonts w:hint="eastAsia"/>
        <w:sz w:val="30"/>
      </w:rPr>
    </w:lvl>
    <w:lvl w:ilvl="2" w:tentative="0">
      <w:start w:val="1"/>
      <w:numFmt w:val="decimal"/>
      <w:pStyle w:val="135"/>
      <w:lvlText w:val="%1.%2.%3"/>
      <w:lvlJc w:val="left"/>
      <w:pPr>
        <w:ind w:left="0" w:firstLine="0"/>
      </w:pPr>
      <w:rPr>
        <w:rFonts w:hint="eastAsia"/>
        <w:sz w:val="28"/>
      </w:rPr>
    </w:lvl>
    <w:lvl w:ilvl="3" w:tentative="0">
      <w:start w:val="1"/>
      <w:numFmt w:val="decimal"/>
      <w:pStyle w:val="136"/>
      <w:lvlText w:val="%1.%2.%3.%4"/>
      <w:lvlJc w:val="left"/>
      <w:pPr>
        <w:ind w:left="0" w:firstLine="0"/>
      </w:pPr>
      <w:rPr>
        <w:rFonts w:hint="eastAsia"/>
      </w:rPr>
    </w:lvl>
    <w:lvl w:ilvl="4" w:tentative="0">
      <w:start w:val="1"/>
      <w:numFmt w:val="decimal"/>
      <w:lvlText w:val="%5）"/>
      <w:lvlJc w:val="left"/>
      <w:pPr>
        <w:ind w:left="142" w:firstLine="567"/>
      </w:pPr>
      <w:rPr>
        <w:rFonts w:hint="eastAsia"/>
      </w:rPr>
    </w:lvl>
    <w:lvl w:ilvl="5" w:tentative="0">
      <w:start w:val="1"/>
      <w:numFmt w:val="lowerLetter"/>
      <w:pStyle w:val="137"/>
      <w:lvlText w:val="%6）"/>
      <w:lvlJc w:val="left"/>
      <w:pPr>
        <w:tabs>
          <w:tab w:val="left" w:pos="1134"/>
        </w:tabs>
        <w:ind w:left="567" w:firstLine="567"/>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55BB9BCA"/>
    <w:multiLevelType w:val="singleLevel"/>
    <w:tmpl w:val="55BB9BCA"/>
    <w:lvl w:ilvl="0" w:tentative="0">
      <w:start w:val="1"/>
      <w:numFmt w:val="lowerLetter"/>
      <w:lvlText w:val="%1."/>
      <w:lvlJc w:val="left"/>
      <w:pPr>
        <w:tabs>
          <w:tab w:val="left" w:pos="0"/>
        </w:tabs>
        <w:ind w:left="0" w:firstLine="0"/>
      </w:pPr>
      <w:rPr>
        <w:rFonts w:hint="default"/>
      </w:rPr>
    </w:lvl>
  </w:abstractNum>
  <w:abstractNum w:abstractNumId="5">
    <w:nsid w:val="5B576A9D"/>
    <w:multiLevelType w:val="multilevel"/>
    <w:tmpl w:val="5B576A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0"/>
  <w:drawingGridHorizontalSpacing w:val="110"/>
  <w:drawingGridVerticalSpacing w:val="24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3ZmJhNzk2OTRhMmNhZWVkZmNlYzhhNzgwNmQ2ZjMifQ=="/>
  </w:docVars>
  <w:rsids>
    <w:rsidRoot w:val="00172A27"/>
    <w:rsid w:val="000045FE"/>
    <w:rsid w:val="00030C47"/>
    <w:rsid w:val="0003493B"/>
    <w:rsid w:val="00043062"/>
    <w:rsid w:val="00056435"/>
    <w:rsid w:val="00056A13"/>
    <w:rsid w:val="00060BAF"/>
    <w:rsid w:val="000645C9"/>
    <w:rsid w:val="000651EB"/>
    <w:rsid w:val="00065E59"/>
    <w:rsid w:val="00072FE5"/>
    <w:rsid w:val="000807E3"/>
    <w:rsid w:val="00083192"/>
    <w:rsid w:val="000870BD"/>
    <w:rsid w:val="000A04D1"/>
    <w:rsid w:val="000A1514"/>
    <w:rsid w:val="000C09A8"/>
    <w:rsid w:val="000C7810"/>
    <w:rsid w:val="000C7CED"/>
    <w:rsid w:val="000D11EC"/>
    <w:rsid w:val="000D1ABC"/>
    <w:rsid w:val="000D7877"/>
    <w:rsid w:val="000E1AD8"/>
    <w:rsid w:val="000F76F1"/>
    <w:rsid w:val="000F7A1B"/>
    <w:rsid w:val="0011377F"/>
    <w:rsid w:val="00114DF0"/>
    <w:rsid w:val="00122314"/>
    <w:rsid w:val="001319B9"/>
    <w:rsid w:val="001358A4"/>
    <w:rsid w:val="00141B6E"/>
    <w:rsid w:val="001440DD"/>
    <w:rsid w:val="001603C4"/>
    <w:rsid w:val="00165236"/>
    <w:rsid w:val="00170235"/>
    <w:rsid w:val="001741E3"/>
    <w:rsid w:val="00176D69"/>
    <w:rsid w:val="00184F5F"/>
    <w:rsid w:val="00185FCF"/>
    <w:rsid w:val="00192BAA"/>
    <w:rsid w:val="00192F4F"/>
    <w:rsid w:val="00196F87"/>
    <w:rsid w:val="001A0D3A"/>
    <w:rsid w:val="001B0628"/>
    <w:rsid w:val="001B2D3B"/>
    <w:rsid w:val="001B770B"/>
    <w:rsid w:val="001B7DB2"/>
    <w:rsid w:val="001D0F8C"/>
    <w:rsid w:val="001D2C92"/>
    <w:rsid w:val="001E3E6D"/>
    <w:rsid w:val="001E566A"/>
    <w:rsid w:val="001E7660"/>
    <w:rsid w:val="001F0F70"/>
    <w:rsid w:val="001F3C2B"/>
    <w:rsid w:val="001F4ECB"/>
    <w:rsid w:val="00200B85"/>
    <w:rsid w:val="00205A2F"/>
    <w:rsid w:val="00206508"/>
    <w:rsid w:val="0021013E"/>
    <w:rsid w:val="00215A37"/>
    <w:rsid w:val="00217C41"/>
    <w:rsid w:val="00220353"/>
    <w:rsid w:val="00256CD4"/>
    <w:rsid w:val="00267044"/>
    <w:rsid w:val="00285F8E"/>
    <w:rsid w:val="002A3BD6"/>
    <w:rsid w:val="002A6713"/>
    <w:rsid w:val="002B032E"/>
    <w:rsid w:val="002B10DA"/>
    <w:rsid w:val="002B27DE"/>
    <w:rsid w:val="002C0C05"/>
    <w:rsid w:val="002C15F5"/>
    <w:rsid w:val="002C70C6"/>
    <w:rsid w:val="002D0AD9"/>
    <w:rsid w:val="002D3A41"/>
    <w:rsid w:val="002D3AC9"/>
    <w:rsid w:val="002D4A2E"/>
    <w:rsid w:val="002D6A02"/>
    <w:rsid w:val="002E7FCA"/>
    <w:rsid w:val="002F2BF3"/>
    <w:rsid w:val="002F4058"/>
    <w:rsid w:val="00312315"/>
    <w:rsid w:val="00321940"/>
    <w:rsid w:val="00321F96"/>
    <w:rsid w:val="00322318"/>
    <w:rsid w:val="00332912"/>
    <w:rsid w:val="00346A40"/>
    <w:rsid w:val="003514F0"/>
    <w:rsid w:val="00352096"/>
    <w:rsid w:val="0036151C"/>
    <w:rsid w:val="003656A9"/>
    <w:rsid w:val="00390988"/>
    <w:rsid w:val="00390A8F"/>
    <w:rsid w:val="00391DAB"/>
    <w:rsid w:val="003930A5"/>
    <w:rsid w:val="00396A1A"/>
    <w:rsid w:val="003B058A"/>
    <w:rsid w:val="003B5595"/>
    <w:rsid w:val="003C5B81"/>
    <w:rsid w:val="003E0A4B"/>
    <w:rsid w:val="003F653E"/>
    <w:rsid w:val="003F6D27"/>
    <w:rsid w:val="00407036"/>
    <w:rsid w:val="004108A9"/>
    <w:rsid w:val="00412214"/>
    <w:rsid w:val="00416CD5"/>
    <w:rsid w:val="00417FD0"/>
    <w:rsid w:val="0042244E"/>
    <w:rsid w:val="00430E8B"/>
    <w:rsid w:val="00433454"/>
    <w:rsid w:val="00437023"/>
    <w:rsid w:val="00441DBD"/>
    <w:rsid w:val="00460091"/>
    <w:rsid w:val="00476137"/>
    <w:rsid w:val="00480B80"/>
    <w:rsid w:val="00483475"/>
    <w:rsid w:val="00486C80"/>
    <w:rsid w:val="00494650"/>
    <w:rsid w:val="004A5915"/>
    <w:rsid w:val="004A7F97"/>
    <w:rsid w:val="004B1F8B"/>
    <w:rsid w:val="004B5960"/>
    <w:rsid w:val="004C39ED"/>
    <w:rsid w:val="004E7344"/>
    <w:rsid w:val="004E7690"/>
    <w:rsid w:val="00502DAA"/>
    <w:rsid w:val="005223DC"/>
    <w:rsid w:val="0053484A"/>
    <w:rsid w:val="005401C3"/>
    <w:rsid w:val="005426FE"/>
    <w:rsid w:val="00542DC4"/>
    <w:rsid w:val="0054372A"/>
    <w:rsid w:val="00550CDA"/>
    <w:rsid w:val="00557F12"/>
    <w:rsid w:val="00566329"/>
    <w:rsid w:val="00567962"/>
    <w:rsid w:val="00567DEA"/>
    <w:rsid w:val="0057469C"/>
    <w:rsid w:val="00583025"/>
    <w:rsid w:val="00584269"/>
    <w:rsid w:val="00584BAC"/>
    <w:rsid w:val="00586738"/>
    <w:rsid w:val="005A51E4"/>
    <w:rsid w:val="005A674D"/>
    <w:rsid w:val="005B280C"/>
    <w:rsid w:val="005B7170"/>
    <w:rsid w:val="005B7533"/>
    <w:rsid w:val="005C226C"/>
    <w:rsid w:val="005D3B7C"/>
    <w:rsid w:val="005F00B5"/>
    <w:rsid w:val="0060463C"/>
    <w:rsid w:val="00611B34"/>
    <w:rsid w:val="00612C03"/>
    <w:rsid w:val="006231EA"/>
    <w:rsid w:val="00637971"/>
    <w:rsid w:val="0064523B"/>
    <w:rsid w:val="00647A8B"/>
    <w:rsid w:val="006548D5"/>
    <w:rsid w:val="00654C19"/>
    <w:rsid w:val="006779FD"/>
    <w:rsid w:val="0068118C"/>
    <w:rsid w:val="006849AB"/>
    <w:rsid w:val="006D006C"/>
    <w:rsid w:val="006D521B"/>
    <w:rsid w:val="006E2ED7"/>
    <w:rsid w:val="006F2F55"/>
    <w:rsid w:val="006F694E"/>
    <w:rsid w:val="00704292"/>
    <w:rsid w:val="00713FEA"/>
    <w:rsid w:val="007243CF"/>
    <w:rsid w:val="00745CF0"/>
    <w:rsid w:val="00747E53"/>
    <w:rsid w:val="00761D23"/>
    <w:rsid w:val="00763FB6"/>
    <w:rsid w:val="00767F22"/>
    <w:rsid w:val="0077552D"/>
    <w:rsid w:val="007769EC"/>
    <w:rsid w:val="00781251"/>
    <w:rsid w:val="007855C7"/>
    <w:rsid w:val="007901BE"/>
    <w:rsid w:val="0079327F"/>
    <w:rsid w:val="007A2D66"/>
    <w:rsid w:val="007B193E"/>
    <w:rsid w:val="007B2133"/>
    <w:rsid w:val="007C756E"/>
    <w:rsid w:val="007D1A7A"/>
    <w:rsid w:val="007D69BC"/>
    <w:rsid w:val="007E2BFE"/>
    <w:rsid w:val="007E5341"/>
    <w:rsid w:val="007F3D28"/>
    <w:rsid w:val="007F4BEA"/>
    <w:rsid w:val="00801951"/>
    <w:rsid w:val="00806D3E"/>
    <w:rsid w:val="0082081D"/>
    <w:rsid w:val="0082246D"/>
    <w:rsid w:val="00824ACE"/>
    <w:rsid w:val="00826350"/>
    <w:rsid w:val="00827039"/>
    <w:rsid w:val="0084576D"/>
    <w:rsid w:val="00845EFC"/>
    <w:rsid w:val="00846613"/>
    <w:rsid w:val="0085387A"/>
    <w:rsid w:val="00855656"/>
    <w:rsid w:val="0085790E"/>
    <w:rsid w:val="00862A0A"/>
    <w:rsid w:val="00870986"/>
    <w:rsid w:val="00870F4F"/>
    <w:rsid w:val="00872B60"/>
    <w:rsid w:val="00872BAD"/>
    <w:rsid w:val="00887528"/>
    <w:rsid w:val="00897564"/>
    <w:rsid w:val="008A0610"/>
    <w:rsid w:val="008A15BC"/>
    <w:rsid w:val="008C4CF2"/>
    <w:rsid w:val="008C6D59"/>
    <w:rsid w:val="008E153A"/>
    <w:rsid w:val="008E766E"/>
    <w:rsid w:val="008F2D3A"/>
    <w:rsid w:val="00904A14"/>
    <w:rsid w:val="0091206C"/>
    <w:rsid w:val="00916404"/>
    <w:rsid w:val="009368C6"/>
    <w:rsid w:val="00942929"/>
    <w:rsid w:val="00946110"/>
    <w:rsid w:val="00952F0F"/>
    <w:rsid w:val="00956B0E"/>
    <w:rsid w:val="0096140C"/>
    <w:rsid w:val="009760A2"/>
    <w:rsid w:val="00982720"/>
    <w:rsid w:val="009862A7"/>
    <w:rsid w:val="0098708B"/>
    <w:rsid w:val="009A4414"/>
    <w:rsid w:val="009B474D"/>
    <w:rsid w:val="009C39E0"/>
    <w:rsid w:val="009D2AEB"/>
    <w:rsid w:val="009F19B3"/>
    <w:rsid w:val="00A036B2"/>
    <w:rsid w:val="00A14074"/>
    <w:rsid w:val="00A15025"/>
    <w:rsid w:val="00A167F6"/>
    <w:rsid w:val="00A25587"/>
    <w:rsid w:val="00A2670D"/>
    <w:rsid w:val="00A34AEB"/>
    <w:rsid w:val="00A351BF"/>
    <w:rsid w:val="00A416B2"/>
    <w:rsid w:val="00A47D5E"/>
    <w:rsid w:val="00A52EC8"/>
    <w:rsid w:val="00A55582"/>
    <w:rsid w:val="00A63443"/>
    <w:rsid w:val="00A724D6"/>
    <w:rsid w:val="00A74F35"/>
    <w:rsid w:val="00A82699"/>
    <w:rsid w:val="00A87334"/>
    <w:rsid w:val="00A95770"/>
    <w:rsid w:val="00AA0833"/>
    <w:rsid w:val="00AA26E0"/>
    <w:rsid w:val="00AB67DF"/>
    <w:rsid w:val="00B03774"/>
    <w:rsid w:val="00B041CE"/>
    <w:rsid w:val="00B11233"/>
    <w:rsid w:val="00B30067"/>
    <w:rsid w:val="00B33FFC"/>
    <w:rsid w:val="00B4615E"/>
    <w:rsid w:val="00B96A05"/>
    <w:rsid w:val="00BA7D15"/>
    <w:rsid w:val="00BB3932"/>
    <w:rsid w:val="00BC20D1"/>
    <w:rsid w:val="00BC4FEF"/>
    <w:rsid w:val="00BC597F"/>
    <w:rsid w:val="00BC7B3F"/>
    <w:rsid w:val="00BD3538"/>
    <w:rsid w:val="00BD5372"/>
    <w:rsid w:val="00BD6600"/>
    <w:rsid w:val="00BE2BFE"/>
    <w:rsid w:val="00BE2FC1"/>
    <w:rsid w:val="00BE3B15"/>
    <w:rsid w:val="00BF1D13"/>
    <w:rsid w:val="00C157EA"/>
    <w:rsid w:val="00C15D57"/>
    <w:rsid w:val="00C274E5"/>
    <w:rsid w:val="00C2759C"/>
    <w:rsid w:val="00C30850"/>
    <w:rsid w:val="00C4603F"/>
    <w:rsid w:val="00C506A7"/>
    <w:rsid w:val="00C61B76"/>
    <w:rsid w:val="00C62381"/>
    <w:rsid w:val="00C63A03"/>
    <w:rsid w:val="00C65D9C"/>
    <w:rsid w:val="00C715C5"/>
    <w:rsid w:val="00C755E9"/>
    <w:rsid w:val="00C83B75"/>
    <w:rsid w:val="00C90886"/>
    <w:rsid w:val="00C923DF"/>
    <w:rsid w:val="00C94320"/>
    <w:rsid w:val="00CA0A04"/>
    <w:rsid w:val="00CA2651"/>
    <w:rsid w:val="00CA2925"/>
    <w:rsid w:val="00CC58BE"/>
    <w:rsid w:val="00CE688A"/>
    <w:rsid w:val="00CE6A36"/>
    <w:rsid w:val="00D20052"/>
    <w:rsid w:val="00D31C34"/>
    <w:rsid w:val="00D37D47"/>
    <w:rsid w:val="00D43CCA"/>
    <w:rsid w:val="00D44284"/>
    <w:rsid w:val="00D44C6C"/>
    <w:rsid w:val="00D4550A"/>
    <w:rsid w:val="00D46823"/>
    <w:rsid w:val="00D5723B"/>
    <w:rsid w:val="00D67DE3"/>
    <w:rsid w:val="00D75CCB"/>
    <w:rsid w:val="00D87C90"/>
    <w:rsid w:val="00DA473B"/>
    <w:rsid w:val="00DA4C9F"/>
    <w:rsid w:val="00DA7619"/>
    <w:rsid w:val="00DB01CE"/>
    <w:rsid w:val="00DC298F"/>
    <w:rsid w:val="00DC64EB"/>
    <w:rsid w:val="00DD2622"/>
    <w:rsid w:val="00DD3A5B"/>
    <w:rsid w:val="00DE7831"/>
    <w:rsid w:val="00DF3DB7"/>
    <w:rsid w:val="00DF3F14"/>
    <w:rsid w:val="00E21934"/>
    <w:rsid w:val="00E221F9"/>
    <w:rsid w:val="00E610AA"/>
    <w:rsid w:val="00E63503"/>
    <w:rsid w:val="00E8337A"/>
    <w:rsid w:val="00E844EC"/>
    <w:rsid w:val="00E846C8"/>
    <w:rsid w:val="00E96EAD"/>
    <w:rsid w:val="00EA507D"/>
    <w:rsid w:val="00EB1379"/>
    <w:rsid w:val="00EB53D7"/>
    <w:rsid w:val="00EB65EF"/>
    <w:rsid w:val="00EB7FCA"/>
    <w:rsid w:val="00EC0F1D"/>
    <w:rsid w:val="00EC5E83"/>
    <w:rsid w:val="00EC66E6"/>
    <w:rsid w:val="00ED0A4F"/>
    <w:rsid w:val="00ED1AFA"/>
    <w:rsid w:val="00ED3661"/>
    <w:rsid w:val="00ED7655"/>
    <w:rsid w:val="00EF293C"/>
    <w:rsid w:val="00F01E05"/>
    <w:rsid w:val="00F07CD3"/>
    <w:rsid w:val="00F07F86"/>
    <w:rsid w:val="00F106F9"/>
    <w:rsid w:val="00F20D24"/>
    <w:rsid w:val="00F30442"/>
    <w:rsid w:val="00F3326A"/>
    <w:rsid w:val="00F4423F"/>
    <w:rsid w:val="00F5534A"/>
    <w:rsid w:val="00F70DCA"/>
    <w:rsid w:val="00F72B1E"/>
    <w:rsid w:val="00F75C19"/>
    <w:rsid w:val="00F8750C"/>
    <w:rsid w:val="00F87A19"/>
    <w:rsid w:val="00FB0935"/>
    <w:rsid w:val="00FB63A2"/>
    <w:rsid w:val="00FC064C"/>
    <w:rsid w:val="00FE538F"/>
    <w:rsid w:val="00FE61A0"/>
    <w:rsid w:val="01212213"/>
    <w:rsid w:val="012F46FD"/>
    <w:rsid w:val="01407BB6"/>
    <w:rsid w:val="019409D2"/>
    <w:rsid w:val="019E64B0"/>
    <w:rsid w:val="01B97591"/>
    <w:rsid w:val="01CD3B72"/>
    <w:rsid w:val="01E23398"/>
    <w:rsid w:val="01EA463F"/>
    <w:rsid w:val="01F07A51"/>
    <w:rsid w:val="02171A55"/>
    <w:rsid w:val="022C6F62"/>
    <w:rsid w:val="028A7593"/>
    <w:rsid w:val="028D45E0"/>
    <w:rsid w:val="02917EED"/>
    <w:rsid w:val="02A203E7"/>
    <w:rsid w:val="02C0268E"/>
    <w:rsid w:val="02E62AF9"/>
    <w:rsid w:val="02F439C4"/>
    <w:rsid w:val="03016853"/>
    <w:rsid w:val="030A0408"/>
    <w:rsid w:val="032A359E"/>
    <w:rsid w:val="03953278"/>
    <w:rsid w:val="0398157C"/>
    <w:rsid w:val="03A046E2"/>
    <w:rsid w:val="03B22E94"/>
    <w:rsid w:val="03C80584"/>
    <w:rsid w:val="03D6029A"/>
    <w:rsid w:val="03E27380"/>
    <w:rsid w:val="041270BE"/>
    <w:rsid w:val="04172EDB"/>
    <w:rsid w:val="041B6595"/>
    <w:rsid w:val="04266B6E"/>
    <w:rsid w:val="0452774D"/>
    <w:rsid w:val="045F44FD"/>
    <w:rsid w:val="0487206E"/>
    <w:rsid w:val="048F26C6"/>
    <w:rsid w:val="04FC6D92"/>
    <w:rsid w:val="0501400A"/>
    <w:rsid w:val="051E6D6D"/>
    <w:rsid w:val="05332DDB"/>
    <w:rsid w:val="055A1C46"/>
    <w:rsid w:val="057C47EF"/>
    <w:rsid w:val="057D204E"/>
    <w:rsid w:val="0593081C"/>
    <w:rsid w:val="059D17C7"/>
    <w:rsid w:val="05B94421"/>
    <w:rsid w:val="05CC70A0"/>
    <w:rsid w:val="05E32155"/>
    <w:rsid w:val="05E900CC"/>
    <w:rsid w:val="05F36BCB"/>
    <w:rsid w:val="06026B1F"/>
    <w:rsid w:val="066328DE"/>
    <w:rsid w:val="06C2603C"/>
    <w:rsid w:val="06C76F5E"/>
    <w:rsid w:val="06D95F46"/>
    <w:rsid w:val="07297D1F"/>
    <w:rsid w:val="07330E06"/>
    <w:rsid w:val="075A4346"/>
    <w:rsid w:val="076C2E40"/>
    <w:rsid w:val="07731155"/>
    <w:rsid w:val="077C6411"/>
    <w:rsid w:val="07980138"/>
    <w:rsid w:val="07A63A9D"/>
    <w:rsid w:val="07BA0365"/>
    <w:rsid w:val="07DD5829"/>
    <w:rsid w:val="07EC2EAD"/>
    <w:rsid w:val="080D3436"/>
    <w:rsid w:val="082E7110"/>
    <w:rsid w:val="083177D8"/>
    <w:rsid w:val="084A7917"/>
    <w:rsid w:val="084C74B4"/>
    <w:rsid w:val="08797057"/>
    <w:rsid w:val="088C0E67"/>
    <w:rsid w:val="08A548E8"/>
    <w:rsid w:val="08A571EA"/>
    <w:rsid w:val="08A917E1"/>
    <w:rsid w:val="08C009CB"/>
    <w:rsid w:val="08DB5604"/>
    <w:rsid w:val="08F048AE"/>
    <w:rsid w:val="090A7720"/>
    <w:rsid w:val="09181048"/>
    <w:rsid w:val="091F1ACA"/>
    <w:rsid w:val="095A4572"/>
    <w:rsid w:val="09AB4945"/>
    <w:rsid w:val="09AB6D19"/>
    <w:rsid w:val="09E967C8"/>
    <w:rsid w:val="0A0C285A"/>
    <w:rsid w:val="0A314570"/>
    <w:rsid w:val="0A4564CB"/>
    <w:rsid w:val="0A4A0549"/>
    <w:rsid w:val="0A5746D7"/>
    <w:rsid w:val="0A6567FA"/>
    <w:rsid w:val="0A7658DA"/>
    <w:rsid w:val="0AA74B73"/>
    <w:rsid w:val="0ABC4904"/>
    <w:rsid w:val="0AD64288"/>
    <w:rsid w:val="0ADE6FA1"/>
    <w:rsid w:val="0B00057C"/>
    <w:rsid w:val="0B0F536B"/>
    <w:rsid w:val="0B107791"/>
    <w:rsid w:val="0B3C4909"/>
    <w:rsid w:val="0B5E1B10"/>
    <w:rsid w:val="0B7B3CB8"/>
    <w:rsid w:val="0B9A2B52"/>
    <w:rsid w:val="0B9E2CDB"/>
    <w:rsid w:val="0BD71D52"/>
    <w:rsid w:val="0BE66A79"/>
    <w:rsid w:val="0BE711B1"/>
    <w:rsid w:val="0BEE28B2"/>
    <w:rsid w:val="0C0E7C4C"/>
    <w:rsid w:val="0C2B7712"/>
    <w:rsid w:val="0C6333BB"/>
    <w:rsid w:val="0C885417"/>
    <w:rsid w:val="0CD10CE7"/>
    <w:rsid w:val="0CDA22FD"/>
    <w:rsid w:val="0CE90C2F"/>
    <w:rsid w:val="0CEE09CB"/>
    <w:rsid w:val="0D3D7139"/>
    <w:rsid w:val="0D8A1185"/>
    <w:rsid w:val="0DE12EFA"/>
    <w:rsid w:val="0DFE0CF9"/>
    <w:rsid w:val="0E0703DE"/>
    <w:rsid w:val="0E0F6411"/>
    <w:rsid w:val="0E31205C"/>
    <w:rsid w:val="0E3B4A38"/>
    <w:rsid w:val="0E4A3BC5"/>
    <w:rsid w:val="0E735BAC"/>
    <w:rsid w:val="0EA01EE8"/>
    <w:rsid w:val="0EC52D06"/>
    <w:rsid w:val="0EF12EF6"/>
    <w:rsid w:val="0EF144B6"/>
    <w:rsid w:val="0EF536FB"/>
    <w:rsid w:val="0F0D47D2"/>
    <w:rsid w:val="0F1F7FDC"/>
    <w:rsid w:val="0F313FD1"/>
    <w:rsid w:val="0F4514F3"/>
    <w:rsid w:val="0F513ECB"/>
    <w:rsid w:val="0F6F1A1F"/>
    <w:rsid w:val="0F734CF8"/>
    <w:rsid w:val="0FE26F06"/>
    <w:rsid w:val="10314FE5"/>
    <w:rsid w:val="1035000F"/>
    <w:rsid w:val="105031BE"/>
    <w:rsid w:val="106523EE"/>
    <w:rsid w:val="10741720"/>
    <w:rsid w:val="10843A8B"/>
    <w:rsid w:val="108D61CD"/>
    <w:rsid w:val="10A57D68"/>
    <w:rsid w:val="10A72EE2"/>
    <w:rsid w:val="10B322D7"/>
    <w:rsid w:val="10C77104"/>
    <w:rsid w:val="10DA6D34"/>
    <w:rsid w:val="10FC7485"/>
    <w:rsid w:val="110B4183"/>
    <w:rsid w:val="110E3E67"/>
    <w:rsid w:val="111546BF"/>
    <w:rsid w:val="11511367"/>
    <w:rsid w:val="116D5876"/>
    <w:rsid w:val="11733DBA"/>
    <w:rsid w:val="11A069C0"/>
    <w:rsid w:val="11B96CCE"/>
    <w:rsid w:val="11C2191C"/>
    <w:rsid w:val="11CE2EDF"/>
    <w:rsid w:val="11ED41E8"/>
    <w:rsid w:val="121B613E"/>
    <w:rsid w:val="121E3DB8"/>
    <w:rsid w:val="122F0368"/>
    <w:rsid w:val="123A0B69"/>
    <w:rsid w:val="124B2E18"/>
    <w:rsid w:val="125166C7"/>
    <w:rsid w:val="1252473B"/>
    <w:rsid w:val="12533F5B"/>
    <w:rsid w:val="126421DC"/>
    <w:rsid w:val="12DE13AD"/>
    <w:rsid w:val="12FA6FED"/>
    <w:rsid w:val="13043140"/>
    <w:rsid w:val="13084BD9"/>
    <w:rsid w:val="130A7FDE"/>
    <w:rsid w:val="131938D6"/>
    <w:rsid w:val="133B1AE8"/>
    <w:rsid w:val="134A72EB"/>
    <w:rsid w:val="137705E6"/>
    <w:rsid w:val="13B70905"/>
    <w:rsid w:val="140511AF"/>
    <w:rsid w:val="141763F6"/>
    <w:rsid w:val="141A4B24"/>
    <w:rsid w:val="14281D50"/>
    <w:rsid w:val="14557FD9"/>
    <w:rsid w:val="14854E76"/>
    <w:rsid w:val="14905716"/>
    <w:rsid w:val="14A762BA"/>
    <w:rsid w:val="14AC2526"/>
    <w:rsid w:val="14B000FD"/>
    <w:rsid w:val="14D43107"/>
    <w:rsid w:val="15115D81"/>
    <w:rsid w:val="15132822"/>
    <w:rsid w:val="1518585F"/>
    <w:rsid w:val="15390791"/>
    <w:rsid w:val="154C2FF0"/>
    <w:rsid w:val="15504725"/>
    <w:rsid w:val="15540EC0"/>
    <w:rsid w:val="15632CBE"/>
    <w:rsid w:val="1583127D"/>
    <w:rsid w:val="15846E73"/>
    <w:rsid w:val="15A917AE"/>
    <w:rsid w:val="15AF38F2"/>
    <w:rsid w:val="15C642BD"/>
    <w:rsid w:val="15CA5664"/>
    <w:rsid w:val="15DF440B"/>
    <w:rsid w:val="15E10485"/>
    <w:rsid w:val="15EB18B7"/>
    <w:rsid w:val="16210497"/>
    <w:rsid w:val="163A2FC4"/>
    <w:rsid w:val="164E55EA"/>
    <w:rsid w:val="16A77806"/>
    <w:rsid w:val="16B633EE"/>
    <w:rsid w:val="16E44CE9"/>
    <w:rsid w:val="17042DD7"/>
    <w:rsid w:val="17084889"/>
    <w:rsid w:val="17115C2A"/>
    <w:rsid w:val="1745277A"/>
    <w:rsid w:val="17741400"/>
    <w:rsid w:val="178B0C43"/>
    <w:rsid w:val="17AF3111"/>
    <w:rsid w:val="17E04027"/>
    <w:rsid w:val="17E1161E"/>
    <w:rsid w:val="17ED09D7"/>
    <w:rsid w:val="17F73D30"/>
    <w:rsid w:val="18051762"/>
    <w:rsid w:val="181C1C18"/>
    <w:rsid w:val="182F4B32"/>
    <w:rsid w:val="18652C91"/>
    <w:rsid w:val="187268F8"/>
    <w:rsid w:val="18995384"/>
    <w:rsid w:val="18C84323"/>
    <w:rsid w:val="18CD3A4D"/>
    <w:rsid w:val="18E10FB5"/>
    <w:rsid w:val="18E20D7F"/>
    <w:rsid w:val="18F25419"/>
    <w:rsid w:val="18F53D10"/>
    <w:rsid w:val="191C5D9A"/>
    <w:rsid w:val="192056A2"/>
    <w:rsid w:val="195A2BF1"/>
    <w:rsid w:val="19732F42"/>
    <w:rsid w:val="197E7E3B"/>
    <w:rsid w:val="19925B41"/>
    <w:rsid w:val="19B17EB0"/>
    <w:rsid w:val="19E90BFB"/>
    <w:rsid w:val="19F50124"/>
    <w:rsid w:val="1A1D63CF"/>
    <w:rsid w:val="1A30713D"/>
    <w:rsid w:val="1A3A7D2D"/>
    <w:rsid w:val="1A4919FE"/>
    <w:rsid w:val="1A6B745C"/>
    <w:rsid w:val="1A846E8B"/>
    <w:rsid w:val="1A983A9A"/>
    <w:rsid w:val="1B11548B"/>
    <w:rsid w:val="1B1410F7"/>
    <w:rsid w:val="1B3642A5"/>
    <w:rsid w:val="1B4A6ECD"/>
    <w:rsid w:val="1B551673"/>
    <w:rsid w:val="1B9177F2"/>
    <w:rsid w:val="1B956EBA"/>
    <w:rsid w:val="1BBD1C91"/>
    <w:rsid w:val="1BCA765C"/>
    <w:rsid w:val="1BD022E3"/>
    <w:rsid w:val="1C232A35"/>
    <w:rsid w:val="1C3A4AE7"/>
    <w:rsid w:val="1C410774"/>
    <w:rsid w:val="1C6F5FEB"/>
    <w:rsid w:val="1C782FA2"/>
    <w:rsid w:val="1C790013"/>
    <w:rsid w:val="1C7C26E6"/>
    <w:rsid w:val="1C82711D"/>
    <w:rsid w:val="1C8605F2"/>
    <w:rsid w:val="1C9C5A67"/>
    <w:rsid w:val="1CA418BC"/>
    <w:rsid w:val="1CFC1D90"/>
    <w:rsid w:val="1D444093"/>
    <w:rsid w:val="1D453A0E"/>
    <w:rsid w:val="1D652F82"/>
    <w:rsid w:val="1D893139"/>
    <w:rsid w:val="1D9B7A2D"/>
    <w:rsid w:val="1DA620B2"/>
    <w:rsid w:val="1DD55D1F"/>
    <w:rsid w:val="1DDF2AB4"/>
    <w:rsid w:val="1E20524D"/>
    <w:rsid w:val="1E396B49"/>
    <w:rsid w:val="1E507EE6"/>
    <w:rsid w:val="1E6458FB"/>
    <w:rsid w:val="1E7511E4"/>
    <w:rsid w:val="1EA73BE9"/>
    <w:rsid w:val="1EAD7F97"/>
    <w:rsid w:val="1ED17087"/>
    <w:rsid w:val="1EF624FE"/>
    <w:rsid w:val="1EF63793"/>
    <w:rsid w:val="1EF955F4"/>
    <w:rsid w:val="1F101845"/>
    <w:rsid w:val="1F223AA8"/>
    <w:rsid w:val="1F4905FA"/>
    <w:rsid w:val="1F64610B"/>
    <w:rsid w:val="1F731AD0"/>
    <w:rsid w:val="1FA66137"/>
    <w:rsid w:val="1FAB5C8A"/>
    <w:rsid w:val="1FAB78A4"/>
    <w:rsid w:val="1FEA05F2"/>
    <w:rsid w:val="1FF25465"/>
    <w:rsid w:val="20002199"/>
    <w:rsid w:val="20296DA0"/>
    <w:rsid w:val="2046687E"/>
    <w:rsid w:val="2048773A"/>
    <w:rsid w:val="204A3CF3"/>
    <w:rsid w:val="208C3C31"/>
    <w:rsid w:val="20A40C7B"/>
    <w:rsid w:val="20E64E37"/>
    <w:rsid w:val="20E93172"/>
    <w:rsid w:val="20EB468B"/>
    <w:rsid w:val="21023E2E"/>
    <w:rsid w:val="21063344"/>
    <w:rsid w:val="211A6295"/>
    <w:rsid w:val="216116E2"/>
    <w:rsid w:val="216C4C2B"/>
    <w:rsid w:val="22133CF5"/>
    <w:rsid w:val="223E6B2C"/>
    <w:rsid w:val="22715F0F"/>
    <w:rsid w:val="2282696F"/>
    <w:rsid w:val="228E3BBB"/>
    <w:rsid w:val="229920BF"/>
    <w:rsid w:val="22B02B43"/>
    <w:rsid w:val="22E015B3"/>
    <w:rsid w:val="22E328E5"/>
    <w:rsid w:val="22E63256"/>
    <w:rsid w:val="22FB623C"/>
    <w:rsid w:val="22FD5A03"/>
    <w:rsid w:val="232A574D"/>
    <w:rsid w:val="23492961"/>
    <w:rsid w:val="237A49AB"/>
    <w:rsid w:val="239B3BCE"/>
    <w:rsid w:val="23C36D86"/>
    <w:rsid w:val="23D82E0F"/>
    <w:rsid w:val="23DF3F4A"/>
    <w:rsid w:val="23F112E8"/>
    <w:rsid w:val="23FF4A7F"/>
    <w:rsid w:val="241575AB"/>
    <w:rsid w:val="242420EF"/>
    <w:rsid w:val="245316DB"/>
    <w:rsid w:val="2469458C"/>
    <w:rsid w:val="247E5642"/>
    <w:rsid w:val="24853F73"/>
    <w:rsid w:val="248E13BC"/>
    <w:rsid w:val="249146FD"/>
    <w:rsid w:val="24C91E21"/>
    <w:rsid w:val="24D72873"/>
    <w:rsid w:val="24E04194"/>
    <w:rsid w:val="25044E93"/>
    <w:rsid w:val="25310BC2"/>
    <w:rsid w:val="254B6C09"/>
    <w:rsid w:val="255A1484"/>
    <w:rsid w:val="25731D8F"/>
    <w:rsid w:val="258D5C33"/>
    <w:rsid w:val="258F390A"/>
    <w:rsid w:val="25BD4925"/>
    <w:rsid w:val="26205FA6"/>
    <w:rsid w:val="26357E33"/>
    <w:rsid w:val="26381612"/>
    <w:rsid w:val="2653537C"/>
    <w:rsid w:val="26682F71"/>
    <w:rsid w:val="267477D2"/>
    <w:rsid w:val="26996AC7"/>
    <w:rsid w:val="26A67DE3"/>
    <w:rsid w:val="26C33ADA"/>
    <w:rsid w:val="26D40CCC"/>
    <w:rsid w:val="270746F2"/>
    <w:rsid w:val="2717325F"/>
    <w:rsid w:val="27504784"/>
    <w:rsid w:val="27AF684A"/>
    <w:rsid w:val="27C352D1"/>
    <w:rsid w:val="27EB2CCF"/>
    <w:rsid w:val="281A7107"/>
    <w:rsid w:val="28245FAD"/>
    <w:rsid w:val="2828305A"/>
    <w:rsid w:val="283830E8"/>
    <w:rsid w:val="286D1682"/>
    <w:rsid w:val="28762B58"/>
    <w:rsid w:val="28771AEB"/>
    <w:rsid w:val="287B3F6D"/>
    <w:rsid w:val="28886F98"/>
    <w:rsid w:val="288F03C3"/>
    <w:rsid w:val="28B205ED"/>
    <w:rsid w:val="28BE53B5"/>
    <w:rsid w:val="28CD56B1"/>
    <w:rsid w:val="28CE4A46"/>
    <w:rsid w:val="28DC35A7"/>
    <w:rsid w:val="28F1531A"/>
    <w:rsid w:val="28FB4A8C"/>
    <w:rsid w:val="290D63D4"/>
    <w:rsid w:val="290E3550"/>
    <w:rsid w:val="290F5577"/>
    <w:rsid w:val="29214998"/>
    <w:rsid w:val="295800AF"/>
    <w:rsid w:val="29612098"/>
    <w:rsid w:val="2975167E"/>
    <w:rsid w:val="29842E10"/>
    <w:rsid w:val="29C671E1"/>
    <w:rsid w:val="2A0E6FB0"/>
    <w:rsid w:val="2A410AB5"/>
    <w:rsid w:val="2A6C3064"/>
    <w:rsid w:val="2A7534F5"/>
    <w:rsid w:val="2A834503"/>
    <w:rsid w:val="2ABC62BF"/>
    <w:rsid w:val="2AD2570E"/>
    <w:rsid w:val="2ADD05B5"/>
    <w:rsid w:val="2AF81D59"/>
    <w:rsid w:val="2B02632C"/>
    <w:rsid w:val="2B0C68E2"/>
    <w:rsid w:val="2B1604B8"/>
    <w:rsid w:val="2B281012"/>
    <w:rsid w:val="2B32051B"/>
    <w:rsid w:val="2B354C34"/>
    <w:rsid w:val="2B733A8E"/>
    <w:rsid w:val="2B7B2D8E"/>
    <w:rsid w:val="2BD87324"/>
    <w:rsid w:val="2BDD4FB2"/>
    <w:rsid w:val="2BDF3DBA"/>
    <w:rsid w:val="2BF277A1"/>
    <w:rsid w:val="2BF93858"/>
    <w:rsid w:val="2C0613DB"/>
    <w:rsid w:val="2C182148"/>
    <w:rsid w:val="2C2E5C1E"/>
    <w:rsid w:val="2C3606C6"/>
    <w:rsid w:val="2C392657"/>
    <w:rsid w:val="2C655BF2"/>
    <w:rsid w:val="2CBA4026"/>
    <w:rsid w:val="2CDF2158"/>
    <w:rsid w:val="2D026190"/>
    <w:rsid w:val="2D106788"/>
    <w:rsid w:val="2D352AE5"/>
    <w:rsid w:val="2D540F2A"/>
    <w:rsid w:val="2DAB7518"/>
    <w:rsid w:val="2DB042B0"/>
    <w:rsid w:val="2DB05A1F"/>
    <w:rsid w:val="2DB41849"/>
    <w:rsid w:val="2DDA715D"/>
    <w:rsid w:val="2DF929A3"/>
    <w:rsid w:val="2E341D4B"/>
    <w:rsid w:val="2E9C755B"/>
    <w:rsid w:val="2EB31B44"/>
    <w:rsid w:val="2EC42C1F"/>
    <w:rsid w:val="2EC62A71"/>
    <w:rsid w:val="2EDD17EB"/>
    <w:rsid w:val="2F151E92"/>
    <w:rsid w:val="2F5D739D"/>
    <w:rsid w:val="2F796015"/>
    <w:rsid w:val="2F9426C3"/>
    <w:rsid w:val="2F9A3C45"/>
    <w:rsid w:val="2FA50CA4"/>
    <w:rsid w:val="2FB4336C"/>
    <w:rsid w:val="2FC673B6"/>
    <w:rsid w:val="300D1627"/>
    <w:rsid w:val="30142CA2"/>
    <w:rsid w:val="30185C07"/>
    <w:rsid w:val="30247A01"/>
    <w:rsid w:val="304847B8"/>
    <w:rsid w:val="30816A27"/>
    <w:rsid w:val="30861A24"/>
    <w:rsid w:val="30A83466"/>
    <w:rsid w:val="30B57C58"/>
    <w:rsid w:val="31156332"/>
    <w:rsid w:val="3118459C"/>
    <w:rsid w:val="31385995"/>
    <w:rsid w:val="31397E2E"/>
    <w:rsid w:val="31445E84"/>
    <w:rsid w:val="314C538F"/>
    <w:rsid w:val="31996EDA"/>
    <w:rsid w:val="31B42217"/>
    <w:rsid w:val="31BA5F16"/>
    <w:rsid w:val="31C43A58"/>
    <w:rsid w:val="31CE70D1"/>
    <w:rsid w:val="3235722E"/>
    <w:rsid w:val="323A509B"/>
    <w:rsid w:val="325570DC"/>
    <w:rsid w:val="326205C6"/>
    <w:rsid w:val="32684BDB"/>
    <w:rsid w:val="32E80280"/>
    <w:rsid w:val="33112080"/>
    <w:rsid w:val="331F7A33"/>
    <w:rsid w:val="33217D3D"/>
    <w:rsid w:val="33274981"/>
    <w:rsid w:val="334B65DA"/>
    <w:rsid w:val="33930EFA"/>
    <w:rsid w:val="3397764D"/>
    <w:rsid w:val="33A25843"/>
    <w:rsid w:val="33F4202F"/>
    <w:rsid w:val="34042BB6"/>
    <w:rsid w:val="341067E7"/>
    <w:rsid w:val="34122ED0"/>
    <w:rsid w:val="3413525D"/>
    <w:rsid w:val="341F1E4E"/>
    <w:rsid w:val="34202CEE"/>
    <w:rsid w:val="34212676"/>
    <w:rsid w:val="342A2CB8"/>
    <w:rsid w:val="344337D9"/>
    <w:rsid w:val="345A18F1"/>
    <w:rsid w:val="34D63AE1"/>
    <w:rsid w:val="34F053C0"/>
    <w:rsid w:val="35006059"/>
    <w:rsid w:val="35117415"/>
    <w:rsid w:val="352C14FF"/>
    <w:rsid w:val="352D62CE"/>
    <w:rsid w:val="354C38D8"/>
    <w:rsid w:val="358C26B3"/>
    <w:rsid w:val="35BC634C"/>
    <w:rsid w:val="35C56C65"/>
    <w:rsid w:val="35CE4AFF"/>
    <w:rsid w:val="35E10B5C"/>
    <w:rsid w:val="35F06117"/>
    <w:rsid w:val="36294CA5"/>
    <w:rsid w:val="362C11FA"/>
    <w:rsid w:val="366542F2"/>
    <w:rsid w:val="36772C07"/>
    <w:rsid w:val="36776A52"/>
    <w:rsid w:val="368749FD"/>
    <w:rsid w:val="3691564B"/>
    <w:rsid w:val="36B07E73"/>
    <w:rsid w:val="36B57F5D"/>
    <w:rsid w:val="36C25DA5"/>
    <w:rsid w:val="36F372D8"/>
    <w:rsid w:val="37022353"/>
    <w:rsid w:val="370F40A6"/>
    <w:rsid w:val="37186611"/>
    <w:rsid w:val="37334FA2"/>
    <w:rsid w:val="373D1AD0"/>
    <w:rsid w:val="376C5FFF"/>
    <w:rsid w:val="379E0CD5"/>
    <w:rsid w:val="37B33E41"/>
    <w:rsid w:val="37CB76E2"/>
    <w:rsid w:val="37FC0B9A"/>
    <w:rsid w:val="38040320"/>
    <w:rsid w:val="38065454"/>
    <w:rsid w:val="3807611F"/>
    <w:rsid w:val="38110C45"/>
    <w:rsid w:val="381A584D"/>
    <w:rsid w:val="381F5AB5"/>
    <w:rsid w:val="385B2586"/>
    <w:rsid w:val="386302AB"/>
    <w:rsid w:val="38704D77"/>
    <w:rsid w:val="388B5B26"/>
    <w:rsid w:val="38A93982"/>
    <w:rsid w:val="38B831F1"/>
    <w:rsid w:val="38BB0DEE"/>
    <w:rsid w:val="38C278E3"/>
    <w:rsid w:val="38D05BF5"/>
    <w:rsid w:val="38D36470"/>
    <w:rsid w:val="39016576"/>
    <w:rsid w:val="39112057"/>
    <w:rsid w:val="395A2C2A"/>
    <w:rsid w:val="3981041B"/>
    <w:rsid w:val="398175FA"/>
    <w:rsid w:val="39A143B6"/>
    <w:rsid w:val="39D26F9B"/>
    <w:rsid w:val="39EE43CB"/>
    <w:rsid w:val="39F130F5"/>
    <w:rsid w:val="3A1304F0"/>
    <w:rsid w:val="3A622DB8"/>
    <w:rsid w:val="3A6514DB"/>
    <w:rsid w:val="3A6A35C8"/>
    <w:rsid w:val="3ACB045B"/>
    <w:rsid w:val="3ACC7FD9"/>
    <w:rsid w:val="3AE02344"/>
    <w:rsid w:val="3AF64C99"/>
    <w:rsid w:val="3B04639E"/>
    <w:rsid w:val="3B186DB4"/>
    <w:rsid w:val="3B347314"/>
    <w:rsid w:val="3B4365E8"/>
    <w:rsid w:val="3B7F0DBF"/>
    <w:rsid w:val="3BA355AE"/>
    <w:rsid w:val="3BC125DB"/>
    <w:rsid w:val="3BFC4B19"/>
    <w:rsid w:val="3C1D17D6"/>
    <w:rsid w:val="3C217FF8"/>
    <w:rsid w:val="3C571BCA"/>
    <w:rsid w:val="3C67468B"/>
    <w:rsid w:val="3C7F3C91"/>
    <w:rsid w:val="3C8C3817"/>
    <w:rsid w:val="3CC21C3C"/>
    <w:rsid w:val="3CE45EC2"/>
    <w:rsid w:val="3CE73CA4"/>
    <w:rsid w:val="3D0F0B02"/>
    <w:rsid w:val="3D144D10"/>
    <w:rsid w:val="3D153F16"/>
    <w:rsid w:val="3D60304B"/>
    <w:rsid w:val="3DB82CE8"/>
    <w:rsid w:val="3DD678BA"/>
    <w:rsid w:val="3DE12367"/>
    <w:rsid w:val="3DF0293B"/>
    <w:rsid w:val="3DFE7B48"/>
    <w:rsid w:val="3E0570E2"/>
    <w:rsid w:val="3E1B011F"/>
    <w:rsid w:val="3EA539B4"/>
    <w:rsid w:val="3EB5007C"/>
    <w:rsid w:val="3EEE706F"/>
    <w:rsid w:val="3EF925C3"/>
    <w:rsid w:val="3F1F4F90"/>
    <w:rsid w:val="3F3B6C3C"/>
    <w:rsid w:val="3F4F34FC"/>
    <w:rsid w:val="3F697875"/>
    <w:rsid w:val="3F876E68"/>
    <w:rsid w:val="3F9C5DF8"/>
    <w:rsid w:val="3FEE790A"/>
    <w:rsid w:val="3FFA567B"/>
    <w:rsid w:val="40353E97"/>
    <w:rsid w:val="40631D33"/>
    <w:rsid w:val="40673886"/>
    <w:rsid w:val="41021137"/>
    <w:rsid w:val="410D0626"/>
    <w:rsid w:val="41153EF2"/>
    <w:rsid w:val="411552C6"/>
    <w:rsid w:val="41342F68"/>
    <w:rsid w:val="414D3071"/>
    <w:rsid w:val="41853606"/>
    <w:rsid w:val="418E5E01"/>
    <w:rsid w:val="41B33111"/>
    <w:rsid w:val="41BF2269"/>
    <w:rsid w:val="41C3221F"/>
    <w:rsid w:val="41CE5628"/>
    <w:rsid w:val="41D5749A"/>
    <w:rsid w:val="42173F37"/>
    <w:rsid w:val="42227CC1"/>
    <w:rsid w:val="422A0A21"/>
    <w:rsid w:val="42484072"/>
    <w:rsid w:val="428772D4"/>
    <w:rsid w:val="42A86EDD"/>
    <w:rsid w:val="42BE0470"/>
    <w:rsid w:val="42E53ABC"/>
    <w:rsid w:val="42E921E6"/>
    <w:rsid w:val="42F712D4"/>
    <w:rsid w:val="430E26CA"/>
    <w:rsid w:val="4311777A"/>
    <w:rsid w:val="431F21DE"/>
    <w:rsid w:val="43C42159"/>
    <w:rsid w:val="43F954F0"/>
    <w:rsid w:val="440F5A18"/>
    <w:rsid w:val="443D1A5F"/>
    <w:rsid w:val="44A46F5F"/>
    <w:rsid w:val="44F24E3D"/>
    <w:rsid w:val="44FB7AE1"/>
    <w:rsid w:val="452D6E4C"/>
    <w:rsid w:val="453312BF"/>
    <w:rsid w:val="454963AE"/>
    <w:rsid w:val="454C1F19"/>
    <w:rsid w:val="454F6F21"/>
    <w:rsid w:val="45507E90"/>
    <w:rsid w:val="4558397A"/>
    <w:rsid w:val="455B1A6C"/>
    <w:rsid w:val="45613EF8"/>
    <w:rsid w:val="45764D6E"/>
    <w:rsid w:val="459463D0"/>
    <w:rsid w:val="459B1B37"/>
    <w:rsid w:val="45B06E3E"/>
    <w:rsid w:val="45C2057C"/>
    <w:rsid w:val="45E50E1A"/>
    <w:rsid w:val="45E66CDF"/>
    <w:rsid w:val="46063285"/>
    <w:rsid w:val="46206397"/>
    <w:rsid w:val="463D3B25"/>
    <w:rsid w:val="464C783B"/>
    <w:rsid w:val="4668212F"/>
    <w:rsid w:val="468D1925"/>
    <w:rsid w:val="469F2C3A"/>
    <w:rsid w:val="46B65C35"/>
    <w:rsid w:val="46C56066"/>
    <w:rsid w:val="46EE0E63"/>
    <w:rsid w:val="46F36739"/>
    <w:rsid w:val="4725607E"/>
    <w:rsid w:val="47313C11"/>
    <w:rsid w:val="473D11E2"/>
    <w:rsid w:val="47492F00"/>
    <w:rsid w:val="47802B90"/>
    <w:rsid w:val="47942958"/>
    <w:rsid w:val="48014B46"/>
    <w:rsid w:val="48192799"/>
    <w:rsid w:val="48222C54"/>
    <w:rsid w:val="48392BB5"/>
    <w:rsid w:val="48420E12"/>
    <w:rsid w:val="486332C8"/>
    <w:rsid w:val="487703E2"/>
    <w:rsid w:val="48AF7433"/>
    <w:rsid w:val="48B46506"/>
    <w:rsid w:val="48E925E1"/>
    <w:rsid w:val="48F4791B"/>
    <w:rsid w:val="490B2B54"/>
    <w:rsid w:val="490B6C23"/>
    <w:rsid w:val="4912313D"/>
    <w:rsid w:val="4951184B"/>
    <w:rsid w:val="49513C67"/>
    <w:rsid w:val="49530238"/>
    <w:rsid w:val="49D3125A"/>
    <w:rsid w:val="49D62CD0"/>
    <w:rsid w:val="49F66F1B"/>
    <w:rsid w:val="4A2A3B28"/>
    <w:rsid w:val="4A2D7103"/>
    <w:rsid w:val="4A41125C"/>
    <w:rsid w:val="4A477889"/>
    <w:rsid w:val="4A48497C"/>
    <w:rsid w:val="4A8908AA"/>
    <w:rsid w:val="4A8F3A21"/>
    <w:rsid w:val="4A9947EB"/>
    <w:rsid w:val="4AA836EF"/>
    <w:rsid w:val="4AAB33AA"/>
    <w:rsid w:val="4AC80AE9"/>
    <w:rsid w:val="4AC97B26"/>
    <w:rsid w:val="4ADA3F73"/>
    <w:rsid w:val="4AEC021E"/>
    <w:rsid w:val="4AED44F8"/>
    <w:rsid w:val="4B4B6C47"/>
    <w:rsid w:val="4B5248C9"/>
    <w:rsid w:val="4B7D66C9"/>
    <w:rsid w:val="4B820BEE"/>
    <w:rsid w:val="4BB06A29"/>
    <w:rsid w:val="4BBB1923"/>
    <w:rsid w:val="4BC96CF3"/>
    <w:rsid w:val="4BEA30BB"/>
    <w:rsid w:val="4BF41C51"/>
    <w:rsid w:val="4BF50E0E"/>
    <w:rsid w:val="4BFC58B6"/>
    <w:rsid w:val="4C063B7B"/>
    <w:rsid w:val="4C074FC3"/>
    <w:rsid w:val="4C076203"/>
    <w:rsid w:val="4C3758BD"/>
    <w:rsid w:val="4C442BE6"/>
    <w:rsid w:val="4C8A6FB7"/>
    <w:rsid w:val="4CB503AF"/>
    <w:rsid w:val="4CC05B42"/>
    <w:rsid w:val="4CD56614"/>
    <w:rsid w:val="4CE7550C"/>
    <w:rsid w:val="4D067803"/>
    <w:rsid w:val="4D0C75EC"/>
    <w:rsid w:val="4D1C5FD5"/>
    <w:rsid w:val="4D1D0741"/>
    <w:rsid w:val="4D814DD5"/>
    <w:rsid w:val="4D9768DB"/>
    <w:rsid w:val="4DA73E5A"/>
    <w:rsid w:val="4DAA61FF"/>
    <w:rsid w:val="4DAB323B"/>
    <w:rsid w:val="4DCC7855"/>
    <w:rsid w:val="4DD13720"/>
    <w:rsid w:val="4DF27029"/>
    <w:rsid w:val="4DF65505"/>
    <w:rsid w:val="4E126724"/>
    <w:rsid w:val="4E216680"/>
    <w:rsid w:val="4E3156CA"/>
    <w:rsid w:val="4E3323EE"/>
    <w:rsid w:val="4E40551C"/>
    <w:rsid w:val="4E720C6D"/>
    <w:rsid w:val="4E7C4BC7"/>
    <w:rsid w:val="4E867339"/>
    <w:rsid w:val="4E8C7E9C"/>
    <w:rsid w:val="4E9D4B87"/>
    <w:rsid w:val="4EB74AD9"/>
    <w:rsid w:val="4EB81A4F"/>
    <w:rsid w:val="4EC87677"/>
    <w:rsid w:val="4F043EDC"/>
    <w:rsid w:val="4F1D4130"/>
    <w:rsid w:val="4F291632"/>
    <w:rsid w:val="4F587733"/>
    <w:rsid w:val="501C6191"/>
    <w:rsid w:val="50833BE1"/>
    <w:rsid w:val="50B73A7F"/>
    <w:rsid w:val="50E916D5"/>
    <w:rsid w:val="50F35D7A"/>
    <w:rsid w:val="50FD7AEE"/>
    <w:rsid w:val="51004FAB"/>
    <w:rsid w:val="51126D6C"/>
    <w:rsid w:val="51375F39"/>
    <w:rsid w:val="514D149A"/>
    <w:rsid w:val="51737429"/>
    <w:rsid w:val="519955A9"/>
    <w:rsid w:val="51D21AF5"/>
    <w:rsid w:val="51DB1243"/>
    <w:rsid w:val="51F46095"/>
    <w:rsid w:val="520C7A4B"/>
    <w:rsid w:val="521458A9"/>
    <w:rsid w:val="521664AC"/>
    <w:rsid w:val="52267D0A"/>
    <w:rsid w:val="522B5AE8"/>
    <w:rsid w:val="52796D26"/>
    <w:rsid w:val="529313F7"/>
    <w:rsid w:val="529A472B"/>
    <w:rsid w:val="52DB0986"/>
    <w:rsid w:val="530C1418"/>
    <w:rsid w:val="531E0714"/>
    <w:rsid w:val="532A7D3A"/>
    <w:rsid w:val="532C0C6C"/>
    <w:rsid w:val="533078D5"/>
    <w:rsid w:val="5336133F"/>
    <w:rsid w:val="53406C2A"/>
    <w:rsid w:val="53465EB2"/>
    <w:rsid w:val="53565A0C"/>
    <w:rsid w:val="535B3266"/>
    <w:rsid w:val="535F2C66"/>
    <w:rsid w:val="537C02BF"/>
    <w:rsid w:val="53A90723"/>
    <w:rsid w:val="53B346A4"/>
    <w:rsid w:val="53D644A4"/>
    <w:rsid w:val="53DB757C"/>
    <w:rsid w:val="53E13EF1"/>
    <w:rsid w:val="53E767AC"/>
    <w:rsid w:val="53FB57EB"/>
    <w:rsid w:val="540254A5"/>
    <w:rsid w:val="540971A0"/>
    <w:rsid w:val="5415258D"/>
    <w:rsid w:val="542F1516"/>
    <w:rsid w:val="54312AFF"/>
    <w:rsid w:val="54471760"/>
    <w:rsid w:val="545C5673"/>
    <w:rsid w:val="54A66D97"/>
    <w:rsid w:val="54DC7AE6"/>
    <w:rsid w:val="54E8691E"/>
    <w:rsid w:val="55687BC0"/>
    <w:rsid w:val="556C7BAD"/>
    <w:rsid w:val="556E65B0"/>
    <w:rsid w:val="557B057E"/>
    <w:rsid w:val="559012EA"/>
    <w:rsid w:val="55D35741"/>
    <w:rsid w:val="55FC15A5"/>
    <w:rsid w:val="56075D3D"/>
    <w:rsid w:val="56244B15"/>
    <w:rsid w:val="562566F8"/>
    <w:rsid w:val="563518D6"/>
    <w:rsid w:val="563C395E"/>
    <w:rsid w:val="56472243"/>
    <w:rsid w:val="565A027A"/>
    <w:rsid w:val="5664186E"/>
    <w:rsid w:val="56AC13CF"/>
    <w:rsid w:val="56B97CF3"/>
    <w:rsid w:val="56CB57C1"/>
    <w:rsid w:val="571C035B"/>
    <w:rsid w:val="572617AA"/>
    <w:rsid w:val="572A0E95"/>
    <w:rsid w:val="573E6856"/>
    <w:rsid w:val="573F6DD8"/>
    <w:rsid w:val="576371FD"/>
    <w:rsid w:val="57CD2482"/>
    <w:rsid w:val="57EE21B6"/>
    <w:rsid w:val="57F82AAF"/>
    <w:rsid w:val="584208A4"/>
    <w:rsid w:val="584652FE"/>
    <w:rsid w:val="588C6F2D"/>
    <w:rsid w:val="58917FD5"/>
    <w:rsid w:val="589A2EC5"/>
    <w:rsid w:val="58E313EC"/>
    <w:rsid w:val="58E544F0"/>
    <w:rsid w:val="5930668D"/>
    <w:rsid w:val="59323C70"/>
    <w:rsid w:val="59820F5D"/>
    <w:rsid w:val="598F7C71"/>
    <w:rsid w:val="599C3594"/>
    <w:rsid w:val="59D66F75"/>
    <w:rsid w:val="59EA38BA"/>
    <w:rsid w:val="59EF21B3"/>
    <w:rsid w:val="5A330F10"/>
    <w:rsid w:val="5A3C7F0B"/>
    <w:rsid w:val="5A51635D"/>
    <w:rsid w:val="5A5A27A5"/>
    <w:rsid w:val="5A684C34"/>
    <w:rsid w:val="5A6A0CF1"/>
    <w:rsid w:val="5A985D7E"/>
    <w:rsid w:val="5AB74291"/>
    <w:rsid w:val="5AC547CA"/>
    <w:rsid w:val="5B7370C9"/>
    <w:rsid w:val="5B834E37"/>
    <w:rsid w:val="5B887294"/>
    <w:rsid w:val="5B990C60"/>
    <w:rsid w:val="5BED365D"/>
    <w:rsid w:val="5BF1520B"/>
    <w:rsid w:val="5C0401A3"/>
    <w:rsid w:val="5C1C1C30"/>
    <w:rsid w:val="5C34477C"/>
    <w:rsid w:val="5C9B769D"/>
    <w:rsid w:val="5CA07EE8"/>
    <w:rsid w:val="5CA766CC"/>
    <w:rsid w:val="5CA9380D"/>
    <w:rsid w:val="5CB47B0B"/>
    <w:rsid w:val="5CD856ED"/>
    <w:rsid w:val="5D255FC9"/>
    <w:rsid w:val="5D560A1A"/>
    <w:rsid w:val="5D6918A5"/>
    <w:rsid w:val="5D711295"/>
    <w:rsid w:val="5D7671AD"/>
    <w:rsid w:val="5D7B4C20"/>
    <w:rsid w:val="5D9C5730"/>
    <w:rsid w:val="5DA24DA9"/>
    <w:rsid w:val="5DA403E2"/>
    <w:rsid w:val="5DA9735F"/>
    <w:rsid w:val="5DB01744"/>
    <w:rsid w:val="5DF84A0D"/>
    <w:rsid w:val="5DFB41CA"/>
    <w:rsid w:val="5E062FB8"/>
    <w:rsid w:val="5E1A77BD"/>
    <w:rsid w:val="5E397245"/>
    <w:rsid w:val="5E4B236E"/>
    <w:rsid w:val="5E4C75DC"/>
    <w:rsid w:val="5E7C7DD8"/>
    <w:rsid w:val="5E7E6906"/>
    <w:rsid w:val="5E8D1350"/>
    <w:rsid w:val="5EB2025C"/>
    <w:rsid w:val="5EB42861"/>
    <w:rsid w:val="5EC93B48"/>
    <w:rsid w:val="5EEB2205"/>
    <w:rsid w:val="5EF771A4"/>
    <w:rsid w:val="5F057FB8"/>
    <w:rsid w:val="5F512D5E"/>
    <w:rsid w:val="5F5B0048"/>
    <w:rsid w:val="5F5E3B18"/>
    <w:rsid w:val="5FAA1FD8"/>
    <w:rsid w:val="5FB14497"/>
    <w:rsid w:val="5FC06A6A"/>
    <w:rsid w:val="5FC911FC"/>
    <w:rsid w:val="5FD10BB2"/>
    <w:rsid w:val="5FF35853"/>
    <w:rsid w:val="5FF571BF"/>
    <w:rsid w:val="600025DB"/>
    <w:rsid w:val="6011760B"/>
    <w:rsid w:val="60123B4A"/>
    <w:rsid w:val="60476DBF"/>
    <w:rsid w:val="60611100"/>
    <w:rsid w:val="60682C81"/>
    <w:rsid w:val="608D147A"/>
    <w:rsid w:val="609B751B"/>
    <w:rsid w:val="60F73904"/>
    <w:rsid w:val="61120240"/>
    <w:rsid w:val="61BC02C1"/>
    <w:rsid w:val="61BC0702"/>
    <w:rsid w:val="61BC1908"/>
    <w:rsid w:val="61EB5224"/>
    <w:rsid w:val="621D61D2"/>
    <w:rsid w:val="62476212"/>
    <w:rsid w:val="62944F3D"/>
    <w:rsid w:val="62A557E6"/>
    <w:rsid w:val="62A70268"/>
    <w:rsid w:val="62C4330C"/>
    <w:rsid w:val="62CD60B5"/>
    <w:rsid w:val="62EC4413"/>
    <w:rsid w:val="62F46778"/>
    <w:rsid w:val="63020F4D"/>
    <w:rsid w:val="630B50C4"/>
    <w:rsid w:val="634E362F"/>
    <w:rsid w:val="63680F2E"/>
    <w:rsid w:val="63866A83"/>
    <w:rsid w:val="63912023"/>
    <w:rsid w:val="63C16EC6"/>
    <w:rsid w:val="63CC19A6"/>
    <w:rsid w:val="63D87020"/>
    <w:rsid w:val="64233919"/>
    <w:rsid w:val="644F6BE6"/>
    <w:rsid w:val="647D56D6"/>
    <w:rsid w:val="64A82552"/>
    <w:rsid w:val="64AF4712"/>
    <w:rsid w:val="64B66DA2"/>
    <w:rsid w:val="64D14FF4"/>
    <w:rsid w:val="64D2551B"/>
    <w:rsid w:val="64D47373"/>
    <w:rsid w:val="64F874F3"/>
    <w:rsid w:val="64FD71E3"/>
    <w:rsid w:val="65025D9C"/>
    <w:rsid w:val="65063721"/>
    <w:rsid w:val="653707DF"/>
    <w:rsid w:val="653A056C"/>
    <w:rsid w:val="65412046"/>
    <w:rsid w:val="65503B10"/>
    <w:rsid w:val="657426E2"/>
    <w:rsid w:val="658228DF"/>
    <w:rsid w:val="658F6078"/>
    <w:rsid w:val="65B4295A"/>
    <w:rsid w:val="65BC778B"/>
    <w:rsid w:val="66530A1A"/>
    <w:rsid w:val="66742F71"/>
    <w:rsid w:val="66AA6010"/>
    <w:rsid w:val="66C75F76"/>
    <w:rsid w:val="66D3526A"/>
    <w:rsid w:val="66E05B7B"/>
    <w:rsid w:val="66EC21CE"/>
    <w:rsid w:val="670855B0"/>
    <w:rsid w:val="67240549"/>
    <w:rsid w:val="67542361"/>
    <w:rsid w:val="678E5F14"/>
    <w:rsid w:val="67902F39"/>
    <w:rsid w:val="679A78C8"/>
    <w:rsid w:val="67A454FF"/>
    <w:rsid w:val="67C438B3"/>
    <w:rsid w:val="67E57BCC"/>
    <w:rsid w:val="67F9172B"/>
    <w:rsid w:val="680E54DD"/>
    <w:rsid w:val="6828693D"/>
    <w:rsid w:val="68527617"/>
    <w:rsid w:val="685A5F2D"/>
    <w:rsid w:val="685C7D2C"/>
    <w:rsid w:val="688B31DC"/>
    <w:rsid w:val="6895012F"/>
    <w:rsid w:val="6898060E"/>
    <w:rsid w:val="68DC6256"/>
    <w:rsid w:val="68F87EC9"/>
    <w:rsid w:val="69096F13"/>
    <w:rsid w:val="69385E6F"/>
    <w:rsid w:val="695D345C"/>
    <w:rsid w:val="697A44E7"/>
    <w:rsid w:val="69867CE9"/>
    <w:rsid w:val="699C554E"/>
    <w:rsid w:val="6A2B4BDB"/>
    <w:rsid w:val="6A356179"/>
    <w:rsid w:val="6A53045F"/>
    <w:rsid w:val="6A823A24"/>
    <w:rsid w:val="6AB8361C"/>
    <w:rsid w:val="6AB85DA0"/>
    <w:rsid w:val="6AD2188F"/>
    <w:rsid w:val="6AD76C4A"/>
    <w:rsid w:val="6B1F6289"/>
    <w:rsid w:val="6B4E448C"/>
    <w:rsid w:val="6C0F0A86"/>
    <w:rsid w:val="6C7410E0"/>
    <w:rsid w:val="6CC572F3"/>
    <w:rsid w:val="6CE86D0B"/>
    <w:rsid w:val="6D0D594E"/>
    <w:rsid w:val="6D0F700D"/>
    <w:rsid w:val="6D20395A"/>
    <w:rsid w:val="6D4419D9"/>
    <w:rsid w:val="6D463531"/>
    <w:rsid w:val="6D4753C5"/>
    <w:rsid w:val="6DA32E66"/>
    <w:rsid w:val="6DC82986"/>
    <w:rsid w:val="6DC87394"/>
    <w:rsid w:val="6DCF7A42"/>
    <w:rsid w:val="6E1075EA"/>
    <w:rsid w:val="6E560020"/>
    <w:rsid w:val="6E602960"/>
    <w:rsid w:val="6E996FA1"/>
    <w:rsid w:val="6E9C5669"/>
    <w:rsid w:val="6EA5748F"/>
    <w:rsid w:val="6EBD2CFC"/>
    <w:rsid w:val="6EC65208"/>
    <w:rsid w:val="6F290AC5"/>
    <w:rsid w:val="6F2A4A55"/>
    <w:rsid w:val="6F5D31C7"/>
    <w:rsid w:val="6F712087"/>
    <w:rsid w:val="6F722122"/>
    <w:rsid w:val="6F9B268B"/>
    <w:rsid w:val="6FDC155E"/>
    <w:rsid w:val="6FEE34D4"/>
    <w:rsid w:val="702140B3"/>
    <w:rsid w:val="702E7D37"/>
    <w:rsid w:val="70426274"/>
    <w:rsid w:val="70564C7F"/>
    <w:rsid w:val="70622306"/>
    <w:rsid w:val="709B60AE"/>
    <w:rsid w:val="70B03028"/>
    <w:rsid w:val="70F97168"/>
    <w:rsid w:val="7143250B"/>
    <w:rsid w:val="717D0EF4"/>
    <w:rsid w:val="719B3355"/>
    <w:rsid w:val="71AB4EC2"/>
    <w:rsid w:val="71BC5BAF"/>
    <w:rsid w:val="71C46173"/>
    <w:rsid w:val="71D16466"/>
    <w:rsid w:val="71E32427"/>
    <w:rsid w:val="71E67FE0"/>
    <w:rsid w:val="71ED6009"/>
    <w:rsid w:val="71F269BF"/>
    <w:rsid w:val="72036F91"/>
    <w:rsid w:val="72133CCD"/>
    <w:rsid w:val="721F2097"/>
    <w:rsid w:val="72274A21"/>
    <w:rsid w:val="7248768B"/>
    <w:rsid w:val="728A2B09"/>
    <w:rsid w:val="72B24029"/>
    <w:rsid w:val="72F5502B"/>
    <w:rsid w:val="73045DDA"/>
    <w:rsid w:val="733156B5"/>
    <w:rsid w:val="733C04C3"/>
    <w:rsid w:val="73646C5D"/>
    <w:rsid w:val="73700724"/>
    <w:rsid w:val="737D4746"/>
    <w:rsid w:val="73A61721"/>
    <w:rsid w:val="73B5505A"/>
    <w:rsid w:val="73BA6718"/>
    <w:rsid w:val="73FC3673"/>
    <w:rsid w:val="74180638"/>
    <w:rsid w:val="741B5607"/>
    <w:rsid w:val="74221E13"/>
    <w:rsid w:val="74502B9D"/>
    <w:rsid w:val="74524EED"/>
    <w:rsid w:val="745A5DC2"/>
    <w:rsid w:val="745C4A3D"/>
    <w:rsid w:val="7471111E"/>
    <w:rsid w:val="74721D71"/>
    <w:rsid w:val="74B6317F"/>
    <w:rsid w:val="74C03CD3"/>
    <w:rsid w:val="74C204A9"/>
    <w:rsid w:val="74D71560"/>
    <w:rsid w:val="74E97DCB"/>
    <w:rsid w:val="750C65B3"/>
    <w:rsid w:val="755C7D0F"/>
    <w:rsid w:val="75D119D5"/>
    <w:rsid w:val="75E7301A"/>
    <w:rsid w:val="75EF348B"/>
    <w:rsid w:val="75F00D7D"/>
    <w:rsid w:val="75F108B0"/>
    <w:rsid w:val="75F361D2"/>
    <w:rsid w:val="76097F9F"/>
    <w:rsid w:val="76373CDA"/>
    <w:rsid w:val="76600ABB"/>
    <w:rsid w:val="76B33B8A"/>
    <w:rsid w:val="76B71D79"/>
    <w:rsid w:val="76C35BDF"/>
    <w:rsid w:val="76C8441B"/>
    <w:rsid w:val="76F8255B"/>
    <w:rsid w:val="77087721"/>
    <w:rsid w:val="77160DA9"/>
    <w:rsid w:val="772058D3"/>
    <w:rsid w:val="774B09C4"/>
    <w:rsid w:val="774D57A4"/>
    <w:rsid w:val="776642B4"/>
    <w:rsid w:val="778D75C4"/>
    <w:rsid w:val="779348BB"/>
    <w:rsid w:val="77937BAD"/>
    <w:rsid w:val="77A01BDA"/>
    <w:rsid w:val="77AA63C1"/>
    <w:rsid w:val="77B4541B"/>
    <w:rsid w:val="77F12738"/>
    <w:rsid w:val="77FE01C2"/>
    <w:rsid w:val="781A48E4"/>
    <w:rsid w:val="78600BAB"/>
    <w:rsid w:val="78676AC7"/>
    <w:rsid w:val="786D0926"/>
    <w:rsid w:val="788555F5"/>
    <w:rsid w:val="78AB3D28"/>
    <w:rsid w:val="78D0194B"/>
    <w:rsid w:val="790757EF"/>
    <w:rsid w:val="79115A11"/>
    <w:rsid w:val="791F2406"/>
    <w:rsid w:val="792432E7"/>
    <w:rsid w:val="795D54AE"/>
    <w:rsid w:val="79854A4F"/>
    <w:rsid w:val="7995530C"/>
    <w:rsid w:val="799C7752"/>
    <w:rsid w:val="79AF2ABA"/>
    <w:rsid w:val="79BC017C"/>
    <w:rsid w:val="79D03C0E"/>
    <w:rsid w:val="79D34AE1"/>
    <w:rsid w:val="7A00084A"/>
    <w:rsid w:val="7A311C3B"/>
    <w:rsid w:val="7A356BB2"/>
    <w:rsid w:val="7A371E60"/>
    <w:rsid w:val="7A6B1C66"/>
    <w:rsid w:val="7A7A73F2"/>
    <w:rsid w:val="7A8219A8"/>
    <w:rsid w:val="7A9D4C78"/>
    <w:rsid w:val="7AB6616E"/>
    <w:rsid w:val="7AD44AA0"/>
    <w:rsid w:val="7AD74FBD"/>
    <w:rsid w:val="7B1516E7"/>
    <w:rsid w:val="7B222ECA"/>
    <w:rsid w:val="7B23489E"/>
    <w:rsid w:val="7B3665D8"/>
    <w:rsid w:val="7B4D7E0E"/>
    <w:rsid w:val="7B9C6BC0"/>
    <w:rsid w:val="7B9E30DF"/>
    <w:rsid w:val="7BCF0EB0"/>
    <w:rsid w:val="7BD47CD2"/>
    <w:rsid w:val="7C0B0C54"/>
    <w:rsid w:val="7C0C1FA3"/>
    <w:rsid w:val="7C0C39DC"/>
    <w:rsid w:val="7C1B06E0"/>
    <w:rsid w:val="7C2A5BC5"/>
    <w:rsid w:val="7C467133"/>
    <w:rsid w:val="7C512AE4"/>
    <w:rsid w:val="7C6C5EC7"/>
    <w:rsid w:val="7C9869C4"/>
    <w:rsid w:val="7CC96AB6"/>
    <w:rsid w:val="7CD05681"/>
    <w:rsid w:val="7CD36D3B"/>
    <w:rsid w:val="7CF76B77"/>
    <w:rsid w:val="7D523AFB"/>
    <w:rsid w:val="7D6B2426"/>
    <w:rsid w:val="7DC87813"/>
    <w:rsid w:val="7DCD7512"/>
    <w:rsid w:val="7DDD7712"/>
    <w:rsid w:val="7DDF33A8"/>
    <w:rsid w:val="7DEA334C"/>
    <w:rsid w:val="7DFE0AE4"/>
    <w:rsid w:val="7E024095"/>
    <w:rsid w:val="7E223780"/>
    <w:rsid w:val="7E5D7175"/>
    <w:rsid w:val="7E943E17"/>
    <w:rsid w:val="7F064465"/>
    <w:rsid w:val="7F1946AF"/>
    <w:rsid w:val="7F2F040B"/>
    <w:rsid w:val="7F67572F"/>
    <w:rsid w:val="7F9D3848"/>
    <w:rsid w:val="7F9E3AC1"/>
    <w:rsid w:val="7FA07281"/>
    <w:rsid w:val="7FA90B80"/>
    <w:rsid w:val="7FBC5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pacing w:beforeLines="50" w:afterLines="50" w:line="415" w:lineRule="auto"/>
      <w:ind w:firstLine="200" w:firstLineChars="200"/>
    </w:pPr>
    <w:rPr>
      <w:rFonts w:ascii="宋体" w:hAnsi="Times New Roman" w:eastAsia="宋体" w:cs="Times New Roman"/>
      <w:sz w:val="24"/>
      <w:szCs w:val="24"/>
      <w:lang w:val="en-US" w:eastAsia="zh-CN" w:bidi="ar-SA"/>
    </w:rPr>
  </w:style>
  <w:style w:type="paragraph" w:styleId="2">
    <w:name w:val="heading 1"/>
    <w:basedOn w:val="1"/>
    <w:next w:val="1"/>
    <w:link w:val="52"/>
    <w:qFormat/>
    <w:uiPriority w:val="0"/>
    <w:pPr>
      <w:keepNext/>
      <w:tabs>
        <w:tab w:val="left" w:pos="0"/>
      </w:tabs>
      <w:autoSpaceDE/>
      <w:autoSpaceDN/>
      <w:adjustRightInd/>
      <w:spacing w:before="50" w:after="50"/>
      <w:ind w:firstLine="0" w:firstLineChars="0"/>
      <w:outlineLvl w:val="0"/>
    </w:pPr>
    <w:rPr>
      <w:rFonts w:hAnsi="宋体" w:eastAsiaTheme="majorEastAsia"/>
      <w:b/>
      <w:bCs/>
      <w:color w:val="000000"/>
      <w:spacing w:val="10"/>
      <w:kern w:val="2"/>
      <w:sz w:val="36"/>
      <w:szCs w:val="36"/>
    </w:rPr>
  </w:style>
  <w:style w:type="paragraph" w:styleId="3">
    <w:name w:val="heading 2"/>
    <w:basedOn w:val="1"/>
    <w:next w:val="1"/>
    <w:link w:val="53"/>
    <w:qFormat/>
    <w:uiPriority w:val="0"/>
    <w:pPr>
      <w:keepNext/>
      <w:keepLines/>
      <w:tabs>
        <w:tab w:val="left" w:pos="0"/>
      </w:tabs>
      <w:ind w:firstLine="0" w:firstLineChars="0"/>
      <w:outlineLvl w:val="1"/>
    </w:pPr>
    <w:rPr>
      <w:rFonts w:ascii="Arial" w:hAnsi="Arial" w:eastAsiaTheme="majorEastAsia"/>
      <w:b/>
      <w:bCs/>
      <w:sz w:val="32"/>
      <w:szCs w:val="32"/>
    </w:rPr>
  </w:style>
  <w:style w:type="paragraph" w:styleId="4">
    <w:name w:val="heading 3"/>
    <w:basedOn w:val="1"/>
    <w:next w:val="1"/>
    <w:link w:val="5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138"/>
    <w:qFormat/>
    <w:uiPriority w:val="0"/>
    <w:pPr>
      <w:autoSpaceDE/>
      <w:autoSpaceDN/>
      <w:adjustRightInd/>
      <w:spacing w:line="300" w:lineRule="auto"/>
      <w:ind w:left="851" w:hanging="851" w:firstLineChars="0"/>
      <w:jc w:val="both"/>
      <w:outlineLvl w:val="3"/>
    </w:pPr>
    <w:rPr>
      <w:rFonts w:ascii="Times New Roman"/>
      <w:b/>
      <w:kern w:val="2"/>
    </w:rPr>
  </w:style>
  <w:style w:type="paragraph" w:styleId="6">
    <w:name w:val="heading 5"/>
    <w:basedOn w:val="1"/>
    <w:next w:val="1"/>
    <w:link w:val="55"/>
    <w:qFormat/>
    <w:uiPriority w:val="0"/>
    <w:pPr>
      <w:keepNext/>
      <w:keepLines/>
      <w:widowControl/>
      <w:tabs>
        <w:tab w:val="left" w:pos="980"/>
      </w:tabs>
      <w:overflowPunct w:val="0"/>
      <w:autoSpaceDE/>
      <w:autoSpaceDN/>
      <w:spacing w:before="60" w:after="60" w:line="360" w:lineRule="auto"/>
      <w:ind w:firstLine="0" w:firstLineChars="0"/>
      <w:jc w:val="both"/>
      <w:textAlignment w:val="baseline"/>
      <w:outlineLvl w:val="4"/>
    </w:pPr>
    <w:rPr>
      <w:rFonts w:ascii="Times New Roman"/>
      <w:spacing w:val="14"/>
      <w:kern w:val="24"/>
      <w:szCs w:val="20"/>
    </w:rPr>
  </w:style>
  <w:style w:type="paragraph" w:styleId="7">
    <w:name w:val="heading 6"/>
    <w:basedOn w:val="1"/>
    <w:next w:val="8"/>
    <w:link w:val="57"/>
    <w:qFormat/>
    <w:uiPriority w:val="0"/>
    <w:pPr>
      <w:keepNext/>
      <w:keepLines/>
      <w:widowControl/>
      <w:autoSpaceDE/>
      <w:autoSpaceDN/>
      <w:adjustRightInd/>
      <w:spacing w:before="240" w:after="64" w:line="319" w:lineRule="auto"/>
      <w:ind w:left="1152" w:hanging="1152" w:firstLineChars="0"/>
      <w:outlineLvl w:val="5"/>
    </w:pPr>
    <w:rPr>
      <w:rFonts w:ascii="Times New Roman"/>
      <w:sz w:val="28"/>
      <w:szCs w:val="20"/>
    </w:rPr>
  </w:style>
  <w:style w:type="paragraph" w:styleId="9">
    <w:name w:val="heading 7"/>
    <w:basedOn w:val="1"/>
    <w:next w:val="1"/>
    <w:link w:val="58"/>
    <w:qFormat/>
    <w:uiPriority w:val="0"/>
    <w:pPr>
      <w:keepNext/>
      <w:keepLines/>
      <w:autoSpaceDE/>
      <w:autoSpaceDN/>
      <w:adjustRightInd/>
      <w:spacing w:before="240" w:after="64" w:line="320" w:lineRule="auto"/>
      <w:ind w:firstLine="0" w:firstLineChars="0"/>
      <w:jc w:val="both"/>
      <w:outlineLvl w:val="6"/>
    </w:pPr>
    <w:rPr>
      <w:rFonts w:ascii="Times New Roman"/>
      <w:b/>
      <w:bCs/>
      <w:kern w:val="2"/>
    </w:rPr>
  </w:style>
  <w:style w:type="paragraph" w:styleId="10">
    <w:name w:val="heading 8"/>
    <w:basedOn w:val="1"/>
    <w:next w:val="8"/>
    <w:link w:val="59"/>
    <w:qFormat/>
    <w:uiPriority w:val="0"/>
    <w:pPr>
      <w:keepNext/>
      <w:keepLines/>
      <w:widowControl/>
      <w:autoSpaceDE/>
      <w:autoSpaceDN/>
      <w:adjustRightInd/>
      <w:spacing w:line="360" w:lineRule="auto"/>
      <w:ind w:left="1440" w:hanging="1440" w:firstLineChars="0"/>
      <w:outlineLvl w:val="7"/>
    </w:pPr>
    <w:rPr>
      <w:rFonts w:ascii="Times New Roman"/>
      <w:sz w:val="28"/>
      <w:szCs w:val="20"/>
    </w:rPr>
  </w:style>
  <w:style w:type="paragraph" w:styleId="11">
    <w:name w:val="heading 9"/>
    <w:basedOn w:val="1"/>
    <w:next w:val="1"/>
    <w:link w:val="60"/>
    <w:qFormat/>
    <w:uiPriority w:val="0"/>
    <w:pPr>
      <w:keepNext/>
      <w:keepLines/>
      <w:autoSpaceDE/>
      <w:autoSpaceDN/>
      <w:adjustRightInd/>
      <w:spacing w:before="240" w:after="64" w:line="320" w:lineRule="auto"/>
      <w:ind w:firstLine="0" w:firstLineChars="0"/>
      <w:jc w:val="both"/>
      <w:outlineLvl w:val="8"/>
    </w:pPr>
    <w:rPr>
      <w:rFonts w:ascii="Arial" w:hAnsi="Arial" w:eastAsia="黑体"/>
      <w:kern w:val="2"/>
      <w:sz w:val="21"/>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56"/>
    <w:qFormat/>
    <w:uiPriority w:val="0"/>
    <w:pPr>
      <w:autoSpaceDE/>
      <w:autoSpaceDN/>
      <w:adjustRightInd/>
      <w:ind w:firstLine="420"/>
      <w:jc w:val="both"/>
    </w:pPr>
    <w:rPr>
      <w:rFonts w:ascii="Times New Roman"/>
      <w:kern w:val="2"/>
      <w:sz w:val="21"/>
    </w:rPr>
  </w:style>
  <w:style w:type="paragraph" w:styleId="12">
    <w:name w:val="toc 7"/>
    <w:basedOn w:val="1"/>
    <w:next w:val="1"/>
    <w:unhideWhenUsed/>
    <w:qFormat/>
    <w:uiPriority w:val="39"/>
    <w:pPr>
      <w:autoSpaceDE/>
      <w:autoSpaceDN/>
      <w:adjustRightInd/>
      <w:ind w:left="2520" w:leftChars="1200" w:firstLine="0" w:firstLineChars="0"/>
      <w:jc w:val="both"/>
    </w:pPr>
    <w:rPr>
      <w:rFonts w:asciiTheme="minorHAnsi" w:hAnsiTheme="minorHAnsi" w:eastAsiaTheme="minorEastAsia" w:cstheme="minorBidi"/>
      <w:kern w:val="2"/>
      <w:sz w:val="21"/>
      <w:szCs w:val="22"/>
    </w:rPr>
  </w:style>
  <w:style w:type="paragraph" w:styleId="13">
    <w:name w:val="caption"/>
    <w:basedOn w:val="1"/>
    <w:next w:val="1"/>
    <w:unhideWhenUsed/>
    <w:qFormat/>
    <w:uiPriority w:val="35"/>
    <w:pPr>
      <w:autoSpaceDE/>
      <w:autoSpaceDN/>
      <w:adjustRightInd/>
      <w:ind w:firstLine="0" w:firstLineChars="0"/>
      <w:jc w:val="both"/>
    </w:pPr>
    <w:rPr>
      <w:rFonts w:ascii="Cambria" w:hAnsi="Cambria" w:eastAsia="黑体"/>
      <w:kern w:val="2"/>
      <w:sz w:val="20"/>
      <w:szCs w:val="20"/>
    </w:rPr>
  </w:style>
  <w:style w:type="paragraph" w:styleId="14">
    <w:name w:val="Document Map"/>
    <w:basedOn w:val="1"/>
    <w:link w:val="80"/>
    <w:semiHidden/>
    <w:qFormat/>
    <w:uiPriority w:val="0"/>
    <w:pPr>
      <w:shd w:val="clear" w:color="auto" w:fill="000080"/>
      <w:autoSpaceDE/>
      <w:autoSpaceDN/>
      <w:adjustRightInd/>
      <w:ind w:firstLine="0" w:firstLineChars="0"/>
      <w:jc w:val="both"/>
    </w:pPr>
    <w:rPr>
      <w:rFonts w:ascii="Times New Roman"/>
      <w:kern w:val="2"/>
      <w:sz w:val="21"/>
    </w:rPr>
  </w:style>
  <w:style w:type="paragraph" w:styleId="15">
    <w:name w:val="annotation text"/>
    <w:basedOn w:val="1"/>
    <w:link w:val="83"/>
    <w:qFormat/>
    <w:uiPriority w:val="0"/>
    <w:pPr>
      <w:autoSpaceDE/>
      <w:autoSpaceDN/>
      <w:adjustRightInd/>
      <w:ind w:firstLine="0" w:firstLineChars="0"/>
    </w:pPr>
    <w:rPr>
      <w:rFonts w:ascii="Times New Roman"/>
      <w:kern w:val="2"/>
      <w:sz w:val="21"/>
    </w:rPr>
  </w:style>
  <w:style w:type="paragraph" w:styleId="16">
    <w:name w:val="Body Text 3"/>
    <w:basedOn w:val="1"/>
    <w:link w:val="129"/>
    <w:unhideWhenUsed/>
    <w:qFormat/>
    <w:uiPriority w:val="99"/>
    <w:pPr>
      <w:spacing w:after="120"/>
    </w:pPr>
    <w:rPr>
      <w:sz w:val="16"/>
      <w:szCs w:val="16"/>
    </w:rPr>
  </w:style>
  <w:style w:type="paragraph" w:styleId="17">
    <w:name w:val="Body Text"/>
    <w:basedOn w:val="1"/>
    <w:link w:val="92"/>
    <w:qFormat/>
    <w:uiPriority w:val="0"/>
    <w:pPr>
      <w:autoSpaceDE/>
      <w:autoSpaceDN/>
      <w:adjustRightInd/>
      <w:spacing w:before="120" w:after="120"/>
      <w:ind w:firstLine="0" w:firstLineChars="0"/>
    </w:pPr>
    <w:rPr>
      <w:rFonts w:ascii="Times New Roman" w:eastAsia="PMingLiU"/>
      <w:kern w:val="2"/>
    </w:rPr>
  </w:style>
  <w:style w:type="paragraph" w:styleId="18">
    <w:name w:val="Body Text Indent"/>
    <w:basedOn w:val="1"/>
    <w:link w:val="73"/>
    <w:qFormat/>
    <w:uiPriority w:val="0"/>
    <w:pPr>
      <w:autoSpaceDE/>
      <w:autoSpaceDN/>
      <w:adjustRightInd/>
      <w:ind w:left="-362" w:leftChars="-43" w:firstLine="116" w:firstLineChars="32"/>
      <w:jc w:val="center"/>
    </w:pPr>
    <w:rPr>
      <w:rFonts w:hAnsi="宋体"/>
      <w:b/>
      <w:kern w:val="2"/>
      <w:sz w:val="36"/>
    </w:rPr>
  </w:style>
  <w:style w:type="paragraph" w:styleId="19">
    <w:name w:val="List 2"/>
    <w:basedOn w:val="1"/>
    <w:qFormat/>
    <w:uiPriority w:val="0"/>
    <w:pPr>
      <w:widowControl/>
      <w:tabs>
        <w:tab w:val="left" w:pos="1055"/>
      </w:tabs>
      <w:autoSpaceDE/>
      <w:autoSpaceDN/>
      <w:adjustRightInd/>
      <w:spacing w:after="120" w:line="360" w:lineRule="auto"/>
      <w:ind w:left="1055" w:firstLine="0" w:firstLineChars="0"/>
    </w:pPr>
    <w:rPr>
      <w:rFonts w:ascii="Times New Roman"/>
      <w:sz w:val="28"/>
      <w:szCs w:val="20"/>
    </w:rPr>
  </w:style>
  <w:style w:type="paragraph" w:styleId="20">
    <w:name w:val="Block Text"/>
    <w:qFormat/>
    <w:uiPriority w:val="0"/>
    <w:pPr>
      <w:kinsoku w:val="0"/>
      <w:spacing w:beforeLines="50" w:afterLines="50"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21">
    <w:name w:val="toc 5"/>
    <w:basedOn w:val="1"/>
    <w:next w:val="1"/>
    <w:unhideWhenUsed/>
    <w:qFormat/>
    <w:uiPriority w:val="39"/>
    <w:pPr>
      <w:autoSpaceDE/>
      <w:autoSpaceDN/>
      <w:adjustRightInd/>
      <w:ind w:left="1680" w:leftChars="800" w:firstLine="0" w:firstLineChars="0"/>
      <w:jc w:val="both"/>
    </w:pPr>
    <w:rPr>
      <w:rFonts w:asciiTheme="minorHAnsi" w:hAnsiTheme="minorHAnsi" w:eastAsiaTheme="minorEastAsia" w:cstheme="minorBidi"/>
      <w:kern w:val="2"/>
      <w:sz w:val="21"/>
      <w:szCs w:val="22"/>
    </w:rPr>
  </w:style>
  <w:style w:type="paragraph" w:styleId="22">
    <w:name w:val="toc 3"/>
    <w:basedOn w:val="1"/>
    <w:next w:val="1"/>
    <w:unhideWhenUsed/>
    <w:qFormat/>
    <w:uiPriority w:val="39"/>
    <w:pPr>
      <w:ind w:left="840" w:leftChars="400"/>
    </w:pPr>
  </w:style>
  <w:style w:type="paragraph" w:styleId="23">
    <w:name w:val="Plain Text"/>
    <w:basedOn w:val="1"/>
    <w:link w:val="77"/>
    <w:qFormat/>
    <w:uiPriority w:val="0"/>
    <w:pPr>
      <w:autoSpaceDE/>
      <w:autoSpaceDN/>
      <w:adjustRightInd/>
      <w:ind w:firstLine="0" w:firstLineChars="0"/>
      <w:jc w:val="both"/>
    </w:pPr>
    <w:rPr>
      <w:rFonts w:hAnsi="Courier New" w:cs="Courier New"/>
      <w:kern w:val="2"/>
      <w:sz w:val="21"/>
      <w:szCs w:val="21"/>
    </w:rPr>
  </w:style>
  <w:style w:type="paragraph" w:styleId="24">
    <w:name w:val="toc 8"/>
    <w:basedOn w:val="1"/>
    <w:next w:val="1"/>
    <w:unhideWhenUsed/>
    <w:qFormat/>
    <w:uiPriority w:val="39"/>
    <w:pPr>
      <w:autoSpaceDE/>
      <w:autoSpaceDN/>
      <w:adjustRightInd/>
      <w:ind w:left="2940" w:leftChars="1400" w:firstLine="0" w:firstLineChars="0"/>
      <w:jc w:val="both"/>
    </w:pPr>
    <w:rPr>
      <w:rFonts w:asciiTheme="minorHAnsi" w:hAnsiTheme="minorHAnsi" w:eastAsiaTheme="minorEastAsia" w:cstheme="minorBidi"/>
      <w:kern w:val="2"/>
      <w:sz w:val="21"/>
      <w:szCs w:val="22"/>
    </w:rPr>
  </w:style>
  <w:style w:type="paragraph" w:styleId="25">
    <w:name w:val="Date"/>
    <w:basedOn w:val="1"/>
    <w:next w:val="1"/>
    <w:link w:val="76"/>
    <w:qFormat/>
    <w:uiPriority w:val="0"/>
    <w:pPr>
      <w:ind w:left="100" w:leftChars="2500" w:firstLine="0" w:firstLineChars="0"/>
    </w:pPr>
  </w:style>
  <w:style w:type="paragraph" w:styleId="26">
    <w:name w:val="Body Text Indent 2"/>
    <w:basedOn w:val="1"/>
    <w:link w:val="74"/>
    <w:qFormat/>
    <w:uiPriority w:val="0"/>
    <w:pPr>
      <w:autoSpaceDE/>
      <w:autoSpaceDN/>
      <w:adjustRightInd/>
      <w:ind w:firstLine="600"/>
      <w:jc w:val="both"/>
    </w:pPr>
    <w:rPr>
      <w:rFonts w:ascii="Times New Roman"/>
      <w:kern w:val="2"/>
      <w:sz w:val="30"/>
    </w:rPr>
  </w:style>
  <w:style w:type="paragraph" w:styleId="27">
    <w:name w:val="Balloon Text"/>
    <w:basedOn w:val="1"/>
    <w:link w:val="78"/>
    <w:semiHidden/>
    <w:qFormat/>
    <w:uiPriority w:val="0"/>
    <w:pPr>
      <w:autoSpaceDE/>
      <w:autoSpaceDN/>
      <w:adjustRightInd/>
      <w:ind w:firstLine="0" w:firstLineChars="0"/>
      <w:jc w:val="both"/>
    </w:pPr>
    <w:rPr>
      <w:rFonts w:ascii="Times New Roman"/>
      <w:kern w:val="2"/>
      <w:sz w:val="18"/>
      <w:szCs w:val="18"/>
    </w:rPr>
  </w:style>
  <w:style w:type="paragraph" w:styleId="28">
    <w:name w:val="footer"/>
    <w:basedOn w:val="1"/>
    <w:link w:val="62"/>
    <w:unhideWhenUsed/>
    <w:qFormat/>
    <w:uiPriority w:val="99"/>
    <w:pPr>
      <w:tabs>
        <w:tab w:val="center" w:pos="4153"/>
        <w:tab w:val="right" w:pos="8306"/>
      </w:tabs>
      <w:snapToGrid w:val="0"/>
    </w:pPr>
    <w:rPr>
      <w:sz w:val="18"/>
      <w:szCs w:val="18"/>
    </w:rPr>
  </w:style>
  <w:style w:type="paragraph" w:styleId="29">
    <w:name w:val="header"/>
    <w:basedOn w:val="1"/>
    <w:link w:val="61"/>
    <w:unhideWhenUsed/>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spacing w:line="360" w:lineRule="auto"/>
    </w:pPr>
    <w:rPr>
      <w:rFonts w:hAnsi="宋体"/>
    </w:rPr>
  </w:style>
  <w:style w:type="paragraph" w:styleId="31">
    <w:name w:val="toc 4"/>
    <w:basedOn w:val="1"/>
    <w:next w:val="1"/>
    <w:unhideWhenUsed/>
    <w:qFormat/>
    <w:uiPriority w:val="39"/>
    <w:pPr>
      <w:ind w:left="1260" w:leftChars="600"/>
    </w:pPr>
  </w:style>
  <w:style w:type="paragraph" w:styleId="32">
    <w:name w:val="Subtitle"/>
    <w:basedOn w:val="1"/>
    <w:link w:val="102"/>
    <w:qFormat/>
    <w:uiPriority w:val="0"/>
    <w:pPr>
      <w:autoSpaceDE/>
      <w:autoSpaceDN/>
      <w:adjustRightInd/>
      <w:spacing w:before="240" w:after="60" w:line="312" w:lineRule="auto"/>
      <w:ind w:firstLine="0" w:firstLineChars="0"/>
      <w:jc w:val="center"/>
      <w:outlineLvl w:val="1"/>
    </w:pPr>
    <w:rPr>
      <w:rFonts w:ascii="Arial" w:hAnsi="Arial" w:cs="Arial"/>
      <w:b/>
      <w:bCs/>
      <w:kern w:val="28"/>
      <w:sz w:val="32"/>
      <w:szCs w:val="32"/>
    </w:rPr>
  </w:style>
  <w:style w:type="paragraph" w:styleId="33">
    <w:name w:val="footnote text"/>
    <w:basedOn w:val="1"/>
    <w:link w:val="82"/>
    <w:qFormat/>
    <w:uiPriority w:val="0"/>
    <w:pPr>
      <w:autoSpaceDE/>
      <w:autoSpaceDN/>
      <w:adjustRightInd/>
      <w:snapToGrid w:val="0"/>
      <w:ind w:firstLine="0" w:firstLineChars="0"/>
    </w:pPr>
    <w:rPr>
      <w:rFonts w:ascii="Times New Roman"/>
      <w:kern w:val="2"/>
      <w:sz w:val="18"/>
      <w:szCs w:val="18"/>
    </w:rPr>
  </w:style>
  <w:style w:type="paragraph" w:styleId="34">
    <w:name w:val="toc 6"/>
    <w:basedOn w:val="1"/>
    <w:next w:val="1"/>
    <w:unhideWhenUsed/>
    <w:qFormat/>
    <w:uiPriority w:val="39"/>
    <w:pPr>
      <w:autoSpaceDE/>
      <w:autoSpaceDN/>
      <w:adjustRightInd/>
      <w:ind w:left="2100" w:leftChars="1000" w:firstLine="0" w:firstLineChars="0"/>
      <w:jc w:val="both"/>
    </w:pPr>
    <w:rPr>
      <w:rFonts w:asciiTheme="minorHAnsi" w:hAnsiTheme="minorHAnsi" w:eastAsiaTheme="minorEastAsia" w:cstheme="minorBidi"/>
      <w:kern w:val="2"/>
      <w:sz w:val="21"/>
      <w:szCs w:val="22"/>
    </w:rPr>
  </w:style>
  <w:style w:type="paragraph" w:styleId="35">
    <w:name w:val="Body Text Indent 3"/>
    <w:basedOn w:val="1"/>
    <w:link w:val="79"/>
    <w:qFormat/>
    <w:uiPriority w:val="0"/>
    <w:pPr>
      <w:autoSpaceDE/>
      <w:autoSpaceDN/>
      <w:adjustRightInd/>
      <w:spacing w:line="420" w:lineRule="exact"/>
      <w:ind w:firstLine="540" w:firstLineChars="225"/>
      <w:jc w:val="both"/>
    </w:pPr>
    <w:rPr>
      <w:rFonts w:ascii="Times New Roman"/>
      <w:kern w:val="2"/>
    </w:rPr>
  </w:style>
  <w:style w:type="paragraph" w:styleId="36">
    <w:name w:val="toc 2"/>
    <w:basedOn w:val="1"/>
    <w:next w:val="1"/>
    <w:unhideWhenUsed/>
    <w:qFormat/>
    <w:uiPriority w:val="39"/>
    <w:pPr>
      <w:ind w:left="420" w:leftChars="200"/>
    </w:pPr>
  </w:style>
  <w:style w:type="paragraph" w:styleId="37">
    <w:name w:val="toc 9"/>
    <w:basedOn w:val="1"/>
    <w:next w:val="1"/>
    <w:unhideWhenUsed/>
    <w:qFormat/>
    <w:uiPriority w:val="39"/>
    <w:pPr>
      <w:autoSpaceDE/>
      <w:autoSpaceDN/>
      <w:adjustRightInd/>
      <w:ind w:left="3360" w:leftChars="1600" w:firstLine="0" w:firstLineChars="0"/>
      <w:jc w:val="both"/>
    </w:pPr>
    <w:rPr>
      <w:rFonts w:asciiTheme="minorHAnsi" w:hAnsiTheme="minorHAnsi" w:eastAsiaTheme="minorEastAsia" w:cstheme="minorBidi"/>
      <w:kern w:val="2"/>
      <w:sz w:val="21"/>
      <w:szCs w:val="22"/>
    </w:rPr>
  </w:style>
  <w:style w:type="paragraph" w:styleId="38">
    <w:name w:val="Body Text 2"/>
    <w:basedOn w:val="1"/>
    <w:link w:val="108"/>
    <w:qFormat/>
    <w:uiPriority w:val="0"/>
    <w:pPr>
      <w:autoSpaceDE/>
      <w:autoSpaceDN/>
      <w:adjustRightInd/>
      <w:spacing w:line="500" w:lineRule="exact"/>
      <w:ind w:left="1080" w:hanging="540" w:firstLineChars="0"/>
      <w:jc w:val="both"/>
    </w:pPr>
    <w:rPr>
      <w:rFonts w:ascii="Times New Roman"/>
      <w:kern w:val="2"/>
    </w:rPr>
  </w:style>
  <w:style w:type="paragraph" w:styleId="39">
    <w:name w:val="Normal (Web)"/>
    <w:basedOn w:val="1"/>
    <w:qFormat/>
    <w:uiPriority w:val="99"/>
    <w:pPr>
      <w:widowControl/>
      <w:autoSpaceDE/>
      <w:autoSpaceDN/>
      <w:adjustRightInd/>
      <w:spacing w:before="100" w:beforeAutospacing="1" w:after="100" w:afterAutospacing="1"/>
      <w:ind w:firstLine="0" w:firstLineChars="0"/>
    </w:pPr>
    <w:rPr>
      <w:rFonts w:cs="宋体"/>
    </w:rPr>
  </w:style>
  <w:style w:type="paragraph" w:styleId="40">
    <w:name w:val="Title"/>
    <w:basedOn w:val="1"/>
    <w:next w:val="1"/>
    <w:link w:val="95"/>
    <w:qFormat/>
    <w:uiPriority w:val="0"/>
    <w:pPr>
      <w:autoSpaceDE/>
      <w:autoSpaceDN/>
      <w:adjustRightInd/>
      <w:spacing w:before="240" w:after="60" w:line="360" w:lineRule="auto"/>
      <w:ind w:firstLine="0" w:firstLineChars="0"/>
      <w:jc w:val="center"/>
      <w:outlineLvl w:val="0"/>
    </w:pPr>
    <w:rPr>
      <w:rFonts w:ascii="Cambria" w:hAnsi="Cambria"/>
      <w:b/>
      <w:bCs/>
      <w:kern w:val="2"/>
      <w:sz w:val="52"/>
      <w:szCs w:val="32"/>
    </w:rPr>
  </w:style>
  <w:style w:type="paragraph" w:styleId="41">
    <w:name w:val="annotation subject"/>
    <w:basedOn w:val="15"/>
    <w:next w:val="15"/>
    <w:link w:val="84"/>
    <w:qFormat/>
    <w:uiPriority w:val="0"/>
    <w:rPr>
      <w:b/>
      <w:bCs/>
    </w:rPr>
  </w:style>
  <w:style w:type="table" w:styleId="43">
    <w:name w:val="Table Grid"/>
    <w:basedOn w:val="4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Hyperlink"/>
    <w:basedOn w:val="44"/>
    <w:unhideWhenUsed/>
    <w:qFormat/>
    <w:uiPriority w:val="99"/>
    <w:rPr>
      <w:color w:val="0000FF" w:themeColor="hyperlink"/>
      <w:u w:val="single"/>
      <w14:textFill>
        <w14:solidFill>
          <w14:schemeClr w14:val="hlink"/>
        </w14:solidFill>
      </w14:textFill>
    </w:rPr>
  </w:style>
  <w:style w:type="character" w:styleId="49">
    <w:name w:val="annotation reference"/>
    <w:qFormat/>
    <w:uiPriority w:val="0"/>
    <w:rPr>
      <w:sz w:val="21"/>
      <w:szCs w:val="21"/>
    </w:rPr>
  </w:style>
  <w:style w:type="character" w:styleId="50">
    <w:name w:val="footnote reference"/>
    <w:qFormat/>
    <w:uiPriority w:val="0"/>
    <w:rPr>
      <w:vertAlign w:val="superscript"/>
    </w:rPr>
  </w:style>
  <w:style w:type="paragraph" w:customStyle="1" w:styleId="51">
    <w:name w:val="A表格"/>
    <w:basedOn w:val="1"/>
    <w:qFormat/>
    <w:uiPriority w:val="0"/>
    <w:pPr>
      <w:autoSpaceDE/>
      <w:autoSpaceDN/>
      <w:adjustRightInd/>
      <w:spacing w:before="10" w:beforeLines="10" w:after="10" w:afterLines="10" w:line="360" w:lineRule="auto"/>
      <w:ind w:firstLine="0" w:firstLineChars="0"/>
      <w:jc w:val="center"/>
    </w:pPr>
    <w:rPr>
      <w:rFonts w:ascii="Times New Roman"/>
      <w:sz w:val="21"/>
    </w:rPr>
  </w:style>
  <w:style w:type="character" w:customStyle="1" w:styleId="52">
    <w:name w:val="标题 1 Char"/>
    <w:basedOn w:val="44"/>
    <w:link w:val="2"/>
    <w:qFormat/>
    <w:uiPriority w:val="0"/>
    <w:rPr>
      <w:rFonts w:ascii="宋体" w:hAnsi="宋体" w:cs="Times New Roman" w:eastAsiaTheme="majorEastAsia"/>
      <w:b/>
      <w:bCs/>
      <w:color w:val="000000"/>
      <w:spacing w:val="10"/>
      <w:kern w:val="2"/>
      <w:sz w:val="36"/>
      <w:szCs w:val="36"/>
    </w:rPr>
  </w:style>
  <w:style w:type="character" w:customStyle="1" w:styleId="53">
    <w:name w:val="标题 2 Char"/>
    <w:basedOn w:val="44"/>
    <w:link w:val="3"/>
    <w:qFormat/>
    <w:uiPriority w:val="0"/>
    <w:rPr>
      <w:rFonts w:ascii="Arial" w:hAnsi="Arial" w:cs="Times New Roman" w:eastAsiaTheme="majorEastAsia"/>
      <w:b/>
      <w:bCs/>
      <w:sz w:val="32"/>
      <w:szCs w:val="32"/>
    </w:rPr>
  </w:style>
  <w:style w:type="character" w:customStyle="1" w:styleId="54">
    <w:name w:val="标题 3 Char"/>
    <w:basedOn w:val="44"/>
    <w:link w:val="4"/>
    <w:qFormat/>
    <w:uiPriority w:val="0"/>
    <w:rPr>
      <w:rFonts w:ascii="宋体" w:hAnsi="Times New Roman" w:eastAsia="宋体" w:cs="Times New Roman"/>
      <w:b/>
      <w:bCs/>
      <w:kern w:val="0"/>
      <w:sz w:val="32"/>
      <w:szCs w:val="32"/>
    </w:rPr>
  </w:style>
  <w:style w:type="character" w:customStyle="1" w:styleId="55">
    <w:name w:val="标题 5 Char"/>
    <w:basedOn w:val="44"/>
    <w:link w:val="6"/>
    <w:qFormat/>
    <w:uiPriority w:val="0"/>
    <w:rPr>
      <w:rFonts w:ascii="Times New Roman" w:hAnsi="Times New Roman" w:eastAsia="宋体" w:cs="Times New Roman"/>
      <w:spacing w:val="14"/>
      <w:kern w:val="24"/>
      <w:sz w:val="24"/>
      <w:szCs w:val="20"/>
    </w:rPr>
  </w:style>
  <w:style w:type="character" w:customStyle="1" w:styleId="56">
    <w:name w:val="正文缩进 Char"/>
    <w:link w:val="8"/>
    <w:qFormat/>
    <w:locked/>
    <w:uiPriority w:val="0"/>
    <w:rPr>
      <w:rFonts w:ascii="Times New Roman" w:hAnsi="Times New Roman" w:eastAsia="宋体" w:cs="Times New Roman"/>
      <w:szCs w:val="24"/>
    </w:rPr>
  </w:style>
  <w:style w:type="character" w:customStyle="1" w:styleId="57">
    <w:name w:val="标题 6 Char"/>
    <w:basedOn w:val="44"/>
    <w:link w:val="7"/>
    <w:qFormat/>
    <w:uiPriority w:val="0"/>
    <w:rPr>
      <w:rFonts w:ascii="Times New Roman" w:hAnsi="Times New Roman" w:eastAsia="宋体" w:cs="Times New Roman"/>
      <w:kern w:val="0"/>
      <w:sz w:val="28"/>
      <w:szCs w:val="20"/>
    </w:rPr>
  </w:style>
  <w:style w:type="character" w:customStyle="1" w:styleId="58">
    <w:name w:val="标题 7 Char"/>
    <w:basedOn w:val="44"/>
    <w:link w:val="9"/>
    <w:qFormat/>
    <w:uiPriority w:val="0"/>
    <w:rPr>
      <w:rFonts w:ascii="Times New Roman" w:hAnsi="Times New Roman" w:eastAsia="宋体" w:cs="Times New Roman"/>
      <w:b/>
      <w:bCs/>
      <w:sz w:val="24"/>
      <w:szCs w:val="24"/>
    </w:rPr>
  </w:style>
  <w:style w:type="character" w:customStyle="1" w:styleId="59">
    <w:name w:val="标题 8 Char"/>
    <w:basedOn w:val="44"/>
    <w:link w:val="10"/>
    <w:qFormat/>
    <w:uiPriority w:val="0"/>
    <w:rPr>
      <w:rFonts w:ascii="Times New Roman" w:hAnsi="Times New Roman" w:eastAsia="宋体" w:cs="Times New Roman"/>
      <w:kern w:val="0"/>
      <w:sz w:val="28"/>
      <w:szCs w:val="20"/>
    </w:rPr>
  </w:style>
  <w:style w:type="character" w:customStyle="1" w:styleId="60">
    <w:name w:val="标题 9 Char"/>
    <w:basedOn w:val="44"/>
    <w:link w:val="11"/>
    <w:qFormat/>
    <w:uiPriority w:val="0"/>
    <w:rPr>
      <w:rFonts w:ascii="Arial" w:hAnsi="Arial" w:eastAsia="黑体" w:cs="Times New Roman"/>
      <w:szCs w:val="21"/>
    </w:rPr>
  </w:style>
  <w:style w:type="character" w:customStyle="1" w:styleId="61">
    <w:name w:val="页眉 Char"/>
    <w:basedOn w:val="44"/>
    <w:link w:val="29"/>
    <w:qFormat/>
    <w:uiPriority w:val="99"/>
    <w:rPr>
      <w:sz w:val="18"/>
      <w:szCs w:val="18"/>
    </w:rPr>
  </w:style>
  <w:style w:type="character" w:customStyle="1" w:styleId="62">
    <w:name w:val="页脚 Char"/>
    <w:basedOn w:val="44"/>
    <w:link w:val="28"/>
    <w:qFormat/>
    <w:uiPriority w:val="99"/>
    <w:rPr>
      <w:sz w:val="18"/>
      <w:szCs w:val="18"/>
    </w:rPr>
  </w:style>
  <w:style w:type="paragraph" w:customStyle="1" w:styleId="63">
    <w:name w:val="样式1"/>
    <w:basedOn w:val="3"/>
    <w:qFormat/>
    <w:uiPriority w:val="0"/>
    <w:pPr>
      <w:spacing w:line="240" w:lineRule="auto"/>
      <w:outlineLvl w:val="0"/>
    </w:pPr>
    <w:rPr>
      <w:rFonts w:ascii="Times New Roman" w:hAnsi="Times New Roman" w:eastAsia="宋体"/>
      <w:sz w:val="30"/>
      <w:szCs w:val="30"/>
    </w:rPr>
  </w:style>
  <w:style w:type="paragraph" w:customStyle="1" w:styleId="64">
    <w:name w:val="样式2"/>
    <w:basedOn w:val="63"/>
    <w:qFormat/>
    <w:uiPriority w:val="0"/>
    <w:pPr>
      <w:outlineLvl w:val="1"/>
    </w:pPr>
  </w:style>
  <w:style w:type="paragraph" w:customStyle="1" w:styleId="65">
    <w:name w:val="样式3"/>
    <w:basedOn w:val="4"/>
    <w:qFormat/>
    <w:uiPriority w:val="0"/>
    <w:pPr>
      <w:spacing w:before="0" w:after="0" w:line="240" w:lineRule="auto"/>
    </w:pPr>
    <w:rPr>
      <w:rFonts w:ascii="Times New Roman"/>
      <w:bCs w:val="0"/>
      <w:sz w:val="28"/>
      <w:szCs w:val="28"/>
    </w:rPr>
  </w:style>
  <w:style w:type="paragraph" w:customStyle="1" w:styleId="66">
    <w:name w:val="样式4（正文"/>
    <w:basedOn w:val="1"/>
    <w:qFormat/>
    <w:uiPriority w:val="0"/>
    <w:rPr>
      <w:rFonts w:ascii="Times New Roman"/>
    </w:rPr>
  </w:style>
  <w:style w:type="paragraph" w:customStyle="1" w:styleId="67">
    <w:name w:val="样式4规范"/>
    <w:basedOn w:val="66"/>
    <w:qFormat/>
    <w:uiPriority w:val="0"/>
  </w:style>
  <w:style w:type="paragraph" w:customStyle="1" w:styleId="68">
    <w:name w:val="标题1"/>
    <w:basedOn w:val="63"/>
    <w:link w:val="149"/>
    <w:qFormat/>
    <w:uiPriority w:val="0"/>
    <w:rPr>
      <w:sz w:val="36"/>
    </w:rPr>
  </w:style>
  <w:style w:type="paragraph" w:customStyle="1" w:styleId="69">
    <w:name w:val="标题2"/>
    <w:basedOn w:val="68"/>
    <w:link w:val="148"/>
    <w:qFormat/>
    <w:uiPriority w:val="0"/>
    <w:pPr>
      <w:spacing w:beforeLines="0" w:afterLines="0"/>
      <w:ind w:firstLine="100" w:firstLineChars="100"/>
      <w:outlineLvl w:val="1"/>
    </w:pPr>
    <w:rPr>
      <w:sz w:val="32"/>
    </w:rPr>
  </w:style>
  <w:style w:type="paragraph" w:customStyle="1" w:styleId="70">
    <w:name w:val="标题3"/>
    <w:basedOn w:val="65"/>
    <w:qFormat/>
    <w:uiPriority w:val="0"/>
  </w:style>
  <w:style w:type="paragraph" w:customStyle="1" w:styleId="71">
    <w:name w:val="标题4"/>
    <w:basedOn w:val="1"/>
    <w:qFormat/>
    <w:uiPriority w:val="0"/>
    <w:pPr>
      <w:widowControl/>
      <w:autoSpaceDE/>
      <w:autoSpaceDN/>
      <w:adjustRightInd/>
      <w:textAlignment w:val="baseline"/>
      <w:outlineLvl w:val="3"/>
    </w:pPr>
    <w:rPr>
      <w:rFonts w:ascii="Times New Roman"/>
      <w:b/>
    </w:rPr>
  </w:style>
  <w:style w:type="paragraph" w:customStyle="1" w:styleId="72">
    <w:name w:val="Char"/>
    <w:basedOn w:val="1"/>
    <w:qFormat/>
    <w:uiPriority w:val="0"/>
    <w:pPr>
      <w:numPr>
        <w:ilvl w:val="2"/>
        <w:numId w:val="1"/>
      </w:numPr>
      <w:autoSpaceDE/>
      <w:autoSpaceDN/>
      <w:adjustRightInd/>
      <w:ind w:left="0" w:firstLine="0" w:firstLineChars="0"/>
      <w:jc w:val="both"/>
    </w:pPr>
    <w:rPr>
      <w:rFonts w:ascii="Times New Roman"/>
      <w:kern w:val="2"/>
    </w:rPr>
  </w:style>
  <w:style w:type="character" w:customStyle="1" w:styleId="73">
    <w:name w:val="正文文本缩进 Char"/>
    <w:basedOn w:val="44"/>
    <w:link w:val="18"/>
    <w:qFormat/>
    <w:uiPriority w:val="0"/>
    <w:rPr>
      <w:rFonts w:ascii="宋体" w:hAnsi="宋体" w:eastAsia="宋体" w:cs="Times New Roman"/>
      <w:b/>
      <w:sz w:val="36"/>
      <w:szCs w:val="24"/>
    </w:rPr>
  </w:style>
  <w:style w:type="character" w:customStyle="1" w:styleId="74">
    <w:name w:val="正文文本缩进 2 Char"/>
    <w:basedOn w:val="44"/>
    <w:link w:val="26"/>
    <w:qFormat/>
    <w:uiPriority w:val="0"/>
    <w:rPr>
      <w:rFonts w:ascii="Times New Roman" w:hAnsi="Times New Roman" w:eastAsia="宋体" w:cs="Times New Roman"/>
      <w:sz w:val="30"/>
      <w:szCs w:val="24"/>
    </w:rPr>
  </w:style>
  <w:style w:type="paragraph" w:customStyle="1" w:styleId="75">
    <w:name w:val="标准"/>
    <w:basedOn w:val="1"/>
    <w:qFormat/>
    <w:uiPriority w:val="0"/>
    <w:pPr>
      <w:autoSpaceDE/>
      <w:autoSpaceDN/>
      <w:spacing w:after="120" w:line="0" w:lineRule="atLeast"/>
      <w:ind w:firstLine="0" w:firstLineChars="0"/>
      <w:jc w:val="center"/>
      <w:textAlignment w:val="baseline"/>
    </w:pPr>
    <w:rPr>
      <w:szCs w:val="20"/>
    </w:rPr>
  </w:style>
  <w:style w:type="character" w:customStyle="1" w:styleId="76">
    <w:name w:val="日期 Char"/>
    <w:basedOn w:val="44"/>
    <w:link w:val="25"/>
    <w:qFormat/>
    <w:uiPriority w:val="99"/>
    <w:rPr>
      <w:rFonts w:ascii="宋体" w:hAnsi="Times New Roman" w:eastAsia="宋体" w:cs="Times New Roman"/>
      <w:kern w:val="0"/>
      <w:sz w:val="24"/>
      <w:szCs w:val="24"/>
    </w:rPr>
  </w:style>
  <w:style w:type="character" w:customStyle="1" w:styleId="77">
    <w:name w:val="纯文本 Char"/>
    <w:basedOn w:val="44"/>
    <w:link w:val="23"/>
    <w:qFormat/>
    <w:uiPriority w:val="0"/>
    <w:rPr>
      <w:rFonts w:ascii="宋体" w:hAnsi="Courier New" w:eastAsia="宋体" w:cs="Courier New"/>
      <w:szCs w:val="21"/>
    </w:rPr>
  </w:style>
  <w:style w:type="character" w:customStyle="1" w:styleId="78">
    <w:name w:val="批注框文本 Char"/>
    <w:basedOn w:val="44"/>
    <w:link w:val="27"/>
    <w:qFormat/>
    <w:uiPriority w:val="99"/>
    <w:rPr>
      <w:rFonts w:ascii="Times New Roman" w:hAnsi="Times New Roman" w:eastAsia="宋体" w:cs="Times New Roman"/>
      <w:sz w:val="18"/>
      <w:szCs w:val="18"/>
    </w:rPr>
  </w:style>
  <w:style w:type="character" w:customStyle="1" w:styleId="79">
    <w:name w:val="正文文本缩进 3 Char"/>
    <w:basedOn w:val="44"/>
    <w:link w:val="35"/>
    <w:qFormat/>
    <w:uiPriority w:val="0"/>
    <w:rPr>
      <w:rFonts w:ascii="Times New Roman" w:hAnsi="Times New Roman" w:eastAsia="宋体" w:cs="Times New Roman"/>
      <w:sz w:val="24"/>
      <w:szCs w:val="24"/>
    </w:rPr>
  </w:style>
  <w:style w:type="character" w:customStyle="1" w:styleId="80">
    <w:name w:val="文档结构图 Char"/>
    <w:basedOn w:val="44"/>
    <w:link w:val="14"/>
    <w:semiHidden/>
    <w:qFormat/>
    <w:uiPriority w:val="99"/>
    <w:rPr>
      <w:rFonts w:ascii="Times New Roman" w:hAnsi="Times New Roman" w:eastAsia="宋体" w:cs="Times New Roman"/>
      <w:szCs w:val="24"/>
      <w:shd w:val="clear" w:color="auto" w:fill="000080"/>
    </w:rPr>
  </w:style>
  <w:style w:type="paragraph" w:customStyle="1" w:styleId="81">
    <w:name w:val="[No paragraph style]"/>
    <w:qFormat/>
    <w:uiPriority w:val="0"/>
    <w:pPr>
      <w:widowControl w:val="0"/>
      <w:autoSpaceDE w:val="0"/>
      <w:autoSpaceDN w:val="0"/>
      <w:adjustRightInd w:val="0"/>
      <w:spacing w:beforeLines="50" w:afterLines="50" w:line="288" w:lineRule="auto"/>
      <w:ind w:firstLine="641"/>
      <w:textAlignment w:val="center"/>
    </w:pPr>
    <w:rPr>
      <w:rFonts w:ascii="Times New Roman" w:hAnsi="Times New Roman" w:eastAsia="黑体" w:cs="Times New Roman"/>
      <w:color w:val="000000"/>
      <w:sz w:val="24"/>
      <w:szCs w:val="24"/>
      <w:lang w:val="en-US" w:eastAsia="zh-CN" w:bidi="ar-SA"/>
    </w:rPr>
  </w:style>
  <w:style w:type="character" w:customStyle="1" w:styleId="82">
    <w:name w:val="脚注文本 Char"/>
    <w:basedOn w:val="44"/>
    <w:link w:val="33"/>
    <w:qFormat/>
    <w:uiPriority w:val="0"/>
    <w:rPr>
      <w:rFonts w:ascii="Times New Roman" w:hAnsi="Times New Roman" w:eastAsia="宋体" w:cs="Times New Roman"/>
      <w:sz w:val="18"/>
      <w:szCs w:val="18"/>
    </w:rPr>
  </w:style>
  <w:style w:type="character" w:customStyle="1" w:styleId="83">
    <w:name w:val="批注文字 Char"/>
    <w:basedOn w:val="44"/>
    <w:link w:val="15"/>
    <w:qFormat/>
    <w:uiPriority w:val="0"/>
    <w:rPr>
      <w:rFonts w:ascii="Times New Roman" w:hAnsi="Times New Roman" w:eastAsia="宋体" w:cs="Times New Roman"/>
      <w:szCs w:val="24"/>
    </w:rPr>
  </w:style>
  <w:style w:type="character" w:customStyle="1" w:styleId="84">
    <w:name w:val="批注主题 Char"/>
    <w:basedOn w:val="83"/>
    <w:link w:val="41"/>
    <w:qFormat/>
    <w:uiPriority w:val="0"/>
    <w:rPr>
      <w:rFonts w:ascii="Times New Roman" w:hAnsi="Times New Roman" w:eastAsia="宋体" w:cs="Times New Roman"/>
      <w:b/>
      <w:bCs/>
      <w:szCs w:val="24"/>
    </w:rPr>
  </w:style>
  <w:style w:type="paragraph" w:customStyle="1" w:styleId="85">
    <w:name w:val="room"/>
    <w:basedOn w:val="15"/>
    <w:qFormat/>
    <w:uiPriority w:val="0"/>
    <w:pPr>
      <w:widowControl/>
      <w:jc w:val="both"/>
    </w:pPr>
    <w:rPr>
      <w:b/>
      <w:kern w:val="0"/>
      <w:sz w:val="24"/>
      <w:szCs w:val="20"/>
      <w:lang w:eastAsia="en-US"/>
    </w:rPr>
  </w:style>
  <w:style w:type="paragraph" w:customStyle="1" w:styleId="86">
    <w:name w:val="列表编号 2A"/>
    <w:basedOn w:val="1"/>
    <w:qFormat/>
    <w:uiPriority w:val="0"/>
    <w:pPr>
      <w:tabs>
        <w:tab w:val="left" w:pos="845"/>
      </w:tabs>
      <w:autoSpaceDE/>
      <w:autoSpaceDN/>
      <w:adjustRightInd/>
      <w:ind w:firstLine="0" w:firstLineChars="0"/>
      <w:jc w:val="both"/>
    </w:pPr>
    <w:rPr>
      <w:rFonts w:ascii="Times New Roman"/>
      <w:kern w:val="2"/>
      <w:sz w:val="28"/>
      <w:szCs w:val="20"/>
    </w:rPr>
  </w:style>
  <w:style w:type="paragraph" w:customStyle="1" w:styleId="87">
    <w:name w:val="Char2 Char Char Char Char Char Char"/>
    <w:basedOn w:val="1"/>
    <w:qFormat/>
    <w:uiPriority w:val="0"/>
    <w:pPr>
      <w:autoSpaceDE/>
      <w:autoSpaceDN/>
      <w:spacing w:line="360" w:lineRule="auto"/>
      <w:ind w:firstLine="0" w:firstLineChars="0"/>
      <w:jc w:val="both"/>
    </w:pPr>
    <w:rPr>
      <w:rFonts w:ascii="Times New Roman"/>
      <w:szCs w:val="20"/>
    </w:rPr>
  </w:style>
  <w:style w:type="paragraph" w:customStyle="1" w:styleId="88">
    <w:name w:val="Char Char Char Char Char Char Char Char Char Char Char Char Char Char Char Char"/>
    <w:basedOn w:val="1"/>
    <w:qFormat/>
    <w:uiPriority w:val="0"/>
    <w:pPr>
      <w:autoSpaceDE/>
      <w:autoSpaceDN/>
      <w:adjustRightInd/>
      <w:ind w:firstLine="0" w:firstLineChars="0"/>
      <w:jc w:val="both"/>
    </w:pPr>
    <w:rPr>
      <w:rFonts w:ascii="Times New Roman"/>
      <w:kern w:val="2"/>
      <w:sz w:val="21"/>
    </w:rPr>
  </w:style>
  <w:style w:type="paragraph" w:customStyle="1" w:styleId="89">
    <w:name w:val="正文2缩进"/>
    <w:basedOn w:val="1"/>
    <w:qFormat/>
    <w:uiPriority w:val="0"/>
    <w:pPr>
      <w:autoSpaceDE/>
      <w:autoSpaceDN/>
      <w:adjustRightInd/>
      <w:spacing w:line="360" w:lineRule="auto"/>
      <w:ind w:firstLine="480"/>
      <w:jc w:val="both"/>
    </w:pPr>
    <w:rPr>
      <w:rFonts w:ascii="Times New Roman"/>
      <w:kern w:val="2"/>
    </w:rPr>
  </w:style>
  <w:style w:type="paragraph" w:customStyle="1" w:styleId="90">
    <w:name w:val="正文1顶前"/>
    <w:basedOn w:val="1"/>
    <w:qFormat/>
    <w:uiPriority w:val="0"/>
    <w:pPr>
      <w:autoSpaceDE/>
      <w:autoSpaceDN/>
      <w:adjustRightInd/>
      <w:spacing w:line="360" w:lineRule="auto"/>
      <w:ind w:firstLine="0" w:firstLineChars="0"/>
      <w:jc w:val="both"/>
    </w:pPr>
    <w:rPr>
      <w:rFonts w:ascii="Times New Roman"/>
      <w:kern w:val="2"/>
    </w:rPr>
  </w:style>
  <w:style w:type="paragraph" w:customStyle="1" w:styleId="91">
    <w:name w:val="样式 标题 2部分标题"/>
    <w:basedOn w:val="3"/>
    <w:qFormat/>
    <w:uiPriority w:val="0"/>
    <w:pPr>
      <w:keepNext w:val="0"/>
      <w:keepLines w:val="0"/>
      <w:tabs>
        <w:tab w:val="left" w:pos="851"/>
      </w:tabs>
      <w:autoSpaceDE/>
      <w:autoSpaceDN/>
      <w:adjustRightInd/>
      <w:spacing w:line="240" w:lineRule="auto"/>
      <w:ind w:left="851" w:hanging="851"/>
      <w:jc w:val="both"/>
    </w:pPr>
    <w:rPr>
      <w:rFonts w:ascii="宋体" w:hAnsi="宋体" w:eastAsia="宋体" w:cs="宋体"/>
      <w:b w:val="0"/>
      <w:caps/>
      <w:kern w:val="2"/>
      <w:sz w:val="28"/>
      <w:szCs w:val="20"/>
    </w:rPr>
  </w:style>
  <w:style w:type="character" w:customStyle="1" w:styleId="92">
    <w:name w:val="正文文本 Char"/>
    <w:basedOn w:val="44"/>
    <w:link w:val="17"/>
    <w:qFormat/>
    <w:uiPriority w:val="0"/>
    <w:rPr>
      <w:rFonts w:ascii="Times New Roman" w:hAnsi="Times New Roman" w:eastAsia="PMingLiU" w:cs="Times New Roman"/>
      <w:sz w:val="24"/>
      <w:szCs w:val="24"/>
    </w:rPr>
  </w:style>
  <w:style w:type="paragraph" w:customStyle="1" w:styleId="93">
    <w:name w:val="消防控制室"/>
    <w:basedOn w:val="1"/>
    <w:qFormat/>
    <w:uiPriority w:val="0"/>
    <w:pPr>
      <w:autoSpaceDE/>
      <w:autoSpaceDN/>
      <w:adjustRightInd/>
      <w:ind w:firstLine="0" w:firstLineChars="0"/>
      <w:jc w:val="both"/>
    </w:pPr>
    <w:rPr>
      <w:rFonts w:ascii="Times New Roman"/>
      <w:kern w:val="2"/>
      <w:sz w:val="28"/>
    </w:rPr>
  </w:style>
  <w:style w:type="paragraph" w:customStyle="1" w:styleId="94">
    <w:name w:val="+小点"/>
    <w:basedOn w:val="90"/>
    <w:qFormat/>
    <w:uiPriority w:val="0"/>
    <w:pPr>
      <w:tabs>
        <w:tab w:val="left" w:pos="284"/>
      </w:tabs>
      <w:ind w:left="284" w:hanging="284"/>
    </w:pPr>
  </w:style>
  <w:style w:type="character" w:customStyle="1" w:styleId="95">
    <w:name w:val="标题 Char"/>
    <w:basedOn w:val="44"/>
    <w:link w:val="40"/>
    <w:qFormat/>
    <w:uiPriority w:val="0"/>
    <w:rPr>
      <w:rFonts w:ascii="Cambria" w:hAnsi="Cambria" w:eastAsia="宋体" w:cs="Times New Roman"/>
      <w:b/>
      <w:bCs/>
      <w:sz w:val="52"/>
      <w:szCs w:val="32"/>
    </w:rPr>
  </w:style>
  <w:style w:type="paragraph" w:customStyle="1" w:styleId="96">
    <w:name w:val="图表文字"/>
    <w:basedOn w:val="1"/>
    <w:qFormat/>
    <w:uiPriority w:val="0"/>
    <w:pPr>
      <w:autoSpaceDE/>
      <w:autoSpaceDN/>
      <w:adjustRightInd/>
      <w:ind w:firstLine="0" w:firstLineChars="0"/>
      <w:jc w:val="center"/>
    </w:pPr>
    <w:rPr>
      <w:rFonts w:ascii="Times New Roman"/>
      <w:iCs/>
      <w:kern w:val="2"/>
    </w:rPr>
  </w:style>
  <w:style w:type="paragraph" w:customStyle="1" w:styleId="97">
    <w:name w:val="Char Char Char Char"/>
    <w:basedOn w:val="14"/>
    <w:qFormat/>
    <w:uiPriority w:val="0"/>
    <w:rPr>
      <w:rFonts w:ascii="Tahoma" w:hAnsi="Tahoma"/>
      <w:sz w:val="24"/>
    </w:rPr>
  </w:style>
  <w:style w:type="character" w:customStyle="1" w:styleId="98">
    <w:name w:val="content151"/>
    <w:qFormat/>
    <w:uiPriority w:val="0"/>
    <w:rPr>
      <w:sz w:val="18"/>
      <w:szCs w:val="18"/>
      <w:u w:val="none"/>
    </w:rPr>
  </w:style>
  <w:style w:type="character" w:customStyle="1" w:styleId="99">
    <w:name w:val="javascript"/>
    <w:basedOn w:val="44"/>
    <w:qFormat/>
    <w:uiPriority w:val="0"/>
  </w:style>
  <w:style w:type="paragraph" w:customStyle="1" w:styleId="100">
    <w:name w:val="默认段落字体 Para Char Char Char Char Char Char Char"/>
    <w:basedOn w:val="14"/>
    <w:qFormat/>
    <w:uiPriority w:val="0"/>
    <w:pPr>
      <w:adjustRightInd w:val="0"/>
      <w:spacing w:line="436" w:lineRule="exact"/>
      <w:ind w:left="357"/>
      <w:jc w:val="left"/>
      <w:outlineLvl w:val="3"/>
    </w:pPr>
    <w:rPr>
      <w:rFonts w:ascii="Tahoma" w:hAnsi="Tahoma"/>
      <w:b/>
      <w:sz w:val="24"/>
    </w:rPr>
  </w:style>
  <w:style w:type="paragraph" w:customStyle="1" w:styleId="101">
    <w:name w:val="Char Char5 Char Char Char Char"/>
    <w:basedOn w:val="1"/>
    <w:qFormat/>
    <w:uiPriority w:val="0"/>
    <w:pPr>
      <w:widowControl/>
      <w:autoSpaceDE/>
      <w:autoSpaceDN/>
      <w:adjustRightInd/>
      <w:spacing w:before="100" w:beforeAutospacing="1" w:after="100" w:afterAutospacing="1" w:line="330" w:lineRule="atLeast"/>
      <w:ind w:left="360" w:firstLine="0" w:firstLineChars="0"/>
    </w:pPr>
    <w:rPr>
      <w:rFonts w:ascii="ˎ̥" w:hAnsi="ˎ̥" w:cs="宋体"/>
      <w:color w:val="51585D"/>
      <w:szCs w:val="18"/>
    </w:rPr>
  </w:style>
  <w:style w:type="character" w:customStyle="1" w:styleId="102">
    <w:name w:val="副标题 Char"/>
    <w:basedOn w:val="44"/>
    <w:link w:val="32"/>
    <w:qFormat/>
    <w:uiPriority w:val="0"/>
    <w:rPr>
      <w:rFonts w:ascii="Arial" w:hAnsi="Arial" w:eastAsia="宋体" w:cs="Arial"/>
      <w:b/>
      <w:bCs/>
      <w:kern w:val="28"/>
      <w:sz w:val="32"/>
      <w:szCs w:val="32"/>
    </w:rPr>
  </w:style>
  <w:style w:type="paragraph" w:customStyle="1" w:styleId="103">
    <w:name w:val="xl24"/>
    <w:basedOn w:val="1"/>
    <w:qFormat/>
    <w:uiPriority w:val="0"/>
    <w:pPr>
      <w:widowControl/>
      <w:autoSpaceDE/>
      <w:autoSpaceDN/>
      <w:adjustRightInd/>
      <w:spacing w:before="100" w:beforeAutospacing="1" w:after="100" w:afterAutospacing="1"/>
      <w:ind w:firstLine="0" w:firstLineChars="0"/>
      <w:jc w:val="center"/>
      <w:textAlignment w:val="center"/>
    </w:pPr>
    <w:rPr>
      <w:rFonts w:hAnsi="宋体"/>
    </w:rPr>
  </w:style>
  <w:style w:type="paragraph" w:customStyle="1" w:styleId="104">
    <w:name w:val="表头"/>
    <w:basedOn w:val="1"/>
    <w:qFormat/>
    <w:uiPriority w:val="0"/>
    <w:pPr>
      <w:autoSpaceDE/>
      <w:autoSpaceDN/>
      <w:adjustRightInd/>
      <w:ind w:firstLine="0" w:firstLineChars="0"/>
      <w:jc w:val="center"/>
    </w:pPr>
    <w:rPr>
      <w:rFonts w:ascii="Times New Roman"/>
      <w:kern w:val="2"/>
    </w:rPr>
  </w:style>
  <w:style w:type="paragraph" w:customStyle="1" w:styleId="105">
    <w:name w:val="表格内容"/>
    <w:basedOn w:val="1"/>
    <w:qFormat/>
    <w:uiPriority w:val="0"/>
    <w:pPr>
      <w:autoSpaceDE/>
      <w:autoSpaceDN/>
      <w:adjustRightInd/>
      <w:ind w:firstLine="0" w:firstLineChars="0"/>
      <w:jc w:val="both"/>
    </w:pPr>
    <w:rPr>
      <w:rFonts w:ascii="Times New Roman"/>
      <w:kern w:val="2"/>
      <w:sz w:val="21"/>
    </w:rPr>
  </w:style>
  <w:style w:type="paragraph" w:customStyle="1" w:styleId="106">
    <w:name w:val="款"/>
    <w:basedOn w:val="8"/>
    <w:next w:val="1"/>
    <w:qFormat/>
    <w:uiPriority w:val="0"/>
    <w:pPr>
      <w:widowControl/>
      <w:overflowPunct w:val="0"/>
      <w:adjustRightInd w:val="0"/>
      <w:spacing w:line="360" w:lineRule="auto"/>
      <w:ind w:firstLine="200"/>
      <w:textAlignment w:val="baseline"/>
    </w:pPr>
    <w:rPr>
      <w:kern w:val="24"/>
      <w:sz w:val="24"/>
      <w:szCs w:val="20"/>
    </w:rPr>
  </w:style>
  <w:style w:type="paragraph" w:customStyle="1" w:styleId="107">
    <w:name w:val="段"/>
    <w:qFormat/>
    <w:uiPriority w:val="0"/>
    <w:pPr>
      <w:autoSpaceDE w:val="0"/>
      <w:autoSpaceDN w:val="0"/>
      <w:spacing w:beforeLines="50" w:afterLines="50" w:line="415" w:lineRule="auto"/>
      <w:ind w:firstLine="200" w:firstLineChars="200"/>
      <w:jc w:val="both"/>
    </w:pPr>
    <w:rPr>
      <w:rFonts w:ascii="宋体" w:hAnsi="Times New Roman" w:eastAsia="宋体" w:cs="Times New Roman"/>
      <w:sz w:val="21"/>
      <w:lang w:val="en-US" w:eastAsia="zh-CN" w:bidi="ar-SA"/>
    </w:rPr>
  </w:style>
  <w:style w:type="character" w:customStyle="1" w:styleId="108">
    <w:name w:val="正文文本 2 Char"/>
    <w:basedOn w:val="44"/>
    <w:link w:val="38"/>
    <w:qFormat/>
    <w:uiPriority w:val="0"/>
    <w:rPr>
      <w:rFonts w:ascii="Times New Roman" w:hAnsi="Times New Roman" w:eastAsia="宋体" w:cs="Times New Roman"/>
      <w:sz w:val="24"/>
      <w:szCs w:val="24"/>
    </w:rPr>
  </w:style>
  <w:style w:type="paragraph" w:customStyle="1" w:styleId="109">
    <w:name w:val="默认段落字体 Para Char"/>
    <w:basedOn w:val="1"/>
    <w:qFormat/>
    <w:uiPriority w:val="0"/>
    <w:pPr>
      <w:autoSpaceDE/>
      <w:autoSpaceDN/>
      <w:adjustRightInd/>
      <w:ind w:firstLine="0" w:firstLineChars="0"/>
      <w:jc w:val="both"/>
    </w:pPr>
    <w:rPr>
      <w:rFonts w:ascii="Times New Roman"/>
      <w:kern w:val="2"/>
      <w:sz w:val="30"/>
    </w:rPr>
  </w:style>
  <w:style w:type="paragraph" w:customStyle="1" w:styleId="110">
    <w:name w:val="纯文本1"/>
    <w:basedOn w:val="1"/>
    <w:qFormat/>
    <w:uiPriority w:val="0"/>
    <w:pPr>
      <w:spacing w:line="312" w:lineRule="atLeast"/>
      <w:ind w:firstLine="0" w:firstLineChars="0"/>
      <w:jc w:val="both"/>
      <w:textAlignment w:val="baseline"/>
    </w:pPr>
    <w:rPr>
      <w:sz w:val="21"/>
      <w:szCs w:val="20"/>
    </w:rPr>
  </w:style>
  <w:style w:type="paragraph" w:customStyle="1" w:styleId="111">
    <w:name w:val="正文文本缩进 21"/>
    <w:basedOn w:val="1"/>
    <w:qFormat/>
    <w:uiPriority w:val="0"/>
    <w:pPr>
      <w:ind w:left="570" w:firstLine="0" w:firstLineChars="0"/>
      <w:jc w:val="both"/>
      <w:textAlignment w:val="baseline"/>
    </w:pPr>
    <w:rPr>
      <w:rFonts w:ascii="Times New Roman"/>
      <w:kern w:val="2"/>
      <w:sz w:val="28"/>
      <w:szCs w:val="20"/>
    </w:rPr>
  </w:style>
  <w:style w:type="paragraph" w:customStyle="1" w:styleId="112">
    <w:name w:val="列出段落1"/>
    <w:basedOn w:val="1"/>
    <w:qFormat/>
    <w:uiPriority w:val="0"/>
    <w:pPr>
      <w:autoSpaceDE/>
      <w:autoSpaceDN/>
      <w:adjustRightInd/>
      <w:spacing w:line="360" w:lineRule="auto"/>
      <w:ind w:firstLine="420"/>
    </w:pPr>
    <w:rPr>
      <w:kern w:val="24"/>
    </w:rPr>
  </w:style>
  <w:style w:type="paragraph" w:customStyle="1" w:styleId="113">
    <w:name w:val="图表内容"/>
    <w:basedOn w:val="1"/>
    <w:link w:val="114"/>
    <w:qFormat/>
    <w:uiPriority w:val="0"/>
    <w:pPr>
      <w:autoSpaceDE/>
      <w:autoSpaceDN/>
      <w:adjustRightInd/>
      <w:spacing w:line="300" w:lineRule="exact"/>
      <w:ind w:right="-51" w:firstLine="0" w:firstLineChars="0"/>
      <w:jc w:val="center"/>
    </w:pPr>
    <w:rPr>
      <w:rFonts w:ascii="Times New Roman"/>
      <w:w w:val="90"/>
      <w:kern w:val="2"/>
      <w:sz w:val="21"/>
      <w:szCs w:val="21"/>
    </w:rPr>
  </w:style>
  <w:style w:type="character" w:customStyle="1" w:styleId="114">
    <w:name w:val="图表内容 Char"/>
    <w:link w:val="113"/>
    <w:qFormat/>
    <w:uiPriority w:val="0"/>
    <w:rPr>
      <w:rFonts w:ascii="Times New Roman" w:hAnsi="Times New Roman" w:eastAsia="宋体" w:cs="Times New Roman"/>
      <w:w w:val="90"/>
      <w:szCs w:val="21"/>
    </w:rPr>
  </w:style>
  <w:style w:type="paragraph" w:customStyle="1" w:styleId="115">
    <w:name w:val="注释"/>
    <w:basedOn w:val="1"/>
    <w:qFormat/>
    <w:uiPriority w:val="0"/>
    <w:pPr>
      <w:autoSpaceDE/>
      <w:autoSpaceDN/>
      <w:adjustRightInd/>
      <w:ind w:firstLine="372" w:firstLineChars="177"/>
      <w:jc w:val="both"/>
    </w:pPr>
    <w:rPr>
      <w:rFonts w:ascii="黑体" w:hAnsi="黑体" w:eastAsia="黑体"/>
      <w:kern w:val="2"/>
      <w:sz w:val="21"/>
      <w:szCs w:val="21"/>
    </w:rPr>
  </w:style>
  <w:style w:type="character" w:customStyle="1" w:styleId="116">
    <w:name w:val="表图1 Char"/>
    <w:link w:val="117"/>
    <w:qFormat/>
    <w:locked/>
    <w:uiPriority w:val="0"/>
    <w:rPr>
      <w:rFonts w:ascii="微软雅黑" w:hAnsi="宋体" w:eastAsia="微软雅黑"/>
      <w:b/>
      <w:szCs w:val="18"/>
    </w:rPr>
  </w:style>
  <w:style w:type="paragraph" w:customStyle="1" w:styleId="117">
    <w:name w:val="表图1"/>
    <w:basedOn w:val="1"/>
    <w:link w:val="116"/>
    <w:qFormat/>
    <w:uiPriority w:val="0"/>
    <w:pPr>
      <w:jc w:val="center"/>
    </w:pPr>
    <w:rPr>
      <w:rFonts w:ascii="微软雅黑" w:hAnsi="宋体" w:eastAsia="微软雅黑" w:cstheme="minorBidi"/>
      <w:b/>
      <w:kern w:val="2"/>
      <w:sz w:val="21"/>
      <w:szCs w:val="18"/>
    </w:rPr>
  </w:style>
  <w:style w:type="paragraph" w:customStyle="1" w:styleId="118">
    <w:name w:val="xl27"/>
    <w:basedOn w:val="1"/>
    <w:qFormat/>
    <w:uiPriority w:val="0"/>
    <w:pPr>
      <w:widowControl/>
      <w:autoSpaceDE/>
      <w:autoSpaceDN/>
      <w:adjustRightInd/>
      <w:spacing w:before="100" w:beforeAutospacing="1" w:after="100" w:afterAutospacing="1"/>
      <w:ind w:firstLine="0" w:firstLineChars="0"/>
      <w:jc w:val="center"/>
      <w:textAlignment w:val="center"/>
    </w:pPr>
    <w:rPr>
      <w:rFonts w:hAnsi="宋体"/>
      <w:sz w:val="18"/>
      <w:szCs w:val="18"/>
    </w:rPr>
  </w:style>
  <w:style w:type="paragraph" w:customStyle="1" w:styleId="119">
    <w:name w:val="表格"/>
    <w:basedOn w:val="1"/>
    <w:qFormat/>
    <w:uiPriority w:val="0"/>
    <w:pPr>
      <w:autoSpaceDE/>
      <w:autoSpaceDN/>
      <w:snapToGrid w:val="0"/>
      <w:ind w:firstLine="0" w:firstLineChars="0"/>
      <w:jc w:val="center"/>
    </w:pPr>
    <w:rPr>
      <w:rFonts w:ascii="Times New Roman" w:eastAsia="华文仿宋"/>
      <w:sz w:val="21"/>
      <w:szCs w:val="21"/>
    </w:rPr>
  </w:style>
  <w:style w:type="character" w:customStyle="1" w:styleId="120">
    <w:name w:val="无间隔 Char"/>
    <w:link w:val="121"/>
    <w:qFormat/>
    <w:locked/>
    <w:uiPriority w:val="1"/>
    <w:rPr>
      <w:rFonts w:ascii="华文仿宋" w:hAnsi="华文仿宋" w:eastAsia="华文仿宋"/>
      <w:lang w:eastAsia="en-US" w:bidi="en-US"/>
    </w:rPr>
  </w:style>
  <w:style w:type="paragraph" w:customStyle="1" w:styleId="121">
    <w:name w:val="无间隔1"/>
    <w:basedOn w:val="1"/>
    <w:link w:val="120"/>
    <w:qFormat/>
    <w:uiPriority w:val="1"/>
    <w:pPr>
      <w:widowControl/>
      <w:autoSpaceDE/>
      <w:autoSpaceDN/>
      <w:adjustRightInd/>
      <w:spacing w:afterLines="25" w:line="480" w:lineRule="exact"/>
      <w:ind w:firstLine="0" w:firstLineChars="0"/>
      <w:jc w:val="right"/>
    </w:pPr>
    <w:rPr>
      <w:rFonts w:ascii="华文仿宋" w:hAnsi="华文仿宋" w:eastAsia="华文仿宋" w:cstheme="minorBidi"/>
      <w:kern w:val="2"/>
      <w:sz w:val="21"/>
      <w:szCs w:val="22"/>
      <w:lang w:eastAsia="en-US" w:bidi="en-US"/>
    </w:rPr>
  </w:style>
  <w:style w:type="paragraph" w:customStyle="1" w:styleId="122">
    <w:name w:val="图片头"/>
    <w:basedOn w:val="1"/>
    <w:link w:val="123"/>
    <w:qFormat/>
    <w:uiPriority w:val="0"/>
    <w:pPr>
      <w:widowControl/>
      <w:autoSpaceDE/>
      <w:autoSpaceDN/>
      <w:adjustRightInd/>
      <w:spacing w:line="480" w:lineRule="exact"/>
      <w:ind w:firstLine="0" w:firstLineChars="0"/>
      <w:jc w:val="center"/>
    </w:pPr>
    <w:rPr>
      <w:rFonts w:ascii="Times New Roman" w:eastAsia="华文仿宋"/>
      <w:sz w:val="21"/>
      <w:szCs w:val="22"/>
      <w:lang w:bidi="en-US"/>
    </w:rPr>
  </w:style>
  <w:style w:type="character" w:customStyle="1" w:styleId="123">
    <w:name w:val="图片头 Char"/>
    <w:link w:val="122"/>
    <w:qFormat/>
    <w:uiPriority w:val="0"/>
    <w:rPr>
      <w:rFonts w:ascii="Times New Roman" w:hAnsi="Times New Roman" w:eastAsia="华文仿宋" w:cs="Times New Roman"/>
      <w:kern w:val="0"/>
      <w:lang w:bidi="en-US"/>
    </w:rPr>
  </w:style>
  <w:style w:type="paragraph" w:customStyle="1" w:styleId="124">
    <w:name w:val="reader-word-layer"/>
    <w:basedOn w:val="1"/>
    <w:qFormat/>
    <w:uiPriority w:val="0"/>
    <w:pPr>
      <w:widowControl/>
      <w:autoSpaceDE/>
      <w:autoSpaceDN/>
      <w:adjustRightInd/>
      <w:spacing w:before="100" w:beforeAutospacing="1" w:after="100" w:afterAutospacing="1"/>
      <w:ind w:firstLine="0" w:firstLineChars="0"/>
    </w:pPr>
    <w:rPr>
      <w:rFonts w:hAnsi="宋体" w:cs="宋体"/>
    </w:rPr>
  </w:style>
  <w:style w:type="paragraph" w:customStyle="1" w:styleId="125">
    <w:name w:val="P2"/>
    <w:qFormat/>
    <w:uiPriority w:val="0"/>
    <w:pPr>
      <w:widowControl w:val="0"/>
      <w:adjustRightInd w:val="0"/>
      <w:spacing w:beforeLines="50" w:afterLines="50" w:line="240" w:lineRule="atLeast"/>
      <w:ind w:left="720" w:firstLine="641"/>
      <w:jc w:val="both"/>
      <w:textAlignment w:val="baseline"/>
    </w:pPr>
    <w:rPr>
      <w:rFonts w:ascii="Times New Roman" w:hAnsi="Times New Roman" w:eastAsia="宋体" w:cs="Times New Roman"/>
      <w:spacing w:val="20"/>
      <w:sz w:val="24"/>
      <w:lang w:val="en-GB" w:eastAsia="zh-CN" w:bidi="ar-SA"/>
    </w:rPr>
  </w:style>
  <w:style w:type="paragraph" w:customStyle="1" w:styleId="126">
    <w:name w:val="INDEX"/>
    <w:basedOn w:val="1"/>
    <w:qFormat/>
    <w:uiPriority w:val="0"/>
    <w:pPr>
      <w:widowControl/>
      <w:spacing w:line="360" w:lineRule="atLeast"/>
      <w:ind w:left="720" w:hanging="720" w:firstLineChars="0"/>
      <w:textAlignment w:val="bottom"/>
    </w:pPr>
    <w:rPr>
      <w:rFonts w:ascii="Helv" w:hAnsi="Helv" w:eastAsia="全真楷書"/>
      <w:szCs w:val="20"/>
      <w:lang w:eastAsia="zh-TW"/>
    </w:rPr>
  </w:style>
  <w:style w:type="paragraph" w:customStyle="1" w:styleId="127">
    <w:name w:val="Default"/>
    <w:qFormat/>
    <w:uiPriority w:val="0"/>
    <w:pPr>
      <w:widowControl w:val="0"/>
      <w:autoSpaceDE w:val="0"/>
      <w:autoSpaceDN w:val="0"/>
      <w:adjustRightInd w:val="0"/>
      <w:spacing w:beforeLines="50" w:afterLines="50" w:line="415" w:lineRule="auto"/>
      <w:ind w:firstLine="641"/>
    </w:pPr>
    <w:rPr>
      <w:rFonts w:ascii="宋体" w:hAnsi="Times New Roman" w:eastAsia="宋体" w:cs="宋体"/>
      <w:color w:val="000000"/>
      <w:sz w:val="24"/>
      <w:szCs w:val="24"/>
      <w:lang w:val="en-US" w:eastAsia="zh-CN" w:bidi="ar-SA"/>
    </w:rPr>
  </w:style>
  <w:style w:type="paragraph" w:customStyle="1" w:styleId="128">
    <w:name w:val="列出段落11"/>
    <w:basedOn w:val="1"/>
    <w:qFormat/>
    <w:uiPriority w:val="34"/>
    <w:pPr>
      <w:autoSpaceDE/>
      <w:autoSpaceDN/>
      <w:adjustRightInd/>
      <w:ind w:firstLine="420"/>
      <w:jc w:val="both"/>
    </w:pPr>
    <w:rPr>
      <w:rFonts w:ascii="Calibri" w:hAnsi="Calibri"/>
      <w:kern w:val="2"/>
      <w:sz w:val="21"/>
      <w:szCs w:val="22"/>
    </w:rPr>
  </w:style>
  <w:style w:type="character" w:customStyle="1" w:styleId="129">
    <w:name w:val="正文文本 3 Char"/>
    <w:basedOn w:val="44"/>
    <w:link w:val="16"/>
    <w:semiHidden/>
    <w:qFormat/>
    <w:uiPriority w:val="99"/>
    <w:rPr>
      <w:rFonts w:ascii="宋体" w:hAnsi="Times New Roman" w:eastAsia="宋体" w:cs="Times New Roman"/>
      <w:kern w:val="0"/>
      <w:sz w:val="16"/>
      <w:szCs w:val="16"/>
    </w:rPr>
  </w:style>
  <w:style w:type="paragraph" w:customStyle="1" w:styleId="130">
    <w:name w:val="0"/>
    <w:basedOn w:val="1"/>
    <w:qFormat/>
    <w:uiPriority w:val="0"/>
    <w:pPr>
      <w:widowControl/>
      <w:autoSpaceDE/>
      <w:autoSpaceDN/>
      <w:adjustRightInd/>
      <w:ind w:firstLine="0" w:firstLineChars="0"/>
      <w:jc w:val="both"/>
    </w:pPr>
    <w:rPr>
      <w:rFonts w:ascii="Times New Roman"/>
      <w:color w:val="000000"/>
      <w:kern w:val="2"/>
      <w:sz w:val="21"/>
      <w:szCs w:val="21"/>
    </w:rPr>
  </w:style>
  <w:style w:type="paragraph" w:customStyle="1" w:styleId="131">
    <w:name w:val="第一级"/>
    <w:basedOn w:val="2"/>
    <w:qFormat/>
    <w:uiPriority w:val="0"/>
    <w:pPr>
      <w:keepLines/>
      <w:tabs>
        <w:tab w:val="left" w:pos="425"/>
      </w:tabs>
      <w:spacing w:beforeLines="0" w:afterLines="0" w:line="360" w:lineRule="auto"/>
      <w:ind w:left="425" w:hanging="425"/>
      <w:jc w:val="both"/>
    </w:pPr>
    <w:rPr>
      <w:rFonts w:ascii="Calibri" w:hAnsi="Calibri" w:eastAsia="黑体"/>
      <w:color w:val="C00000"/>
      <w:spacing w:val="0"/>
      <w:kern w:val="44"/>
      <w:sz w:val="30"/>
      <w:szCs w:val="24"/>
    </w:rPr>
  </w:style>
  <w:style w:type="paragraph" w:customStyle="1" w:styleId="132">
    <w:name w:val="第二级"/>
    <w:basedOn w:val="1"/>
    <w:qFormat/>
    <w:uiPriority w:val="0"/>
    <w:pPr>
      <w:autoSpaceDE/>
      <w:autoSpaceDN/>
      <w:adjustRightInd/>
      <w:spacing w:line="360" w:lineRule="auto"/>
      <w:ind w:firstLine="0" w:firstLineChars="0"/>
      <w:jc w:val="both"/>
    </w:pPr>
    <w:rPr>
      <w:rFonts w:ascii="Calibri" w:hAnsi="Calibri"/>
      <w:b/>
      <w:color w:val="C00000"/>
      <w:kern w:val="2"/>
      <w:sz w:val="28"/>
      <w:szCs w:val="28"/>
    </w:rPr>
  </w:style>
  <w:style w:type="paragraph" w:customStyle="1" w:styleId="133">
    <w:name w:val="第五级"/>
    <w:basedOn w:val="1"/>
    <w:link w:val="134"/>
    <w:qFormat/>
    <w:uiPriority w:val="0"/>
    <w:pPr>
      <w:autoSpaceDE/>
      <w:autoSpaceDN/>
      <w:adjustRightInd/>
      <w:spacing w:line="360" w:lineRule="auto"/>
      <w:ind w:left="142" w:firstLine="0" w:firstLineChars="0"/>
      <w:jc w:val="both"/>
    </w:pPr>
    <w:rPr>
      <w:rFonts w:ascii="Calibri" w:hAnsi="Calibri"/>
      <w:kern w:val="2"/>
      <w:szCs w:val="22"/>
    </w:rPr>
  </w:style>
  <w:style w:type="character" w:customStyle="1" w:styleId="134">
    <w:name w:val="第五级 Char"/>
    <w:basedOn w:val="44"/>
    <w:link w:val="133"/>
    <w:qFormat/>
    <w:uiPriority w:val="0"/>
    <w:rPr>
      <w:rFonts w:ascii="Calibri" w:hAnsi="Calibri" w:eastAsia="宋体" w:cs="Times New Roman"/>
      <w:sz w:val="24"/>
    </w:rPr>
  </w:style>
  <w:style w:type="paragraph" w:customStyle="1" w:styleId="135">
    <w:name w:val="第三级"/>
    <w:basedOn w:val="1"/>
    <w:qFormat/>
    <w:uiPriority w:val="0"/>
    <w:pPr>
      <w:numPr>
        <w:ilvl w:val="2"/>
        <w:numId w:val="2"/>
      </w:numPr>
      <w:autoSpaceDE/>
      <w:autoSpaceDN/>
      <w:adjustRightInd/>
      <w:spacing w:line="360" w:lineRule="auto"/>
      <w:ind w:firstLineChars="0"/>
      <w:jc w:val="both"/>
    </w:pPr>
    <w:rPr>
      <w:rFonts w:ascii="Calibri" w:hAnsi="Calibri"/>
      <w:kern w:val="2"/>
      <w:szCs w:val="22"/>
    </w:rPr>
  </w:style>
  <w:style w:type="paragraph" w:customStyle="1" w:styleId="136">
    <w:name w:val="第四级"/>
    <w:basedOn w:val="1"/>
    <w:qFormat/>
    <w:uiPriority w:val="0"/>
    <w:pPr>
      <w:numPr>
        <w:ilvl w:val="3"/>
        <w:numId w:val="2"/>
      </w:numPr>
      <w:autoSpaceDE/>
      <w:autoSpaceDN/>
      <w:adjustRightInd/>
      <w:spacing w:line="360" w:lineRule="auto"/>
      <w:ind w:firstLineChars="0"/>
      <w:jc w:val="both"/>
    </w:pPr>
    <w:rPr>
      <w:rFonts w:ascii="Calibri" w:hAnsi="Calibri"/>
      <w:kern w:val="2"/>
      <w:szCs w:val="22"/>
    </w:rPr>
  </w:style>
  <w:style w:type="paragraph" w:customStyle="1" w:styleId="137">
    <w:name w:val="第六级"/>
    <w:basedOn w:val="1"/>
    <w:qFormat/>
    <w:uiPriority w:val="0"/>
    <w:pPr>
      <w:numPr>
        <w:ilvl w:val="5"/>
        <w:numId w:val="2"/>
      </w:numPr>
      <w:autoSpaceDE/>
      <w:autoSpaceDN/>
      <w:adjustRightInd/>
      <w:spacing w:line="360" w:lineRule="auto"/>
      <w:ind w:firstLine="0" w:firstLineChars="0"/>
      <w:jc w:val="both"/>
    </w:pPr>
    <w:rPr>
      <w:rFonts w:ascii="Calibri" w:hAnsi="Calibri"/>
      <w:kern w:val="2"/>
      <w:szCs w:val="22"/>
    </w:rPr>
  </w:style>
  <w:style w:type="character" w:customStyle="1" w:styleId="138">
    <w:name w:val="标题 4 Char"/>
    <w:basedOn w:val="44"/>
    <w:link w:val="5"/>
    <w:qFormat/>
    <w:uiPriority w:val="0"/>
    <w:rPr>
      <w:rFonts w:ascii="Times New Roman" w:hAnsi="Times New Roman" w:eastAsia="宋体" w:cs="Times New Roman"/>
      <w:b/>
      <w:sz w:val="24"/>
      <w:szCs w:val="24"/>
    </w:rPr>
  </w:style>
  <w:style w:type="paragraph" w:customStyle="1" w:styleId="139">
    <w:name w:val="TOC 标题1"/>
    <w:basedOn w:val="2"/>
    <w:next w:val="1"/>
    <w:unhideWhenUsed/>
    <w:qFormat/>
    <w:uiPriority w:val="39"/>
    <w:pPr>
      <w:keepLines/>
      <w:widowControl/>
      <w:spacing w:beforeLines="0" w:afterLines="0" w:line="276" w:lineRule="auto"/>
      <w:outlineLvl w:val="9"/>
    </w:pPr>
    <w:rPr>
      <w:rFonts w:ascii="Cambria" w:hAnsi="Cambria"/>
      <w:color w:val="365F91"/>
      <w:spacing w:val="0"/>
      <w:kern w:val="0"/>
      <w:sz w:val="28"/>
      <w:szCs w:val="28"/>
    </w:rPr>
  </w:style>
  <w:style w:type="character" w:customStyle="1" w:styleId="140">
    <w:name w:val="样式 样式 样式 Arial 小四 左 段前: 7.8 磅 行距: 固定值 18 磅 + (符号) 宋体 + 首行缩进:  2 ... Char Char"/>
    <w:basedOn w:val="44"/>
    <w:link w:val="141"/>
    <w:qFormat/>
    <w:uiPriority w:val="0"/>
    <w:rPr>
      <w:rFonts w:eastAsia="仿宋_GB2312"/>
      <w:color w:val="000000"/>
      <w:sz w:val="24"/>
    </w:rPr>
  </w:style>
  <w:style w:type="paragraph" w:customStyle="1" w:styleId="141">
    <w:name w:val="样式 样式 样式 Arial 小四 左 段前: 7.8 磅 行距: 固定值 18 磅 + (符号) 宋体 + 首行缩进:  2 ..."/>
    <w:basedOn w:val="1"/>
    <w:link w:val="140"/>
    <w:qFormat/>
    <w:uiPriority w:val="0"/>
    <w:pPr>
      <w:autoSpaceDE/>
      <w:autoSpaceDN/>
      <w:adjustRightInd/>
      <w:spacing w:before="60" w:line="360" w:lineRule="auto"/>
      <w:ind w:firstLine="482" w:firstLineChars="0"/>
    </w:pPr>
    <w:rPr>
      <w:rFonts w:eastAsia="仿宋_GB2312" w:asciiTheme="minorHAnsi" w:hAnsiTheme="minorHAnsi" w:cstheme="minorBidi"/>
      <w:color w:val="000000"/>
      <w:kern w:val="2"/>
      <w:szCs w:val="22"/>
    </w:rPr>
  </w:style>
  <w:style w:type="paragraph" w:customStyle="1" w:styleId="142">
    <w:name w:val="表——题注 6+6 磅"/>
    <w:basedOn w:val="27"/>
    <w:qFormat/>
    <w:uiPriority w:val="0"/>
    <w:pPr>
      <w:ind w:firstLine="200" w:firstLineChars="200"/>
    </w:pPr>
    <w:rPr>
      <w:rFonts w:ascii="Calibri" w:hAnsi="Calibri"/>
    </w:rPr>
  </w:style>
  <w:style w:type="paragraph" w:customStyle="1" w:styleId="143">
    <w:name w:val="图——题注 6+12 磅"/>
    <w:basedOn w:val="27"/>
    <w:link w:val="144"/>
    <w:qFormat/>
    <w:uiPriority w:val="0"/>
    <w:pPr>
      <w:ind w:firstLine="200" w:firstLineChars="200"/>
    </w:pPr>
    <w:rPr>
      <w:rFonts w:ascii="Calibri" w:hAnsi="Calibri"/>
    </w:rPr>
  </w:style>
  <w:style w:type="character" w:customStyle="1" w:styleId="144">
    <w:name w:val="图——题注 6+12 磅 Char Char"/>
    <w:link w:val="143"/>
    <w:qFormat/>
    <w:uiPriority w:val="0"/>
    <w:rPr>
      <w:rFonts w:ascii="Calibri" w:hAnsi="Calibri" w:eastAsia="宋体" w:cs="Times New Roman"/>
      <w:sz w:val="18"/>
      <w:szCs w:val="18"/>
    </w:rPr>
  </w:style>
  <w:style w:type="paragraph" w:customStyle="1" w:styleId="145">
    <w:name w:val="条文"/>
    <w:basedOn w:val="1"/>
    <w:qFormat/>
    <w:uiPriority w:val="0"/>
    <w:pPr>
      <w:autoSpaceDE/>
      <w:autoSpaceDN/>
      <w:adjustRightInd/>
      <w:spacing w:line="300" w:lineRule="auto"/>
      <w:ind w:firstLine="0" w:firstLineChars="0"/>
      <w:jc w:val="both"/>
      <w:outlineLvl w:val="2"/>
    </w:pPr>
    <w:rPr>
      <w:rFonts w:ascii="Times New Roman"/>
      <w:kern w:val="2"/>
    </w:rPr>
  </w:style>
  <w:style w:type="paragraph" w:customStyle="1" w:styleId="146">
    <w:name w:val="Char1"/>
    <w:basedOn w:val="1"/>
    <w:qFormat/>
    <w:uiPriority w:val="0"/>
    <w:pPr>
      <w:autoSpaceDE/>
      <w:autoSpaceDN/>
      <w:adjustRightInd/>
      <w:snapToGrid w:val="0"/>
      <w:spacing w:line="360" w:lineRule="auto"/>
      <w:jc w:val="both"/>
    </w:pPr>
    <w:rPr>
      <w:rFonts w:ascii="Times New Roman" w:eastAsia="仿宋_GB2312"/>
      <w:kern w:val="2"/>
    </w:rPr>
  </w:style>
  <w:style w:type="paragraph" w:customStyle="1" w:styleId="147">
    <w:name w:val="样式4（表格内容"/>
    <w:basedOn w:val="1"/>
    <w:qFormat/>
    <w:uiPriority w:val="0"/>
    <w:pPr>
      <w:widowControl/>
      <w:autoSpaceDE/>
      <w:autoSpaceDN/>
      <w:adjustRightInd/>
      <w:ind w:firstLine="0" w:firstLineChars="0"/>
    </w:pPr>
    <w:rPr>
      <w:rFonts w:ascii="Times New Roman" w:cs="宋体"/>
      <w:color w:val="000000"/>
      <w:szCs w:val="20"/>
    </w:rPr>
  </w:style>
  <w:style w:type="character" w:customStyle="1" w:styleId="148">
    <w:name w:val="标题2 Char"/>
    <w:link w:val="69"/>
    <w:qFormat/>
    <w:uiPriority w:val="0"/>
    <w:rPr>
      <w:sz w:val="32"/>
    </w:rPr>
  </w:style>
  <w:style w:type="character" w:customStyle="1" w:styleId="149">
    <w:name w:val="标题1 Char"/>
    <w:link w:val="68"/>
    <w:qFormat/>
    <w:uiPriority w:val="0"/>
    <w:rPr>
      <w:sz w:val="36"/>
    </w:rPr>
  </w:style>
  <w:style w:type="paragraph" w:customStyle="1" w:styleId="150">
    <w:name w:val="WPSOffice手动目录 1"/>
    <w:qFormat/>
    <w:uiPriority w:val="0"/>
    <w:pPr>
      <w:spacing w:beforeLines="50" w:afterLines="50" w:line="415" w:lineRule="auto"/>
      <w:ind w:firstLine="641"/>
    </w:pPr>
    <w:rPr>
      <w:rFonts w:ascii="Times New Roman" w:hAnsi="Times New Roman" w:eastAsia="宋体" w:cs="Times New Roman"/>
      <w:lang w:val="en-US" w:eastAsia="zh-CN" w:bidi="ar-SA"/>
    </w:rPr>
  </w:style>
  <w:style w:type="paragraph" w:customStyle="1" w:styleId="151">
    <w:name w:val="WPSOffice手动目录 2"/>
    <w:qFormat/>
    <w:uiPriority w:val="0"/>
    <w:pPr>
      <w:spacing w:beforeLines="50" w:afterLines="50" w:line="415" w:lineRule="auto"/>
      <w:ind w:left="200" w:leftChars="200" w:firstLine="641"/>
    </w:pPr>
    <w:rPr>
      <w:rFonts w:ascii="Times New Roman" w:hAnsi="Times New Roman" w:eastAsia="宋体" w:cs="Times New Roman"/>
      <w:lang w:val="en-US" w:eastAsia="zh-CN" w:bidi="ar-SA"/>
    </w:rPr>
  </w:style>
  <w:style w:type="paragraph" w:customStyle="1" w:styleId="152">
    <w:name w:val="WPSOffice手动目录 3"/>
    <w:qFormat/>
    <w:uiPriority w:val="0"/>
    <w:pPr>
      <w:spacing w:beforeLines="50" w:afterLines="50" w:line="415" w:lineRule="auto"/>
      <w:ind w:left="400" w:leftChars="400" w:firstLine="641"/>
    </w:pPr>
    <w:rPr>
      <w:rFonts w:ascii="Times New Roman" w:hAnsi="Times New Roman" w:eastAsia="宋体" w:cs="Times New Roman"/>
      <w:lang w:val="en-US" w:eastAsia="zh-CN" w:bidi="ar-SA"/>
    </w:rPr>
  </w:style>
  <w:style w:type="paragraph" w:customStyle="1" w:styleId="153">
    <w:name w:val="表内容"/>
    <w:basedOn w:val="1"/>
    <w:qFormat/>
    <w:uiPriority w:val="0"/>
    <w:pPr>
      <w:jc w:val="center"/>
    </w:pPr>
    <w:rPr>
      <w:spacing w:val="10"/>
      <w:sz w:val="20"/>
      <w:szCs w:val="22"/>
    </w:rPr>
  </w:style>
  <w:style w:type="table" w:customStyle="1" w:styleId="154">
    <w:name w:val="网格型3"/>
    <w:basedOn w:val="42"/>
    <w:qFormat/>
    <w:uiPriority w:val="5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
    <w:name w:val="网格型1"/>
    <w:basedOn w:val="42"/>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
    <w:name w:val="网格型4"/>
    <w:basedOn w:val="42"/>
    <w:qFormat/>
    <w:uiPriority w:val="5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
    <w:name w:val="网格型5"/>
    <w:basedOn w:val="42"/>
    <w:qFormat/>
    <w:uiPriority w:val="5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8">
    <w:name w:val="表名"/>
    <w:next w:val="1"/>
    <w:qFormat/>
    <w:uiPriority w:val="0"/>
    <w:pPr>
      <w:spacing w:beforeLines="50" w:afterLines="50" w:line="415" w:lineRule="auto"/>
      <w:ind w:firstLine="641"/>
      <w:jc w:val="center"/>
    </w:pPr>
    <w:rPr>
      <w:rFonts w:ascii="Times New Roman" w:hAnsi="Times New Roman" w:eastAsia="宋体" w:cs="Times New Roman"/>
      <w:kern w:val="2"/>
      <w:sz w:val="21"/>
      <w:szCs w:val="22"/>
      <w:lang w:val="en-US" w:eastAsia="zh-CN" w:bidi="ar-SA"/>
    </w:rPr>
  </w:style>
  <w:style w:type="paragraph" w:customStyle="1" w:styleId="159">
    <w:name w:val="纯文本2"/>
    <w:basedOn w:val="1"/>
    <w:qFormat/>
    <w:uiPriority w:val="0"/>
    <w:pPr>
      <w:spacing w:line="312" w:lineRule="atLeast"/>
      <w:textAlignment w:val="baseline"/>
    </w:pPr>
    <w:rPr>
      <w:szCs w:val="20"/>
    </w:rPr>
  </w:style>
  <w:style w:type="paragraph" w:customStyle="1" w:styleId="160">
    <w:name w:val="_Style 159"/>
    <w:qFormat/>
    <w:uiPriority w:val="0"/>
    <w:pPr>
      <w:spacing w:beforeLines="50" w:afterLines="50" w:line="415" w:lineRule="auto"/>
      <w:ind w:firstLine="641"/>
    </w:pPr>
    <w:rPr>
      <w:rFonts w:ascii="Times New Roman" w:hAnsi="Times New Roman" w:eastAsia="宋体" w:cs="Times New Roman"/>
      <w:lang w:val="en-US" w:eastAsia="zh-CN" w:bidi="ar-SA"/>
    </w:rPr>
  </w:style>
  <w:style w:type="paragraph" w:customStyle="1" w:styleId="161">
    <w:name w:val="修订1"/>
    <w:hidden/>
    <w:semiHidden/>
    <w:qFormat/>
    <w:uiPriority w:val="99"/>
    <w:pPr>
      <w:spacing w:beforeLines="50" w:afterLines="50" w:line="415" w:lineRule="auto"/>
      <w:ind w:firstLine="641"/>
    </w:pPr>
    <w:rPr>
      <w:rFonts w:ascii="Times New Roman" w:hAnsi="Times New Roman" w:eastAsia="宋体" w:cs="Times New Roman"/>
      <w:kern w:val="2"/>
      <w:sz w:val="21"/>
      <w:szCs w:val="24"/>
      <w:lang w:val="en-US" w:eastAsia="zh-CN" w:bidi="ar-SA"/>
    </w:rPr>
  </w:style>
  <w:style w:type="paragraph" w:customStyle="1" w:styleId="162">
    <w:name w:val="TOC 标题2"/>
    <w:basedOn w:val="2"/>
    <w:next w:val="1"/>
    <w:unhideWhenUsed/>
    <w:qFormat/>
    <w:uiPriority w:val="39"/>
    <w:pPr>
      <w:keepLines/>
      <w:widowControl/>
      <w:spacing w:beforeLines="0" w:afterLines="0" w:line="276" w:lineRule="auto"/>
      <w:outlineLvl w:val="9"/>
    </w:pPr>
    <w:rPr>
      <w:rFonts w:asciiTheme="majorHAnsi" w:hAnsiTheme="majorHAnsi" w:cstheme="majorBidi"/>
      <w:color w:val="376092" w:themeColor="accent1" w:themeShade="BF"/>
      <w:spacing w:val="0"/>
      <w:kern w:val="0"/>
      <w:sz w:val="28"/>
      <w:szCs w:val="28"/>
    </w:rPr>
  </w:style>
  <w:style w:type="character" w:customStyle="1" w:styleId="163">
    <w:name w:val="Font Style30"/>
    <w:qFormat/>
    <w:uiPriority w:val="0"/>
    <w:rPr>
      <w:rFonts w:ascii="宋体" w:eastAsia="宋体" w:cs="宋体"/>
      <w:spacing w:val="-10"/>
      <w:sz w:val="32"/>
      <w:szCs w:val="32"/>
    </w:rPr>
  </w:style>
  <w:style w:type="character" w:customStyle="1" w:styleId="164">
    <w:name w:val="font01"/>
    <w:basedOn w:val="44"/>
    <w:qFormat/>
    <w:uiPriority w:val="0"/>
    <w:rPr>
      <w:rFonts w:hint="default" w:ascii="Times New Roman" w:hAnsi="Times New Roman" w:cs="Times New Roman"/>
      <w:color w:val="000000"/>
      <w:sz w:val="21"/>
      <w:szCs w:val="21"/>
      <w:u w:val="none"/>
    </w:rPr>
  </w:style>
  <w:style w:type="character" w:customStyle="1" w:styleId="165">
    <w:name w:val="font21"/>
    <w:basedOn w:val="44"/>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9.wmf"/><Relationship Id="rId37" Type="http://schemas.openxmlformats.org/officeDocument/2006/relationships/oleObject" Target="embeddings/oleObject7.bin"/><Relationship Id="rId36" Type="http://schemas.openxmlformats.org/officeDocument/2006/relationships/image" Target="media/image18.wmf"/><Relationship Id="rId35" Type="http://schemas.openxmlformats.org/officeDocument/2006/relationships/oleObject" Target="embeddings/oleObject6.bin"/><Relationship Id="rId34" Type="http://schemas.openxmlformats.org/officeDocument/2006/relationships/image" Target="media/image17.wmf"/><Relationship Id="rId33" Type="http://schemas.openxmlformats.org/officeDocument/2006/relationships/oleObject" Target="embeddings/oleObject5.bin"/><Relationship Id="rId32" Type="http://schemas.openxmlformats.org/officeDocument/2006/relationships/oleObject" Target="embeddings/oleObject4.bin"/><Relationship Id="rId31" Type="http://schemas.openxmlformats.org/officeDocument/2006/relationships/image" Target="media/image16.wmf"/><Relationship Id="rId30" Type="http://schemas.openxmlformats.org/officeDocument/2006/relationships/oleObject" Target="embeddings/oleObject3.bin"/><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oleObject" Target="embeddings/oleObject2.bin"/><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wmf"/><Relationship Id="rId23" Type="http://schemas.openxmlformats.org/officeDocument/2006/relationships/image" Target="media/image10.wmf"/><Relationship Id="rId22" Type="http://schemas.openxmlformats.org/officeDocument/2006/relationships/oleObject" Target="embeddings/oleObject1.bin"/><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17E5BE-5F48-4B9E-8983-A9BD07C7502E}">
  <ds:schemaRefs/>
</ds:datastoreItem>
</file>

<file path=docProps/app.xml><?xml version="1.0" encoding="utf-8"?>
<Properties xmlns="http://schemas.openxmlformats.org/officeDocument/2006/extended-properties" xmlns:vt="http://schemas.openxmlformats.org/officeDocument/2006/docPropsVTypes">
  <Template>Normal</Template>
  <Company>DK</Company>
  <Pages>33</Pages>
  <Words>12032</Words>
  <Characters>15003</Characters>
  <Lines>116</Lines>
  <Paragraphs>32</Paragraphs>
  <TotalTime>10</TotalTime>
  <ScaleCrop>false</ScaleCrop>
  <LinksUpToDate>false</LinksUpToDate>
  <CharactersWithSpaces>15322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2019-01-29T03:24:00Z</dcterms:created>
  <dc:creator>admin</dc:creator>
  <cp:lastModifiedBy>Admin</cp:lastModifiedBy>
  <dcterms:modified xsi:type="dcterms:W3CDTF">2022-12-17T10:48:17Z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4A0F3045648A40FB8B9D80B8D55501C9</vt:lpwstr>
  </property>
</Properties>
</file>