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sz w:val="30"/>
          <w:szCs w:val="30"/>
        </w:rPr>
      </w:pPr>
      <w:r>
        <w:rPr>
          <w:sz w:val="30"/>
          <w:szCs w:val="30"/>
        </w:rPr>
        <w:t xml:space="preserve">  </w:t>
      </w:r>
    </w:p>
    <w:p>
      <w:pPr>
        <w:pStyle w:val="2"/>
        <w:rPr>
          <w:sz w:val="30"/>
          <w:szCs w:val="30"/>
        </w:rPr>
      </w:pPr>
    </w:p>
    <w:p>
      <w:pPr>
        <w:pStyle w:val="2"/>
        <w:rPr>
          <w:sz w:val="30"/>
          <w:szCs w:val="30"/>
        </w:rPr>
      </w:pPr>
    </w:p>
    <w:p>
      <w:pPr>
        <w:pStyle w:val="2"/>
        <w:spacing w:line="560" w:lineRule="exact"/>
        <w:rPr>
          <w:rFonts w:hint="eastAsia" w:ascii="方正小标宋_GBK" w:hAnsi="黑体" w:eastAsia="方正小标宋_GBK"/>
          <w:sz w:val="44"/>
        </w:rPr>
      </w:pPr>
      <w:bookmarkStart w:id="0" w:name="_GoBack"/>
      <w:r>
        <w:rPr>
          <w:rFonts w:hint="eastAsia" w:ascii="方正小标宋_GBK" w:hAnsi="黑体" w:eastAsia="方正小标宋_GBK"/>
          <w:sz w:val="44"/>
        </w:rPr>
        <w:t>重庆市民用建筑工程绿色建材</w:t>
      </w:r>
    </w:p>
    <w:p>
      <w:pPr>
        <w:pStyle w:val="2"/>
        <w:spacing w:line="560" w:lineRule="exact"/>
        <w:rPr>
          <w:rFonts w:hint="eastAsia" w:ascii="方正小标宋_GBK" w:hAnsi="黑体" w:eastAsia="方正小标宋_GBK"/>
          <w:sz w:val="44"/>
        </w:rPr>
      </w:pPr>
      <w:r>
        <w:rPr>
          <w:rFonts w:hint="eastAsia" w:ascii="方正小标宋_GBK" w:hAnsi="黑体" w:eastAsia="方正小标宋_GBK"/>
          <w:sz w:val="44"/>
        </w:rPr>
        <w:t>应用比例核算技术细则</w:t>
      </w:r>
    </w:p>
    <w:bookmarkEnd w:id="0"/>
    <w:p>
      <w:pPr>
        <w:jc w:val="center"/>
        <w:rPr>
          <w:rFonts w:hint="eastAsia" w:ascii="方正楷体_GBK" w:hAnsi="黑体" w:eastAsia="方正楷体_GBK"/>
          <w:bCs/>
          <w:kern w:val="44"/>
          <w:sz w:val="44"/>
          <w:szCs w:val="44"/>
        </w:rPr>
      </w:pPr>
      <w:r>
        <w:rPr>
          <w:rFonts w:hint="eastAsia" w:ascii="方正楷体_GBK" w:hAnsi="黑体" w:eastAsia="方正楷体_GBK"/>
          <w:bCs/>
          <w:kern w:val="44"/>
          <w:sz w:val="44"/>
          <w:szCs w:val="44"/>
        </w:rPr>
        <w:t>（征求意见稿）</w:t>
      </w:r>
    </w:p>
    <w:p/>
    <w:p>
      <w:pPr>
        <w:jc w:val="center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jc w:val="center"/>
        <w:rPr>
          <w:rFonts w:ascii="Times New Roman" w:hAnsi="Times New Roman" w:eastAsia="方正仿宋_GBK" w:cs="Times New Roman"/>
          <w:sz w:val="32"/>
          <w:szCs w:val="32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jc w:val="center"/>
        <w:rPr>
          <w:rFonts w:ascii="Times New Roman" w:hAnsi="Times New Roman" w:eastAsia="方正仿宋_GBK" w:cs="Times New Roman"/>
          <w:szCs w:val="24"/>
        </w:rPr>
      </w:pPr>
    </w:p>
    <w:p>
      <w:pPr>
        <w:widowControl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2020-XX-XX发布                           2020-XX-XX实施</w:t>
      </w:r>
    </w:p>
    <w:p>
      <w:pPr>
        <w:widowControl/>
        <w:jc w:val="center"/>
        <w:rPr>
          <w:rFonts w:cs="Times New Roman"/>
          <w:szCs w:val="24"/>
        </w:rPr>
      </w:pPr>
    </w:p>
    <w:p>
      <w:pPr>
        <w:widowControl/>
        <w:jc w:val="center"/>
        <w:rPr>
          <w:rFonts w:cs="Times New Roman"/>
          <w:szCs w:val="24"/>
        </w:rPr>
      </w:pPr>
      <w:r>
        <w:rPr>
          <w:rFonts w:hint="eastAsia" w:cs="Times New Roman"/>
          <w:szCs w:val="24"/>
        </w:rPr>
        <w:t>重庆市住房和城乡建设委员会</w:t>
      </w:r>
    </w:p>
    <w:p>
      <w:pPr>
        <w:widowControl/>
        <w:jc w:val="left"/>
        <w:rPr>
          <w:rFonts w:ascii="Times New Roman" w:hAnsi="Times New Roman" w:cs="Times New Roman"/>
          <w:szCs w:val="24"/>
        </w:rPr>
      </w:pPr>
    </w:p>
    <w:p>
      <w:pPr>
        <w:widowControl/>
        <w:jc w:val="left"/>
        <w:rPr>
          <w:rFonts w:ascii="Times New Roman" w:hAnsi="Times New Roman" w:cs="Times New Roman"/>
          <w:szCs w:val="24"/>
        </w:rPr>
      </w:pPr>
    </w:p>
    <w:p>
      <w:pPr>
        <w:jc w:val="center"/>
        <w:rPr>
          <w:rFonts w:ascii="Times New Roman" w:hAnsi="Times New Roman" w:eastAsia="黑体" w:cs="Times New Roman"/>
          <w:b/>
          <w:sz w:val="28"/>
          <w:szCs w:val="28"/>
        </w:rPr>
      </w:pPr>
      <w:r>
        <w:rPr>
          <w:rFonts w:ascii="Times New Roman" w:hAnsi="Times New Roman" w:eastAsia="黑体" w:cs="Times New Roman"/>
          <w:b/>
          <w:sz w:val="28"/>
          <w:szCs w:val="28"/>
        </w:rPr>
        <w:t>前  言</w:t>
      </w:r>
    </w:p>
    <w:p>
      <w:pPr>
        <w:jc w:val="center"/>
        <w:rPr>
          <w:rFonts w:ascii="Times New Roman" w:hAnsi="Times New Roman" w:eastAsia="黑体" w:cs="Times New Roman"/>
          <w:sz w:val="28"/>
          <w:szCs w:val="28"/>
        </w:rPr>
      </w:pP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为</w:t>
      </w:r>
      <w:r>
        <w:rPr>
          <w:rFonts w:hint="eastAsia" w:ascii="Times New Roman" w:hAnsi="Times New Roman" w:cs="Times New Roman"/>
          <w:szCs w:val="24"/>
        </w:rPr>
        <w:t>落实重庆市住房和城乡建设委员会《关于</w:t>
      </w:r>
      <w:r>
        <w:rPr>
          <w:rFonts w:ascii="Times New Roman" w:hAnsi="Times New Roman" w:cs="Times New Roman"/>
          <w:szCs w:val="24"/>
        </w:rPr>
        <w:t>推进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建筑</w:t>
      </w:r>
      <w:r>
        <w:rPr>
          <w:rFonts w:hint="eastAsia" w:ascii="Times New Roman" w:hAnsi="Times New Roman" w:cs="Times New Roman"/>
          <w:szCs w:val="24"/>
        </w:rPr>
        <w:t>高品质</w:t>
      </w:r>
      <w:r>
        <w:rPr>
          <w:rFonts w:ascii="Times New Roman" w:hAnsi="Times New Roman" w:cs="Times New Roman"/>
          <w:szCs w:val="24"/>
        </w:rPr>
        <w:t>高质量</w:t>
      </w:r>
      <w:r>
        <w:rPr>
          <w:rFonts w:hint="eastAsia" w:ascii="Times New Roman" w:hAnsi="Times New Roman" w:cs="Times New Roman"/>
          <w:szCs w:val="24"/>
        </w:rPr>
        <w:t>发展</w:t>
      </w:r>
      <w:r>
        <w:rPr>
          <w:rFonts w:ascii="Times New Roman" w:hAnsi="Times New Roman" w:cs="Times New Roman"/>
          <w:szCs w:val="24"/>
        </w:rPr>
        <w:t>的</w:t>
      </w:r>
      <w:r>
        <w:rPr>
          <w:rFonts w:hint="eastAsia" w:ascii="Times New Roman" w:hAnsi="Times New Roman" w:cs="Times New Roman"/>
          <w:szCs w:val="24"/>
        </w:rPr>
        <w:t>意见》（[</w:t>
      </w:r>
      <w:r>
        <w:rPr>
          <w:rFonts w:ascii="Times New Roman" w:hAnsi="Times New Roman" w:cs="Times New Roman"/>
          <w:szCs w:val="24"/>
        </w:rPr>
        <w:t>2019</w:t>
      </w:r>
      <w:r>
        <w:rPr>
          <w:rFonts w:hint="eastAsia" w:ascii="Times New Roman" w:hAnsi="Times New Roman" w:cs="Times New Roman"/>
          <w:szCs w:val="24"/>
        </w:rPr>
        <w:t>]</w:t>
      </w:r>
      <w:r>
        <w:rPr>
          <w:rFonts w:ascii="Times New Roman" w:hAnsi="Times New Roman" w:cs="Times New Roman"/>
          <w:szCs w:val="24"/>
        </w:rPr>
        <w:t>23号</w:t>
      </w:r>
      <w:r>
        <w:rPr>
          <w:rFonts w:hint="eastAsia" w:ascii="Times New Roman" w:hAnsi="Times New Roman" w:cs="Times New Roman"/>
          <w:szCs w:val="24"/>
        </w:rPr>
        <w:t>）的相关要求，</w:t>
      </w:r>
      <w:r>
        <w:rPr>
          <w:rFonts w:ascii="Times New Roman" w:hAnsi="Times New Roman" w:cs="Times New Roman"/>
          <w:szCs w:val="24"/>
        </w:rPr>
        <w:t>加快推进我市绿色建材推广应用工作，规范</w:t>
      </w:r>
      <w:r>
        <w:rPr>
          <w:rFonts w:hint="eastAsia" w:ascii="Times New Roman" w:hAnsi="Times New Roman" w:cs="Times New Roman"/>
          <w:szCs w:val="24"/>
        </w:rPr>
        <w:t>我市</w:t>
      </w:r>
      <w:r>
        <w:rPr>
          <w:rFonts w:ascii="Times New Roman" w:hAnsi="Times New Roman" w:cs="Times New Roman"/>
          <w:szCs w:val="24"/>
        </w:rPr>
        <w:t>民用建筑工程绿色建材应用比例核算方法，经广泛调查研究</w:t>
      </w:r>
      <w:r>
        <w:rPr>
          <w:rFonts w:hint="eastAsia" w:ascii="Times New Roman" w:hAnsi="Times New Roman" w:cs="Times New Roman"/>
          <w:szCs w:val="24"/>
        </w:rPr>
        <w:t>，</w:t>
      </w:r>
      <w:r>
        <w:rPr>
          <w:rFonts w:ascii="Times New Roman" w:hAnsi="Times New Roman" w:cs="Times New Roman"/>
          <w:szCs w:val="24"/>
        </w:rPr>
        <w:t>基于国家标准</w:t>
      </w:r>
      <w:r>
        <w:rPr>
          <w:rFonts w:hint="eastAsia" w:ascii="Times New Roman" w:hAnsi="Times New Roman" w:cs="Times New Roman"/>
          <w:szCs w:val="24"/>
        </w:rPr>
        <w:t>《</w:t>
      </w:r>
      <w:r>
        <w:rPr>
          <w:rFonts w:ascii="Times New Roman" w:hAnsi="Times New Roman" w:cs="Times New Roman"/>
          <w:szCs w:val="24"/>
        </w:rPr>
        <w:t>绿色建筑评价标准</w:t>
      </w:r>
      <w:r>
        <w:rPr>
          <w:rFonts w:hint="eastAsia" w:ascii="Times New Roman" w:hAnsi="Times New Roman" w:cs="Times New Roman"/>
          <w:szCs w:val="24"/>
        </w:rPr>
        <w:t>》G</w:t>
      </w:r>
      <w:r>
        <w:rPr>
          <w:rFonts w:ascii="Times New Roman" w:hAnsi="Times New Roman" w:cs="Times New Roman"/>
          <w:szCs w:val="24"/>
        </w:rPr>
        <w:t>B/T 50378关于绿色建材应用比例</w:t>
      </w:r>
      <w:r>
        <w:rPr>
          <w:rFonts w:hint="eastAsia" w:ascii="Times New Roman" w:hAnsi="Times New Roman" w:cs="Times New Roman"/>
          <w:szCs w:val="24"/>
        </w:rPr>
        <w:t>计算的</w:t>
      </w:r>
      <w:r>
        <w:rPr>
          <w:rFonts w:ascii="Times New Roman" w:hAnsi="Times New Roman" w:cs="Times New Roman"/>
          <w:szCs w:val="24"/>
        </w:rPr>
        <w:t>相关要求</w:t>
      </w:r>
      <w:r>
        <w:rPr>
          <w:rFonts w:hint="eastAsia" w:ascii="Times New Roman" w:hAnsi="Times New Roman" w:cs="Times New Roman"/>
          <w:szCs w:val="24"/>
        </w:rPr>
        <w:t>，研究制定</w:t>
      </w:r>
      <w:r>
        <w:rPr>
          <w:rFonts w:ascii="Times New Roman" w:hAnsi="Times New Roman" w:cs="Times New Roman"/>
          <w:szCs w:val="24"/>
        </w:rPr>
        <w:t>《重庆市民用建筑工程绿色建材应用比例</w:t>
      </w:r>
      <w:r>
        <w:rPr>
          <w:rFonts w:hint="eastAsia" w:ascii="Times New Roman" w:hAnsi="Times New Roman" w:cs="Times New Roman"/>
          <w:szCs w:val="24"/>
        </w:rPr>
        <w:t>核算</w:t>
      </w:r>
      <w:r>
        <w:rPr>
          <w:rFonts w:ascii="Times New Roman" w:hAnsi="Times New Roman" w:cs="Times New Roman"/>
          <w:szCs w:val="24"/>
        </w:rPr>
        <w:t>技术细则》。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本</w:t>
      </w:r>
      <w:r>
        <w:rPr>
          <w:rFonts w:hint="eastAsia" w:ascii="Times New Roman" w:hAnsi="Times New Roman" w:cs="Times New Roman"/>
          <w:szCs w:val="24"/>
        </w:rPr>
        <w:t>技术</w:t>
      </w:r>
      <w:r>
        <w:rPr>
          <w:rFonts w:ascii="Times New Roman" w:hAnsi="Times New Roman" w:cs="Times New Roman"/>
          <w:szCs w:val="24"/>
        </w:rPr>
        <w:t>细则主要技术内容是：</w:t>
      </w:r>
      <w:r>
        <w:rPr>
          <w:rFonts w:hint="eastAsia" w:ascii="Times New Roman" w:hAnsi="Times New Roman" w:cs="Times New Roman"/>
          <w:szCs w:val="24"/>
        </w:rPr>
        <w:t>适用范围、基本</w:t>
      </w:r>
      <w:r>
        <w:rPr>
          <w:rFonts w:ascii="Times New Roman" w:hAnsi="Times New Roman" w:cs="Times New Roman"/>
          <w:szCs w:val="24"/>
        </w:rPr>
        <w:t>规定</w:t>
      </w:r>
      <w:r>
        <w:rPr>
          <w:rFonts w:hint="eastAsia" w:ascii="Times New Roman" w:hAnsi="Times New Roman" w:cs="Times New Roman"/>
          <w:szCs w:val="24"/>
        </w:rPr>
        <w:t>、核算方法</w:t>
      </w:r>
      <w:r>
        <w:rPr>
          <w:rFonts w:ascii="Times New Roman" w:hAnsi="Times New Roman" w:cs="Times New Roman"/>
          <w:szCs w:val="24"/>
        </w:rPr>
        <w:t>、</w:t>
      </w:r>
      <w:r>
        <w:rPr>
          <w:rFonts w:hint="eastAsia" w:ascii="Times New Roman" w:hAnsi="Times New Roman" w:cs="Times New Roman"/>
          <w:szCs w:val="24"/>
        </w:rPr>
        <w:t>核算</w:t>
      </w:r>
      <w:r>
        <w:rPr>
          <w:rFonts w:ascii="Times New Roman" w:hAnsi="Times New Roman" w:cs="Times New Roman"/>
          <w:szCs w:val="24"/>
        </w:rPr>
        <w:t>资料</w:t>
      </w:r>
      <w:r>
        <w:rPr>
          <w:rFonts w:hint="eastAsia" w:ascii="Times New Roman" w:hAnsi="Times New Roman" w:cs="Times New Roman"/>
          <w:szCs w:val="24"/>
        </w:rPr>
        <w:t>及</w:t>
      </w:r>
      <w:r>
        <w:rPr>
          <w:rFonts w:ascii="Times New Roman" w:hAnsi="Times New Roman" w:cs="Times New Roman"/>
          <w:szCs w:val="24"/>
        </w:rPr>
        <w:t>附件</w:t>
      </w:r>
      <w:r>
        <w:rPr>
          <w:rFonts w:hint="eastAsia" w:ascii="Times New Roman" w:hAnsi="Times New Roman" w:cs="Times New Roman"/>
          <w:szCs w:val="24"/>
        </w:rPr>
        <w:t>。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本技术</w:t>
      </w:r>
      <w:r>
        <w:rPr>
          <w:rFonts w:hint="eastAsia" w:ascii="Times New Roman" w:hAnsi="Times New Roman" w:cs="Times New Roman"/>
          <w:szCs w:val="24"/>
        </w:rPr>
        <w:t>细则</w:t>
      </w:r>
      <w:r>
        <w:rPr>
          <w:rFonts w:ascii="Times New Roman" w:hAnsi="Times New Roman" w:cs="Times New Roman"/>
          <w:szCs w:val="24"/>
        </w:rPr>
        <w:t>由重庆市住房和城乡建设委员会负责管理。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主编单位</w:t>
      </w:r>
      <w:r>
        <w:rPr>
          <w:rFonts w:hint="eastAsia" w:ascii="Times New Roman" w:hAnsi="Times New Roman" w:cs="Times New Roman"/>
          <w:szCs w:val="24"/>
        </w:rPr>
        <w:t>：重庆市绿色建筑技术促进中心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参编单位</w:t>
      </w:r>
      <w:r>
        <w:rPr>
          <w:rFonts w:hint="eastAsia" w:ascii="Times New Roman" w:hAnsi="Times New Roman" w:cs="Times New Roman"/>
          <w:szCs w:val="24"/>
        </w:rPr>
        <w:t>：重庆市建设技术发展中心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重庆市绿色建筑</w:t>
      </w:r>
      <w:r>
        <w:rPr>
          <w:rFonts w:hint="eastAsia" w:ascii="Times New Roman" w:hAnsi="Times New Roman" w:cs="Times New Roman"/>
          <w:szCs w:val="24"/>
        </w:rPr>
        <w:t>与建筑</w:t>
      </w:r>
      <w:r>
        <w:rPr>
          <w:rFonts w:ascii="Times New Roman" w:hAnsi="Times New Roman" w:cs="Times New Roman"/>
          <w:szCs w:val="24"/>
        </w:rPr>
        <w:t>产业化协会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        </w:t>
      </w:r>
      <w:r>
        <w:rPr>
          <w:rFonts w:hint="eastAsia" w:ascii="Times New Roman" w:hAnsi="Times New Roman" w:cs="Times New Roman"/>
          <w:szCs w:val="24"/>
        </w:rPr>
        <w:t>中煤科工重庆设计研究院（集团）有限公司</w:t>
      </w:r>
    </w:p>
    <w:p>
      <w:pPr>
        <w:widowControl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>
      <w:pPr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ascii="黑体" w:hAnsi="黑体" w:eastAsia="黑体"/>
          <w:b/>
          <w:sz w:val="30"/>
          <w:szCs w:val="30"/>
        </w:rPr>
        <w:t>重庆市民用建筑工程绿色建材应用比例</w:t>
      </w:r>
      <w:r>
        <w:rPr>
          <w:rFonts w:hint="eastAsia" w:ascii="黑体" w:hAnsi="黑体" w:eastAsia="黑体"/>
          <w:b/>
          <w:sz w:val="30"/>
          <w:szCs w:val="30"/>
        </w:rPr>
        <w:t>核算技术细则</w:t>
      </w:r>
    </w:p>
    <w:p/>
    <w:p>
      <w:pPr>
        <w:pStyle w:val="2"/>
        <w:rPr>
          <w:rFonts w:cs="Times New Roman" w:eastAsiaTheme="minorEastAsia"/>
          <w:b/>
          <w:bCs w:val="0"/>
          <w:kern w:val="2"/>
          <w:sz w:val="24"/>
          <w:szCs w:val="24"/>
        </w:rPr>
      </w:pPr>
      <w:r>
        <w:rPr>
          <w:rFonts w:hint="eastAsia" w:cs="Times New Roman" w:eastAsiaTheme="minorEastAsia"/>
          <w:b/>
          <w:bCs w:val="0"/>
          <w:kern w:val="2"/>
          <w:sz w:val="24"/>
          <w:szCs w:val="24"/>
        </w:rPr>
        <w:t>1</w:t>
      </w:r>
      <w:r>
        <w:rPr>
          <w:rFonts w:cs="Times New Roman" w:eastAsiaTheme="minorEastAsia"/>
          <w:b/>
          <w:bCs w:val="0"/>
          <w:kern w:val="2"/>
          <w:sz w:val="24"/>
          <w:szCs w:val="24"/>
        </w:rPr>
        <w:t xml:space="preserve">  </w:t>
      </w:r>
      <w:r>
        <w:rPr>
          <w:rFonts w:hint="eastAsia" w:cs="Times New Roman" w:eastAsiaTheme="minorEastAsia"/>
          <w:b/>
          <w:bCs w:val="0"/>
          <w:kern w:val="2"/>
          <w:sz w:val="24"/>
          <w:szCs w:val="24"/>
        </w:rPr>
        <w:t>适用范围</w:t>
      </w:r>
    </w:p>
    <w:p>
      <w:r>
        <w:rPr>
          <w:rFonts w:hint="eastAsia" w:ascii="Times New Roman" w:hAnsi="Times New Roman" w:cs="Times New Roman"/>
          <w:b/>
          <w:szCs w:val="24"/>
        </w:rPr>
        <w:t>1.0.</w:t>
      </w:r>
      <w:r>
        <w:rPr>
          <w:rFonts w:ascii="Times New Roman" w:hAnsi="Times New Roman" w:cs="Times New Roman"/>
          <w:b/>
          <w:szCs w:val="24"/>
        </w:rPr>
        <w:t xml:space="preserve">1  </w:t>
      </w:r>
      <w:r>
        <w:rPr>
          <w:rFonts w:hint="eastAsia"/>
        </w:rPr>
        <w:t>《重庆市民用建筑工程绿色建材应用比例核算技术细则》（以下简称“技术细则”）适用</w:t>
      </w:r>
      <w:r>
        <w:t>于</w:t>
      </w:r>
      <w:r>
        <w:rPr>
          <w:rFonts w:hint="eastAsia"/>
        </w:rPr>
        <w:t>重庆市</w:t>
      </w:r>
      <w:r>
        <w:t>民用建筑</w:t>
      </w:r>
      <w:r>
        <w:rPr>
          <w:rFonts w:hint="eastAsia"/>
        </w:rPr>
        <w:t>工程</w:t>
      </w:r>
      <w:r>
        <w:t>绿色建材应用比例的</w:t>
      </w:r>
      <w:r>
        <w:rPr>
          <w:rFonts w:hint="eastAsia"/>
        </w:rPr>
        <w:t>核算。</w:t>
      </w:r>
    </w:p>
    <w:p>
      <w:pPr>
        <w:pStyle w:val="2"/>
        <w:rPr>
          <w:rFonts w:cs="Times New Roman" w:eastAsiaTheme="minorEastAsia"/>
          <w:b/>
          <w:bCs w:val="0"/>
          <w:kern w:val="2"/>
          <w:sz w:val="24"/>
          <w:szCs w:val="24"/>
        </w:rPr>
      </w:pPr>
      <w:r>
        <w:rPr>
          <w:rFonts w:hint="eastAsia" w:cs="Times New Roman" w:eastAsiaTheme="minorEastAsia"/>
          <w:b/>
          <w:bCs w:val="0"/>
          <w:kern w:val="2"/>
          <w:sz w:val="24"/>
          <w:szCs w:val="24"/>
        </w:rPr>
        <w:t>2  基本</w:t>
      </w:r>
      <w:r>
        <w:rPr>
          <w:rFonts w:cs="Times New Roman" w:eastAsiaTheme="minorEastAsia"/>
          <w:b/>
          <w:bCs w:val="0"/>
          <w:kern w:val="2"/>
          <w:sz w:val="24"/>
          <w:szCs w:val="24"/>
        </w:rPr>
        <w:t>规定</w:t>
      </w:r>
    </w:p>
    <w:p>
      <w:pPr>
        <w:rPr>
          <w:rFonts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2.0.1 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绿色建材应用比例的</w:t>
      </w:r>
      <w:r>
        <w:rPr>
          <w:rFonts w:hint="eastAsia" w:cs="Times New Roman"/>
          <w:szCs w:val="24"/>
        </w:rPr>
        <w:t>核算</w:t>
      </w:r>
      <w:r>
        <w:rPr>
          <w:rFonts w:hint="eastAsia" w:ascii="Times New Roman" w:hAnsi="Times New Roman" w:cs="Times New Roman"/>
          <w:szCs w:val="24"/>
        </w:rPr>
        <w:t>单元应符合重庆市《绿色建筑评价标准》</w:t>
      </w:r>
      <w:r>
        <w:rPr>
          <w:rFonts w:hint="eastAsia" w:cs="Times New Roman"/>
          <w:szCs w:val="24"/>
        </w:rPr>
        <w:t>DBJ50/T-066的相关要求。</w:t>
      </w:r>
    </w:p>
    <w:p>
      <w:pPr>
        <w:jc w:val="left"/>
        <w:rPr>
          <w:rFonts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2</w:t>
      </w:r>
      <w:r>
        <w:rPr>
          <w:rFonts w:hint="eastAsia" w:ascii="Times New Roman" w:hAnsi="Times New Roman" w:cs="Times New Roman"/>
          <w:b/>
          <w:szCs w:val="24"/>
        </w:rPr>
        <w:t>.</w:t>
      </w:r>
      <w:r>
        <w:rPr>
          <w:rFonts w:ascii="Times New Roman" w:hAnsi="Times New Roman" w:cs="Times New Roman"/>
          <w:b/>
          <w:szCs w:val="24"/>
        </w:rPr>
        <w:t>0.2</w:t>
      </w:r>
      <w:r>
        <w:rPr>
          <w:rFonts w:hint="eastAsia" w:ascii="Times New Roman" w:hAnsi="Times New Roman" w:cs="Times New Roman"/>
          <w:b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按相关要求应进行</w:t>
      </w:r>
      <w:r>
        <w:rPr>
          <w:rFonts w:cs="Times New Roman"/>
          <w:szCs w:val="24"/>
        </w:rPr>
        <w:t>绿色建材应用比例</w:t>
      </w:r>
      <w:r>
        <w:rPr>
          <w:rFonts w:hint="eastAsia" w:cs="Times New Roman"/>
          <w:szCs w:val="24"/>
        </w:rPr>
        <w:t>核算</w:t>
      </w:r>
      <w:r>
        <w:rPr>
          <w:rFonts w:cs="Times New Roman"/>
          <w:szCs w:val="24"/>
        </w:rPr>
        <w:t>的建筑工程项目应在</w:t>
      </w:r>
      <w:r>
        <w:rPr>
          <w:rFonts w:hint="eastAsia" w:cs="Times New Roman"/>
          <w:szCs w:val="24"/>
        </w:rPr>
        <w:t>工程</w:t>
      </w:r>
      <w:r>
        <w:rPr>
          <w:rFonts w:cs="Times New Roman"/>
          <w:szCs w:val="24"/>
        </w:rPr>
        <w:t>项目能效测评</w:t>
      </w:r>
      <w:r>
        <w:rPr>
          <w:rFonts w:hint="eastAsia" w:cs="Times New Roman"/>
          <w:szCs w:val="24"/>
        </w:rPr>
        <w:t>之前开展绿色建材应用比例的核算。</w:t>
      </w:r>
    </w:p>
    <w:p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2.0.3 </w:t>
      </w:r>
      <w:r>
        <w:rPr>
          <w:rFonts w:cs="Times New Roman"/>
          <w:szCs w:val="24"/>
        </w:rPr>
        <w:t xml:space="preserve"> 绿色建材应用比例核算指标应由</w:t>
      </w:r>
      <w:r>
        <w:rPr>
          <w:rFonts w:hint="eastAsia" w:ascii="Times New Roman" w:hAnsi="Times New Roman" w:cs="Times New Roman"/>
          <w:szCs w:val="24"/>
        </w:rPr>
        <w:t>主体</w:t>
      </w:r>
      <w:r>
        <w:rPr>
          <w:rFonts w:ascii="Times New Roman" w:hAnsi="Times New Roman" w:cs="Times New Roman"/>
          <w:szCs w:val="24"/>
        </w:rPr>
        <w:t>结构材料</w:t>
      </w:r>
      <w:r>
        <w:rPr>
          <w:rFonts w:hint="eastAsia" w:ascii="Times New Roman" w:hAnsi="Times New Roman" w:cs="Times New Roman"/>
          <w:szCs w:val="24"/>
        </w:rPr>
        <w:t>指标</w:t>
      </w:r>
      <w:r>
        <w:rPr>
          <w:rFonts w:ascii="Times New Roman" w:hAnsi="Times New Roman" w:cs="Times New Roman"/>
          <w:szCs w:val="24"/>
        </w:rPr>
        <w:t>、围护墙和内隔墙指标</w:t>
      </w:r>
      <w:r>
        <w:rPr>
          <w:rFonts w:hint="eastAsia" w:ascii="Times New Roman" w:hAnsi="Times New Roman" w:cs="Times New Roman"/>
          <w:szCs w:val="24"/>
        </w:rPr>
        <w:t>、</w:t>
      </w:r>
      <w:r>
        <w:rPr>
          <w:rFonts w:ascii="Times New Roman" w:hAnsi="Times New Roman" w:cs="Times New Roman"/>
          <w:szCs w:val="24"/>
        </w:rPr>
        <w:t>装修指标和其他</w:t>
      </w:r>
      <w:r>
        <w:rPr>
          <w:rFonts w:hint="eastAsia" w:ascii="Times New Roman" w:hAnsi="Times New Roman" w:cs="Times New Roman"/>
          <w:szCs w:val="24"/>
        </w:rPr>
        <w:t>指标等4类</w:t>
      </w:r>
      <w:r>
        <w:rPr>
          <w:rFonts w:ascii="Times New Roman" w:hAnsi="Times New Roman" w:cs="Times New Roman"/>
          <w:szCs w:val="24"/>
        </w:rPr>
        <w:t>指标组成</w:t>
      </w:r>
      <w:r>
        <w:rPr>
          <w:rFonts w:hint="eastAsia" w:ascii="Times New Roman" w:hAnsi="Times New Roman" w:cs="Times New Roman"/>
          <w:szCs w:val="24"/>
        </w:rPr>
        <w:t>，且</w:t>
      </w:r>
      <w:r>
        <w:rPr>
          <w:rFonts w:ascii="Times New Roman" w:hAnsi="Times New Roman" w:cs="Times New Roman"/>
          <w:szCs w:val="24"/>
        </w:rPr>
        <w:t>每类指标</w:t>
      </w:r>
      <w:r>
        <w:rPr>
          <w:rFonts w:hint="eastAsia" w:ascii="Times New Roman" w:hAnsi="Times New Roman" w:cs="Times New Roman"/>
          <w:szCs w:val="24"/>
        </w:rPr>
        <w:t>按子类别分设二级指标</w:t>
      </w:r>
      <w:r>
        <w:rPr>
          <w:rFonts w:ascii="Times New Roman" w:hAnsi="Times New Roman" w:cs="Times New Roman"/>
          <w:szCs w:val="24"/>
        </w:rPr>
        <w:t>。</w:t>
      </w:r>
    </w:p>
    <w:p>
      <w:pPr>
        <w:rPr>
          <w:rFonts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2</w:t>
      </w:r>
      <w:r>
        <w:rPr>
          <w:rFonts w:ascii="Times New Roman" w:hAnsi="Times New Roman" w:cs="Times New Roman"/>
          <w:b/>
          <w:szCs w:val="24"/>
        </w:rPr>
        <w:t xml:space="preserve">.0.4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</w:t>
      </w:r>
      <w:r>
        <w:rPr>
          <w:rFonts w:hint="eastAsia" w:ascii="Times New Roman" w:hAnsi="Times New Roman" w:cs="Times New Roman"/>
          <w:szCs w:val="24"/>
        </w:rPr>
        <w:t>4类核算指标合计1</w:t>
      </w:r>
      <w:r>
        <w:rPr>
          <w:rFonts w:ascii="Times New Roman" w:hAnsi="Times New Roman" w:cs="Times New Roman"/>
          <w:szCs w:val="24"/>
        </w:rPr>
        <w:t>00</w:t>
      </w:r>
      <w:r>
        <w:rPr>
          <w:rFonts w:hint="eastAsia" w:ascii="Times New Roman" w:hAnsi="Times New Roman" w:cs="Times New Roman"/>
          <w:szCs w:val="24"/>
        </w:rPr>
        <w:t>分，</w:t>
      </w:r>
      <w:r>
        <w:rPr>
          <w:rFonts w:ascii="Times New Roman" w:hAnsi="Times New Roman" w:cs="Times New Roman"/>
          <w:szCs w:val="24"/>
        </w:rPr>
        <w:t>其中主体结构材料指标</w:t>
      </w:r>
      <w:r>
        <w:rPr>
          <w:rFonts w:hint="eastAsia" w:ascii="Times New Roman" w:hAnsi="Times New Roman" w:cs="Times New Roman"/>
          <w:szCs w:val="24"/>
        </w:rPr>
        <w:t>设置</w:t>
      </w:r>
      <w:r>
        <w:rPr>
          <w:rFonts w:ascii="Times New Roman" w:hAnsi="Times New Roman" w:cs="Times New Roman"/>
          <w:szCs w:val="24"/>
        </w:rPr>
        <w:t>30</w:t>
      </w:r>
      <w:r>
        <w:rPr>
          <w:rFonts w:hint="eastAsia" w:ascii="Times New Roman" w:hAnsi="Times New Roman" w:cs="Times New Roman"/>
          <w:szCs w:val="24"/>
        </w:rPr>
        <w:t>分、围护墙和内隔墙</w:t>
      </w:r>
      <w:r>
        <w:rPr>
          <w:rFonts w:ascii="Times New Roman" w:hAnsi="Times New Roman" w:cs="Times New Roman"/>
          <w:szCs w:val="24"/>
        </w:rPr>
        <w:t>指标</w:t>
      </w:r>
      <w:r>
        <w:rPr>
          <w:rFonts w:hint="eastAsia" w:ascii="Times New Roman" w:hAnsi="Times New Roman" w:cs="Times New Roman"/>
          <w:szCs w:val="24"/>
        </w:rPr>
        <w:t>设置</w:t>
      </w:r>
      <w:r>
        <w:rPr>
          <w:rFonts w:ascii="Times New Roman" w:hAnsi="Times New Roman" w:cs="Times New Roman"/>
          <w:szCs w:val="24"/>
        </w:rPr>
        <w:t>15</w:t>
      </w:r>
      <w:r>
        <w:rPr>
          <w:rFonts w:hint="eastAsia" w:ascii="Times New Roman" w:hAnsi="Times New Roman" w:cs="Times New Roman"/>
          <w:szCs w:val="24"/>
        </w:rPr>
        <w:t>分</w:t>
      </w:r>
      <w:r>
        <w:rPr>
          <w:rFonts w:ascii="Times New Roman" w:hAnsi="Times New Roman" w:cs="Times New Roman"/>
          <w:szCs w:val="24"/>
        </w:rPr>
        <w:t>、装修</w:t>
      </w:r>
      <w:r>
        <w:rPr>
          <w:rFonts w:hint="eastAsia" w:ascii="Times New Roman" w:hAnsi="Times New Roman" w:cs="Times New Roman"/>
          <w:szCs w:val="24"/>
        </w:rPr>
        <w:t>指标设置25分</w:t>
      </w:r>
      <w:r>
        <w:rPr>
          <w:rFonts w:ascii="Times New Roman" w:hAnsi="Times New Roman" w:cs="Times New Roman"/>
          <w:szCs w:val="24"/>
        </w:rPr>
        <w:t>、其他指标</w:t>
      </w:r>
      <w:r>
        <w:rPr>
          <w:rFonts w:hint="eastAsia" w:ascii="Times New Roman" w:hAnsi="Times New Roman" w:cs="Times New Roman"/>
          <w:szCs w:val="24"/>
        </w:rPr>
        <w:t>设置</w:t>
      </w:r>
      <w:r>
        <w:rPr>
          <w:rFonts w:ascii="Times New Roman" w:hAnsi="Times New Roman" w:cs="Times New Roman"/>
          <w:szCs w:val="24"/>
        </w:rPr>
        <w:t>30</w:t>
      </w:r>
      <w:r>
        <w:rPr>
          <w:rFonts w:hint="eastAsia" w:ascii="Times New Roman" w:hAnsi="Times New Roman" w:cs="Times New Roman"/>
          <w:szCs w:val="24"/>
        </w:rPr>
        <w:t>分</w:t>
      </w:r>
      <w:r>
        <w:rPr>
          <w:rFonts w:ascii="Times New Roman" w:hAnsi="Times New Roman" w:cs="Times New Roman"/>
          <w:szCs w:val="24"/>
        </w:rPr>
        <w:t>。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</w:t>
      </w:r>
      <w:r>
        <w:rPr>
          <w:rFonts w:hint="eastAsia" w:ascii="Times New Roman" w:hAnsi="Times New Roman" w:cs="Times New Roman"/>
          <w:szCs w:val="24"/>
        </w:rPr>
        <w:t>核算指标实际得</w:t>
      </w:r>
      <w:r>
        <w:rPr>
          <w:rFonts w:ascii="Times New Roman" w:hAnsi="Times New Roman" w:cs="Times New Roman"/>
          <w:szCs w:val="24"/>
        </w:rPr>
        <w:t>分值</w:t>
      </w:r>
      <w:r>
        <w:rPr>
          <w:rFonts w:hint="eastAsia" w:ascii="Times New Roman" w:hAnsi="Times New Roman" w:cs="Times New Roman"/>
          <w:szCs w:val="24"/>
        </w:rPr>
        <w:t>按本《</w:t>
      </w:r>
      <w:r>
        <w:rPr>
          <w:rFonts w:ascii="Times New Roman" w:hAnsi="Times New Roman" w:cs="Times New Roman"/>
          <w:szCs w:val="24"/>
        </w:rPr>
        <w:t>技术</w:t>
      </w:r>
      <w:r>
        <w:rPr>
          <w:rFonts w:hint="eastAsia" w:ascii="Times New Roman" w:hAnsi="Times New Roman" w:cs="Times New Roman"/>
          <w:szCs w:val="24"/>
        </w:rPr>
        <w:t>细则》</w:t>
      </w:r>
      <w:r>
        <w:rPr>
          <w:rFonts w:ascii="Times New Roman" w:hAnsi="Times New Roman" w:cs="Times New Roman"/>
          <w:szCs w:val="24"/>
        </w:rPr>
        <w:t>第3</w:t>
      </w:r>
      <w:r>
        <w:rPr>
          <w:rFonts w:hint="eastAsia" w:ascii="Times New Roman" w:hAnsi="Times New Roman" w:cs="Times New Roman"/>
          <w:szCs w:val="24"/>
        </w:rPr>
        <w:t>章核算</w:t>
      </w:r>
      <w:r>
        <w:rPr>
          <w:rFonts w:ascii="Times New Roman" w:hAnsi="Times New Roman" w:cs="Times New Roman"/>
          <w:szCs w:val="24"/>
        </w:rPr>
        <w:t>方法</w:t>
      </w:r>
      <w:r>
        <w:rPr>
          <w:rFonts w:hint="eastAsia" w:ascii="Times New Roman" w:hAnsi="Times New Roman" w:cs="Times New Roman"/>
          <w:szCs w:val="24"/>
        </w:rPr>
        <w:t>的</w:t>
      </w:r>
      <w:r>
        <w:rPr>
          <w:rFonts w:ascii="Times New Roman" w:hAnsi="Times New Roman" w:cs="Times New Roman"/>
          <w:szCs w:val="24"/>
        </w:rPr>
        <w:t>相关要求</w:t>
      </w:r>
      <w:r>
        <w:rPr>
          <w:rFonts w:hint="eastAsia" w:ascii="Times New Roman" w:hAnsi="Times New Roman" w:cs="Times New Roman"/>
          <w:szCs w:val="24"/>
        </w:rPr>
        <w:t>经计算确定。</w:t>
      </w:r>
    </w:p>
    <w:p>
      <w:pPr>
        <w:jc w:val="left"/>
        <w:rPr>
          <w:rFonts w:cs="Times New Roman"/>
          <w:szCs w:val="24"/>
        </w:rPr>
      </w:pPr>
    </w:p>
    <w:p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hint="eastAsia" w:ascii="Times New Roman" w:hAnsi="Times New Roman" w:cs="Times New Roman"/>
          <w:b/>
          <w:szCs w:val="24"/>
        </w:rPr>
        <w:t>核算方法</w:t>
      </w:r>
    </w:p>
    <w:p>
      <w:pPr>
        <w:jc w:val="center"/>
        <w:rPr>
          <w:rFonts w:ascii="Times New Roman" w:hAnsi="Times New Roman" w:cs="Times New Roman"/>
          <w:b/>
          <w:szCs w:val="24"/>
        </w:rPr>
      </w:pPr>
    </w:p>
    <w:p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b/>
          <w:szCs w:val="24"/>
        </w:rPr>
        <w:t>.</w:t>
      </w:r>
      <w:r>
        <w:rPr>
          <w:rFonts w:ascii="Times New Roman" w:hAnsi="Times New Roman" w:cs="Times New Roman"/>
          <w:b/>
          <w:szCs w:val="24"/>
        </w:rPr>
        <w:t>0.1</w:t>
      </w:r>
      <w:r>
        <w:rPr>
          <w:rFonts w:hint="eastAsia" w:ascii="Times New Roman" w:hAnsi="Times New Roman" w:cs="Times New Roman"/>
          <w:b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建筑</w:t>
      </w:r>
      <w:r>
        <w:rPr>
          <w:rFonts w:ascii="Times New Roman" w:hAnsi="Times New Roman" w:cs="Times New Roman"/>
          <w:szCs w:val="24"/>
        </w:rPr>
        <w:t>工程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</w:t>
      </w:r>
      <w:r>
        <w:rPr>
          <w:rFonts w:hint="eastAsia" w:ascii="Times New Roman" w:hAnsi="Times New Roman" w:cs="Times New Roman"/>
          <w:szCs w:val="24"/>
        </w:rPr>
        <w:t>应</w:t>
      </w:r>
      <w:r>
        <w:rPr>
          <w:rFonts w:ascii="Times New Roman" w:hAnsi="Times New Roman" w:cs="Times New Roman"/>
          <w:szCs w:val="24"/>
        </w:rPr>
        <w:t>按</w:t>
      </w:r>
      <w:r>
        <w:rPr>
          <w:rFonts w:hint="eastAsia" w:ascii="Times New Roman" w:hAnsi="Times New Roman" w:cs="Times New Roman"/>
          <w:szCs w:val="24"/>
        </w:rPr>
        <w:t>下</w:t>
      </w:r>
      <w:r>
        <w:rPr>
          <w:rFonts w:ascii="Times New Roman" w:hAnsi="Times New Roman" w:cs="Times New Roman"/>
          <w:szCs w:val="24"/>
        </w:rPr>
        <w:t>式进行计算：</w:t>
      </w:r>
    </w:p>
    <w:p>
      <w:pPr>
        <w:wordWrap w:val="0"/>
        <w:ind w:firstLine="480" w:firstLineChars="200"/>
        <w:jc w:val="right"/>
        <w:rPr>
          <w:rFonts w:ascii="Times New Roman" w:hAnsi="Times New Roman" w:eastAsia="黑体" w:cs="Times New Roman"/>
          <w:szCs w:val="24"/>
        </w:rPr>
      </w:pPr>
      <w:r>
        <w:rPr>
          <w:rFonts w:hint="eastAsia" w:ascii="Times New Roman" w:hAnsi="Times New Roman" w:eastAsia="黑体" w:cs="Times New Roman"/>
          <w:szCs w:val="24"/>
        </w:rPr>
        <w:t>P=</w:t>
      </w:r>
      <w:r>
        <w:rPr>
          <w:rFonts w:ascii="Times New Roman" w:hAnsi="Times New Roman" w:eastAsia="黑体" w:cs="Times New Roman"/>
          <w:szCs w:val="24"/>
        </w:rPr>
        <w:t>[</w:t>
      </w:r>
      <w:r>
        <w:rPr>
          <w:rFonts w:hint="eastAsia" w:ascii="Times New Roman" w:hAnsi="Times New Roman" w:eastAsia="黑体" w:cs="Times New Roman"/>
          <w:szCs w:val="24"/>
        </w:rPr>
        <w:t>(</w:t>
      </w:r>
      <w:r>
        <w:rPr>
          <w:rFonts w:ascii="Times New Roman" w:hAnsi="Times New Roman" w:eastAsia="黑体" w:cs="Times New Roman"/>
          <w:szCs w:val="24"/>
        </w:rPr>
        <w:t>S</w:t>
      </w:r>
      <w:r>
        <w:rPr>
          <w:rFonts w:hint="eastAsia" w:ascii="Times New Roman" w:hAnsi="Times New Roman" w:eastAsia="黑体" w:cs="Times New Roman"/>
          <w:szCs w:val="24"/>
          <w:vertAlign w:val="subscript"/>
        </w:rPr>
        <w:t>1</w:t>
      </w:r>
      <w:r>
        <w:rPr>
          <w:rFonts w:hint="eastAsia" w:ascii="Times New Roman" w:hAnsi="Times New Roman" w:eastAsia="黑体" w:cs="Times New Roman"/>
          <w:szCs w:val="24"/>
        </w:rPr>
        <w:t>+</w:t>
      </w:r>
      <w:r>
        <w:rPr>
          <w:rFonts w:ascii="Times New Roman" w:hAnsi="Times New Roman" w:eastAsia="黑体" w:cs="Times New Roman"/>
          <w:szCs w:val="24"/>
        </w:rPr>
        <w:t>S</w:t>
      </w:r>
      <w:r>
        <w:rPr>
          <w:rFonts w:hint="eastAsia" w:ascii="Times New Roman" w:hAnsi="Times New Roman" w:eastAsia="黑体" w:cs="Times New Roman"/>
          <w:szCs w:val="24"/>
          <w:vertAlign w:val="subscript"/>
        </w:rPr>
        <w:t>2</w:t>
      </w:r>
      <w:r>
        <w:rPr>
          <w:rFonts w:hint="eastAsia" w:ascii="Times New Roman" w:hAnsi="Times New Roman" w:eastAsia="黑体" w:cs="Times New Roman"/>
          <w:szCs w:val="24"/>
        </w:rPr>
        <w:t>+</w:t>
      </w:r>
      <w:r>
        <w:rPr>
          <w:rFonts w:ascii="Times New Roman" w:hAnsi="Times New Roman" w:eastAsia="黑体" w:cs="Times New Roman"/>
          <w:szCs w:val="24"/>
        </w:rPr>
        <w:t>S</w:t>
      </w:r>
      <w:r>
        <w:rPr>
          <w:rFonts w:hint="eastAsia" w:ascii="Times New Roman" w:hAnsi="Times New Roman" w:eastAsia="黑体" w:cs="Times New Roman"/>
          <w:szCs w:val="24"/>
          <w:vertAlign w:val="subscript"/>
        </w:rPr>
        <w:t>3</w:t>
      </w:r>
      <w:r>
        <w:rPr>
          <w:rFonts w:hint="eastAsia" w:ascii="Times New Roman" w:hAnsi="Times New Roman" w:eastAsia="黑体" w:cs="Times New Roman"/>
          <w:szCs w:val="24"/>
        </w:rPr>
        <w:t>+</w:t>
      </w:r>
      <w:r>
        <w:rPr>
          <w:rFonts w:ascii="Times New Roman" w:hAnsi="Times New Roman" w:eastAsia="黑体" w:cs="Times New Roman"/>
          <w:szCs w:val="24"/>
        </w:rPr>
        <w:t>S</w:t>
      </w:r>
      <w:r>
        <w:rPr>
          <w:rFonts w:hint="eastAsia" w:ascii="Times New Roman" w:hAnsi="Times New Roman" w:eastAsia="黑体" w:cs="Times New Roman"/>
          <w:szCs w:val="24"/>
          <w:vertAlign w:val="subscript"/>
        </w:rPr>
        <w:t>4</w:t>
      </w:r>
      <w:r>
        <w:rPr>
          <w:rFonts w:hint="eastAsia" w:ascii="Times New Roman" w:hAnsi="Times New Roman" w:eastAsia="黑体" w:cs="Times New Roman"/>
          <w:szCs w:val="24"/>
        </w:rPr>
        <w:t>)/100</w:t>
      </w:r>
      <w:r>
        <w:rPr>
          <w:rFonts w:ascii="Times New Roman" w:hAnsi="Times New Roman" w:eastAsia="黑体" w:cs="Times New Roman"/>
          <w:szCs w:val="24"/>
        </w:rPr>
        <w:t>]</w:t>
      </w:r>
      <w:r>
        <w:rPr>
          <w:rFonts w:hint="eastAsia" w:ascii="Times New Roman" w:hAnsi="Times New Roman" w:eastAsia="黑体" w:cs="Times New Roman"/>
          <w:szCs w:val="24"/>
        </w:rPr>
        <w:t xml:space="preserve">×100%   </w:t>
      </w:r>
      <w:r>
        <w:rPr>
          <w:rFonts w:ascii="Times New Roman" w:hAnsi="Times New Roman" w:eastAsia="黑体" w:cs="Times New Roman"/>
          <w:szCs w:val="24"/>
        </w:rPr>
        <w:t xml:space="preserve">          </w:t>
      </w:r>
      <w:r>
        <w:rPr>
          <w:rFonts w:hint="eastAsia" w:ascii="Times New Roman" w:hAnsi="Times New Roman" w:eastAsia="黑体" w:cs="Times New Roman"/>
          <w:szCs w:val="24"/>
        </w:rPr>
        <w:t xml:space="preserve">  （</w:t>
      </w:r>
      <w:r>
        <w:rPr>
          <w:rFonts w:ascii="Times New Roman" w:hAnsi="Times New Roman" w:eastAsia="黑体" w:cs="Times New Roman"/>
          <w:szCs w:val="24"/>
        </w:rPr>
        <w:t>3</w:t>
      </w:r>
      <w:r>
        <w:rPr>
          <w:rFonts w:hint="eastAsia" w:ascii="Times New Roman" w:hAnsi="Times New Roman" w:eastAsia="黑体" w:cs="Times New Roman"/>
          <w:szCs w:val="24"/>
        </w:rPr>
        <w:t>.</w:t>
      </w:r>
      <w:r>
        <w:rPr>
          <w:rFonts w:ascii="Times New Roman" w:hAnsi="Times New Roman" w:eastAsia="黑体" w:cs="Times New Roman"/>
          <w:szCs w:val="24"/>
        </w:rPr>
        <w:t>0.1</w:t>
      </w:r>
      <w:r>
        <w:rPr>
          <w:rFonts w:hint="eastAsia" w:ascii="Times New Roman" w:hAnsi="Times New Roman" w:eastAsia="黑体" w:cs="Times New Roman"/>
          <w:szCs w:val="24"/>
        </w:rPr>
        <w:t>）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式中：P-绿色建材应用比例；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</w:t>
      </w:r>
      <w:r>
        <w:rPr>
          <w:rFonts w:ascii="Times New Roman" w:hAnsi="Times New Roman" w:cs="Times New Roman"/>
          <w:szCs w:val="24"/>
        </w:rPr>
        <w:t xml:space="preserve">   S</w:t>
      </w:r>
      <w:r>
        <w:rPr>
          <w:rFonts w:hint="eastAsia" w:ascii="Times New Roman" w:hAnsi="Times New Roman" w:cs="Times New Roman"/>
          <w:szCs w:val="24"/>
          <w:vertAlign w:val="subscript"/>
        </w:rPr>
        <w:t>1</w:t>
      </w:r>
      <w:r>
        <w:rPr>
          <w:rFonts w:hint="eastAsia" w:ascii="Times New Roman" w:hAnsi="Times New Roman" w:cs="Times New Roman"/>
          <w:szCs w:val="24"/>
        </w:rPr>
        <w:t>-主体结构材料指标实际得分值；</w:t>
      </w:r>
    </w:p>
    <w:p>
      <w:pPr>
        <w:ind w:firstLine="1080" w:firstLineChars="4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2</w:t>
      </w:r>
      <w:r>
        <w:rPr>
          <w:rFonts w:hint="eastAsia" w:ascii="Times New Roman" w:hAnsi="Times New Roman" w:cs="Times New Roman"/>
          <w:szCs w:val="24"/>
        </w:rPr>
        <w:t>-围护墙和内隔墙指标实际得分值；</w:t>
      </w:r>
    </w:p>
    <w:p>
      <w:pPr>
        <w:ind w:firstLine="1080" w:firstLineChars="4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</w:t>
      </w:r>
      <w:r>
        <w:rPr>
          <w:rFonts w:hint="eastAsia" w:ascii="Times New Roman" w:hAnsi="Times New Roman" w:cs="Times New Roman"/>
          <w:szCs w:val="24"/>
        </w:rPr>
        <w:t>-装修指标实际得分值；</w:t>
      </w:r>
    </w:p>
    <w:p>
      <w:pPr>
        <w:ind w:firstLine="1080" w:firstLineChars="4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4</w:t>
      </w:r>
      <w:r>
        <w:rPr>
          <w:rFonts w:hint="eastAsia" w:ascii="Times New Roman" w:hAnsi="Times New Roman" w:cs="Times New Roman"/>
          <w:szCs w:val="24"/>
        </w:rPr>
        <w:t>-其他指标实际得分值。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注：某类材料如尚未纳入重庆市绿色建材采信应用数据库，则在式中分母的“100”中扣除设定的相应指标分值后计算，扣除分值不应超过</w:t>
      </w:r>
      <w:r>
        <w:rPr>
          <w:rFonts w:ascii="Times New Roman" w:hAnsi="Times New Roman" w:cs="Times New Roman"/>
          <w:szCs w:val="24"/>
        </w:rPr>
        <w:t>25</w:t>
      </w:r>
      <w:r>
        <w:rPr>
          <w:rFonts w:hint="eastAsia" w:ascii="Times New Roman" w:hAnsi="Times New Roman" w:cs="Times New Roman"/>
          <w:szCs w:val="24"/>
        </w:rPr>
        <w:t>分。</w:t>
      </w:r>
    </w:p>
    <w:p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b/>
          <w:szCs w:val="24"/>
        </w:rPr>
        <w:t xml:space="preserve">.0.2 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</w:t>
      </w:r>
      <w:r>
        <w:rPr>
          <w:rFonts w:hint="eastAsia" w:ascii="Times New Roman" w:hAnsi="Times New Roman" w:cs="Times New Roman"/>
          <w:szCs w:val="24"/>
        </w:rPr>
        <w:t>各项核算</w:t>
      </w:r>
      <w:r>
        <w:rPr>
          <w:rFonts w:ascii="Times New Roman" w:hAnsi="Times New Roman" w:cs="Times New Roman"/>
          <w:szCs w:val="24"/>
        </w:rPr>
        <w:t>指标</w:t>
      </w:r>
      <w:r>
        <w:rPr>
          <w:rFonts w:hint="eastAsia" w:ascii="Times New Roman" w:hAnsi="Times New Roman" w:cs="Times New Roman"/>
          <w:szCs w:val="24"/>
        </w:rPr>
        <w:t>的</w:t>
      </w:r>
      <w:r>
        <w:rPr>
          <w:rFonts w:ascii="Times New Roman" w:hAnsi="Times New Roman" w:cs="Times New Roman"/>
          <w:szCs w:val="24"/>
        </w:rPr>
        <w:t>实际得分值</w:t>
      </w:r>
      <w:r>
        <w:rPr>
          <w:rFonts w:hint="eastAsia" w:ascii="Times New Roman" w:hAnsi="Times New Roman" w:cs="Times New Roman"/>
          <w:szCs w:val="24"/>
        </w:rPr>
        <w:t>计算应</w:t>
      </w:r>
      <w:r>
        <w:rPr>
          <w:rFonts w:ascii="Times New Roman" w:hAnsi="Times New Roman" w:cs="Times New Roman"/>
          <w:szCs w:val="24"/>
        </w:rPr>
        <w:t>按表3</w:t>
      </w:r>
      <w:r>
        <w:rPr>
          <w:rFonts w:hint="eastAsia" w:ascii="Times New Roman" w:hAnsi="Times New Roman" w:cs="Times New Roman"/>
          <w:szCs w:val="24"/>
        </w:rPr>
        <w:t>.0.2相关要求</w:t>
      </w:r>
      <w:r>
        <w:rPr>
          <w:rFonts w:ascii="Times New Roman" w:hAnsi="Times New Roman" w:cs="Times New Roman"/>
          <w:szCs w:val="24"/>
        </w:rPr>
        <w:t>进行。</w:t>
      </w:r>
    </w:p>
    <w:p>
      <w:p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hint="eastAsia" w:ascii="Times New Roman" w:hAnsi="Times New Roman" w:cs="Times New Roman"/>
          <w:b/>
          <w:sz w:val="21"/>
          <w:szCs w:val="21"/>
        </w:rPr>
        <w:t>表</w:t>
      </w:r>
      <w:r>
        <w:rPr>
          <w:rFonts w:ascii="Times New Roman" w:hAnsi="Times New Roman" w:cs="Times New Roman"/>
          <w:b/>
          <w:sz w:val="21"/>
          <w:szCs w:val="21"/>
        </w:rPr>
        <w:t>3</w:t>
      </w:r>
      <w:r>
        <w:rPr>
          <w:rFonts w:hint="eastAsia" w:ascii="Times New Roman" w:hAnsi="Times New Roman" w:cs="Times New Roman"/>
          <w:b/>
          <w:sz w:val="21"/>
          <w:szCs w:val="21"/>
        </w:rPr>
        <w:t>.0.2  绿色</w:t>
      </w:r>
      <w:r>
        <w:rPr>
          <w:rFonts w:ascii="Times New Roman" w:hAnsi="Times New Roman" w:cs="Times New Roman"/>
          <w:b/>
          <w:sz w:val="21"/>
          <w:szCs w:val="21"/>
        </w:rPr>
        <w:t>建材应用比例</w:t>
      </w:r>
      <w:r>
        <w:rPr>
          <w:rFonts w:hint="eastAsia" w:ascii="Times New Roman" w:hAnsi="Times New Roman" w:cs="Times New Roman"/>
          <w:b/>
          <w:sz w:val="21"/>
          <w:szCs w:val="21"/>
        </w:rPr>
        <w:t>核算</w:t>
      </w:r>
      <w:r>
        <w:rPr>
          <w:rFonts w:ascii="Times New Roman" w:hAnsi="Times New Roman" w:cs="Times New Roman"/>
          <w:b/>
          <w:sz w:val="21"/>
          <w:szCs w:val="21"/>
        </w:rPr>
        <w:t>要求</w:t>
      </w:r>
    </w:p>
    <w:tbl>
      <w:tblPr>
        <w:tblStyle w:val="12"/>
        <w:tblW w:w="851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3260"/>
        <w:gridCol w:w="1658"/>
        <w:gridCol w:w="1090"/>
        <w:gridCol w:w="110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63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cs="Times New Roman"/>
                <w:sz w:val="21"/>
                <w:szCs w:val="21"/>
              </w:rPr>
              <w:t>评估</w:t>
            </w:r>
            <w:r>
              <w:rPr>
                <w:rFonts w:cs="Times New Roman"/>
                <w:sz w:val="21"/>
                <w:szCs w:val="21"/>
              </w:rPr>
              <w:t>指标</w:t>
            </w:r>
          </w:p>
        </w:tc>
        <w:tc>
          <w:tcPr>
            <w:tcW w:w="1658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技术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要求</w:t>
            </w:r>
          </w:p>
        </w:tc>
        <w:tc>
          <w:tcPr>
            <w:tcW w:w="1090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计量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单位</w:t>
            </w:r>
          </w:p>
        </w:tc>
        <w:tc>
          <w:tcPr>
            <w:tcW w:w="1108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分值设定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Align w:val="center"/>
          </w:tcPr>
          <w:p>
            <w:pPr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一级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指标</w:t>
            </w:r>
          </w:p>
        </w:tc>
        <w:tc>
          <w:tcPr>
            <w:tcW w:w="3260" w:type="dxa"/>
            <w:vAlign w:val="center"/>
          </w:tcPr>
          <w:p>
            <w:pPr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二级指标</w:t>
            </w:r>
          </w:p>
        </w:tc>
        <w:tc>
          <w:tcPr>
            <w:tcW w:w="1658" w:type="dxa"/>
            <w:vMerge w:val="continue"/>
            <w:vAlign w:val="center"/>
          </w:tcPr>
          <w:p>
            <w:pPr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090" w:type="dxa"/>
            <w:vMerge w:val="continue"/>
            <w:vAlign w:val="center"/>
          </w:tcPr>
          <w:p>
            <w:pPr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  <w:tc>
          <w:tcPr>
            <w:tcW w:w="1108" w:type="dxa"/>
            <w:vMerge w:val="continue"/>
            <w:vAlign w:val="center"/>
          </w:tcPr>
          <w:p>
            <w:pPr>
              <w:jc w:val="center"/>
              <w:rPr>
                <w:rFonts w:cs="Times New Roman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restar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主体结构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（S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subscript"/>
              </w:rPr>
              <w:t>1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）</w:t>
            </w: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预拌混凝土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80%≤P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S1a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≤100%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m³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10～20</w:t>
            </w:r>
            <w:r>
              <w:rPr>
                <w:rFonts w:hint="eastAsia" w:ascii="Times New Roman" w:hAnsi="Times New Roman" w:cs="Times New Roman"/>
                <w:szCs w:val="21"/>
              </w:rPr>
              <w:t>*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预拌砂浆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50%≤P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S1b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≤100%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m³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5～10</w:t>
            </w:r>
            <w:r>
              <w:rPr>
                <w:rFonts w:hint="eastAsia" w:ascii="Times New Roman" w:hAnsi="Times New Roman" w:cs="Times New Roman"/>
                <w:szCs w:val="21"/>
              </w:rPr>
              <w:t>*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restar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围护墙和内隔墙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（S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）</w:t>
            </w: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非承重围护墙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S2a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m³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内隔墙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S2b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m³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restar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ind w:firstLine="210" w:firstLineChars="10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装修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（S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subscript"/>
              </w:rPr>
              <w:t>3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）</w:t>
            </w: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外墙装饰面层涂料、面砖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、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非玻璃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幕墙板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等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S3a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5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内墙装饰面层涂料、面砖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、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壁纸等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S3b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室内顶棚装饰面层涂料、吊顶等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S3c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室内地面装饰面层木地板、面砖等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S3d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门窗、玻璃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S3e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dstrike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restar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其他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（S</w:t>
            </w:r>
            <w:r>
              <w:rPr>
                <w:rFonts w:hint="eastAsia" w:ascii="Times New Roman" w:hAnsi="Times New Roman" w:cs="Times New Roman"/>
                <w:sz w:val="21"/>
                <w:szCs w:val="21"/>
                <w:vertAlign w:val="subscript"/>
              </w:rPr>
              <w:t>4</w:t>
            </w:r>
            <w:r>
              <w:rPr>
                <w:rFonts w:hint="eastAsia" w:ascii="Times New Roman" w:hAnsi="Times New Roman" w:cs="Times New Roman"/>
                <w:sz w:val="21"/>
                <w:szCs w:val="21"/>
              </w:rPr>
              <w:t>）</w:t>
            </w: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保温材料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80%≤P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S4a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≤100%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dstrike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5~10</w:t>
            </w:r>
            <w:r>
              <w:rPr>
                <w:rFonts w:hint="eastAsia" w:ascii="Times New Roman" w:hAnsi="Times New Roman" w:cs="Times New Roman"/>
                <w:szCs w:val="21"/>
              </w:rPr>
              <w:t>*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卫生洁具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S4b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具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防水材料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S4c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m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密封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材料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S4d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kg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1403" w:type="dxa"/>
            <w:vMerge w:val="continue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6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其他</w:t>
            </w:r>
          </w:p>
        </w:tc>
        <w:tc>
          <w:tcPr>
            <w:tcW w:w="165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S4e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≥80%</w:t>
            </w:r>
          </w:p>
        </w:tc>
        <w:tc>
          <w:tcPr>
            <w:tcW w:w="1090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  <w:highlight w:val="cya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</w:rPr>
              <w:t>—</w:t>
            </w:r>
          </w:p>
        </w:tc>
        <w:tc>
          <w:tcPr>
            <w:tcW w:w="1108" w:type="dxa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</w:tr>
    </w:tbl>
    <w:p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注：表中带“</w:t>
      </w:r>
      <w:r>
        <w:rPr>
          <w:rFonts w:hint="eastAsia" w:ascii="Times New Roman" w:hAnsi="Times New Roman" w:cs="Times New Roman"/>
          <w:sz w:val="21"/>
          <w:szCs w:val="21"/>
        </w:rPr>
        <w:t>*</w:t>
      </w:r>
      <w:r>
        <w:rPr>
          <w:rFonts w:ascii="Times New Roman" w:hAnsi="Times New Roman" w:cs="Times New Roman"/>
          <w:sz w:val="21"/>
          <w:szCs w:val="21"/>
        </w:rPr>
        <w:t>”项的分值采用“内插法”计算，计算结果取小数点后1位。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b/>
          <w:szCs w:val="24"/>
        </w:rPr>
        <w:t xml:space="preserve">.0.3 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建材应用比例核算时</w:t>
      </w:r>
      <w:r>
        <w:rPr>
          <w:rFonts w:hint="eastAsia" w:ascii="Times New Roman" w:hAnsi="Times New Roman" w:cs="Times New Roman"/>
          <w:szCs w:val="24"/>
        </w:rPr>
        <w:t>，</w:t>
      </w:r>
      <w:r>
        <w:rPr>
          <w:rFonts w:ascii="Times New Roman" w:hAnsi="Times New Roman" w:cs="Times New Roman"/>
          <w:szCs w:val="24"/>
        </w:rPr>
        <w:t>其各项二级指标材料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总量</w:t>
      </w:r>
      <w:r>
        <w:rPr>
          <w:rFonts w:hint="eastAsia" w:ascii="Times New Roman" w:hAnsi="Times New Roman" w:cs="Times New Roman"/>
          <w:szCs w:val="24"/>
        </w:rPr>
        <w:t>和</w:t>
      </w:r>
      <w:r>
        <w:rPr>
          <w:rFonts w:ascii="Times New Roman" w:hAnsi="Times New Roman" w:cs="Times New Roman"/>
          <w:szCs w:val="24"/>
        </w:rPr>
        <w:t>绿色建材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量应以</w:t>
      </w:r>
      <w:r>
        <w:rPr>
          <w:rFonts w:hint="eastAsia" w:ascii="Times New Roman" w:hAnsi="Times New Roman" w:cs="Times New Roman"/>
          <w:szCs w:val="24"/>
        </w:rPr>
        <w:t>项目竣工图</w:t>
      </w:r>
      <w:r>
        <w:rPr>
          <w:rFonts w:ascii="Times New Roman" w:hAnsi="Times New Roman" w:cs="Times New Roman"/>
          <w:szCs w:val="24"/>
        </w:rPr>
        <w:t>文件为</w:t>
      </w:r>
      <w:r>
        <w:rPr>
          <w:rFonts w:hint="eastAsia" w:ascii="Times New Roman" w:hAnsi="Times New Roman" w:cs="Times New Roman"/>
          <w:szCs w:val="24"/>
        </w:rPr>
        <w:t>依据编制</w:t>
      </w:r>
      <w:r>
        <w:rPr>
          <w:rFonts w:ascii="Times New Roman" w:hAnsi="Times New Roman" w:cs="Times New Roman"/>
          <w:szCs w:val="24"/>
        </w:rPr>
        <w:t>的</w:t>
      </w:r>
      <w:r>
        <w:rPr>
          <w:rFonts w:hint="eastAsia" w:ascii="Times New Roman" w:hAnsi="Times New Roman" w:cs="Times New Roman"/>
          <w:szCs w:val="24"/>
        </w:rPr>
        <w:t>决算清单</w:t>
      </w:r>
      <w:r>
        <w:rPr>
          <w:rFonts w:ascii="Times New Roman" w:hAnsi="Times New Roman" w:cs="Times New Roman"/>
          <w:szCs w:val="24"/>
        </w:rPr>
        <w:t>为</w:t>
      </w:r>
      <w:r>
        <w:rPr>
          <w:rFonts w:hint="eastAsia" w:ascii="Times New Roman" w:hAnsi="Times New Roman" w:cs="Times New Roman"/>
          <w:szCs w:val="24"/>
        </w:rPr>
        <w:t>准</w:t>
      </w:r>
      <w:r>
        <w:rPr>
          <w:rFonts w:ascii="Times New Roman" w:hAnsi="Times New Roman" w:cs="Times New Roman"/>
          <w:szCs w:val="24"/>
        </w:rPr>
        <w:t>。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3.0.4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建筑</w:t>
      </w:r>
      <w:r>
        <w:rPr>
          <w:rFonts w:ascii="Times New Roman" w:hAnsi="Times New Roman" w:cs="Times New Roman"/>
          <w:szCs w:val="24"/>
        </w:rPr>
        <w:t>材料</w:t>
      </w:r>
      <w:r>
        <w:rPr>
          <w:rFonts w:hint="eastAsia" w:ascii="Times New Roman" w:hAnsi="Times New Roman" w:cs="Times New Roman"/>
          <w:szCs w:val="24"/>
        </w:rPr>
        <w:t>判定</w:t>
      </w:r>
      <w:r>
        <w:rPr>
          <w:rFonts w:ascii="Times New Roman" w:hAnsi="Times New Roman" w:cs="Times New Roman"/>
          <w:szCs w:val="24"/>
        </w:rPr>
        <w:t>是否为绿色建材产品应以重庆市绿色建材采信数据库为依据</w:t>
      </w:r>
      <w:r>
        <w:rPr>
          <w:rFonts w:hint="eastAsia" w:ascii="Times New Roman" w:hAnsi="Times New Roman" w:cs="Times New Roman"/>
          <w:szCs w:val="24"/>
        </w:rPr>
        <w:t>。</w:t>
      </w:r>
    </w:p>
    <w:p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3.0.5</w:t>
      </w:r>
      <w:r>
        <w:rPr>
          <w:rFonts w:hint="eastAsia" w:ascii="Times New Roman" w:hAnsi="Times New Roman" w:cs="Times New Roman"/>
          <w:b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各项</w:t>
      </w:r>
      <w:r>
        <w:rPr>
          <w:rFonts w:ascii="Times New Roman" w:hAnsi="Times New Roman" w:cs="Times New Roman"/>
          <w:szCs w:val="24"/>
        </w:rPr>
        <w:t>二级指标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建材应用比例</w:t>
      </w:r>
      <w:r>
        <w:rPr>
          <w:rFonts w:hint="eastAsia" w:ascii="Times New Roman" w:hAnsi="Times New Roman" w:cs="Times New Roman"/>
          <w:szCs w:val="24"/>
        </w:rPr>
        <w:t>的核算</w:t>
      </w:r>
      <w:r>
        <w:rPr>
          <w:rFonts w:ascii="Times New Roman" w:hAnsi="Times New Roman" w:cs="Times New Roman"/>
          <w:szCs w:val="24"/>
        </w:rPr>
        <w:t>方法应</w:t>
      </w:r>
      <w:r>
        <w:rPr>
          <w:rFonts w:hint="eastAsia" w:ascii="Times New Roman" w:hAnsi="Times New Roman" w:cs="Times New Roman"/>
          <w:szCs w:val="24"/>
        </w:rPr>
        <w:t>按</w:t>
      </w:r>
      <w:r>
        <w:rPr>
          <w:rFonts w:ascii="Times New Roman" w:hAnsi="Times New Roman" w:cs="Times New Roman"/>
          <w:szCs w:val="24"/>
        </w:rPr>
        <w:t>下列要求：</w:t>
      </w:r>
    </w:p>
    <w:p>
      <w:pPr>
        <w:ind w:firstLine="482" w:firstLineChars="20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Cs w:val="24"/>
        </w:rPr>
        <w:t xml:space="preserve">1  </w:t>
      </w:r>
      <w:r>
        <w:rPr>
          <w:rFonts w:ascii="Times New Roman" w:hAnsi="Times New Roman" w:cs="Times New Roman"/>
          <w:szCs w:val="24"/>
        </w:rPr>
        <w:t>预拌混凝土绿色建材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比例应按下式计算：</w:t>
      </w:r>
    </w:p>
    <w:p>
      <w:pPr>
        <w:wordWrap w:val="0"/>
        <w:ind w:firstLine="56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Cs w:val="24"/>
        </w:rPr>
        <w:t xml:space="preserve"> P</w:t>
      </w:r>
      <w:r>
        <w:rPr>
          <w:rFonts w:ascii="Times New Roman" w:hAnsi="Times New Roman" w:cs="Times New Roman"/>
          <w:szCs w:val="24"/>
          <w:vertAlign w:val="subscript"/>
        </w:rPr>
        <w:t>S1a</w:t>
      </w:r>
      <w:r>
        <w:rPr>
          <w:rFonts w:ascii="Times New Roman" w:hAnsi="Times New Roman" w:cs="Times New Roman"/>
          <w:szCs w:val="24"/>
        </w:rPr>
        <w:t>=V</w:t>
      </w:r>
      <w:r>
        <w:rPr>
          <w:rFonts w:ascii="Times New Roman" w:hAnsi="Times New Roman" w:cs="Times New Roman"/>
          <w:szCs w:val="24"/>
          <w:vertAlign w:val="subscript"/>
        </w:rPr>
        <w:t>1a</w:t>
      </w:r>
      <w:r>
        <w:rPr>
          <w:rFonts w:ascii="Times New Roman" w:hAnsi="Times New Roman" w:cs="Times New Roman"/>
          <w:szCs w:val="24"/>
        </w:rPr>
        <w:t>/V×100%                  (3.0.5-1)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式中：P</w:t>
      </w:r>
      <w:r>
        <w:rPr>
          <w:rFonts w:ascii="Times New Roman" w:hAnsi="Times New Roman" w:cs="Times New Roman"/>
          <w:szCs w:val="24"/>
          <w:vertAlign w:val="subscript"/>
        </w:rPr>
        <w:t>S1a</w:t>
      </w:r>
      <w:r>
        <w:rPr>
          <w:rFonts w:ascii="Times New Roman" w:hAnsi="Times New Roman" w:cs="Times New Roman"/>
          <w:szCs w:val="24"/>
        </w:rPr>
        <w:t>-预拌混凝土绿色建材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比例；</w:t>
      </w:r>
    </w:p>
    <w:p>
      <w:pPr>
        <w:ind w:left="1320" w:leftChars="200" w:hanging="840" w:hangingChars="3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V</w:t>
      </w:r>
      <w:r>
        <w:rPr>
          <w:rFonts w:ascii="Times New Roman" w:hAnsi="Times New Roman" w:cs="Times New Roman"/>
          <w:szCs w:val="24"/>
          <w:vertAlign w:val="subscript"/>
        </w:rPr>
        <w:t>1a</w:t>
      </w:r>
      <w:r>
        <w:rPr>
          <w:rFonts w:ascii="Times New Roman" w:hAnsi="Times New Roman" w:cs="Times New Roman"/>
          <w:szCs w:val="24"/>
        </w:rPr>
        <w:t>-工程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预拌混凝土绿色建材的体积之和；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V</w:t>
      </w:r>
      <w:r>
        <w:rPr>
          <w:rFonts w:ascii="Times New Roman" w:hAnsi="Times New Roman" w:cs="Times New Roman"/>
          <w:szCs w:val="24"/>
          <w:vertAlign w:val="subscript"/>
        </w:rPr>
        <w:t>-</w:t>
      </w:r>
      <w:r>
        <w:rPr>
          <w:rFonts w:ascii="Times New Roman" w:hAnsi="Times New Roman" w:cs="Times New Roman"/>
          <w:szCs w:val="24"/>
        </w:rPr>
        <w:t>工程所有混凝土</w:t>
      </w:r>
      <w:r>
        <w:rPr>
          <w:rFonts w:hint="eastAsia" w:ascii="Times New Roman" w:hAnsi="Times New Roman" w:cs="Times New Roman"/>
          <w:szCs w:val="24"/>
        </w:rPr>
        <w:t>体积</w:t>
      </w:r>
      <w:r>
        <w:rPr>
          <w:rFonts w:ascii="Times New Roman" w:hAnsi="Times New Roman" w:cs="Times New Roman"/>
          <w:szCs w:val="24"/>
        </w:rPr>
        <w:t>之和。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2</w:t>
      </w:r>
      <w:r>
        <w:rPr>
          <w:rFonts w:hint="eastAsia" w:ascii="Times New Roman" w:hAnsi="Times New Roman" w:cs="Times New Roman"/>
          <w:b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预拌砂浆绿色建材应用比例应按下式计算：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1b</w:t>
      </w:r>
      <w:r>
        <w:rPr>
          <w:rFonts w:hint="eastAsia" w:ascii="Times New Roman" w:hAnsi="Times New Roman" w:cs="Times New Roman"/>
          <w:szCs w:val="24"/>
        </w:rPr>
        <w:t>=V</w:t>
      </w:r>
      <w:r>
        <w:rPr>
          <w:rFonts w:hint="eastAsia" w:ascii="Times New Roman" w:hAnsi="Times New Roman" w:cs="Times New Roman"/>
          <w:szCs w:val="24"/>
          <w:vertAlign w:val="subscript"/>
        </w:rPr>
        <w:t>1b</w:t>
      </w:r>
      <w:r>
        <w:rPr>
          <w:rFonts w:hint="eastAsia" w:ascii="Times New Roman" w:hAnsi="Times New Roman" w:cs="Times New Roman"/>
          <w:szCs w:val="24"/>
        </w:rPr>
        <w:t xml:space="preserve">/V×100%   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 xml:space="preserve">              (</w:t>
      </w:r>
      <w:r>
        <w:rPr>
          <w:rFonts w:ascii="Times New Roman" w:hAnsi="Times New Roman" w:cs="Times New Roman"/>
          <w:szCs w:val="24"/>
        </w:rPr>
        <w:t>3.0.5-2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1b</w:t>
      </w:r>
      <w:r>
        <w:rPr>
          <w:rFonts w:hint="eastAsia" w:ascii="Times New Roman" w:hAnsi="Times New Roman" w:cs="Times New Roman"/>
          <w:szCs w:val="24"/>
        </w:rPr>
        <w:t>-预拌砂浆绿色建材应用比例；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V</w:t>
      </w:r>
      <w:r>
        <w:rPr>
          <w:rFonts w:hint="eastAsia" w:ascii="Times New Roman" w:hAnsi="Times New Roman" w:cs="Times New Roman"/>
          <w:szCs w:val="24"/>
          <w:vertAlign w:val="subscript"/>
        </w:rPr>
        <w:t>1b</w:t>
      </w:r>
      <w:r>
        <w:rPr>
          <w:rFonts w:hint="eastAsia" w:ascii="Times New Roman" w:hAnsi="Times New Roman" w:cs="Times New Roman"/>
          <w:szCs w:val="24"/>
        </w:rPr>
        <w:t>-工程应用预拌砂浆绿色建材的体积之和，；</w:t>
      </w:r>
    </w:p>
    <w:p>
      <w:pPr>
        <w:ind w:firstLine="1200" w:firstLineChars="5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V-工程所有砂浆体积之和。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注：干混</w:t>
      </w:r>
      <w:r>
        <w:rPr>
          <w:rFonts w:ascii="Times New Roman" w:hAnsi="Times New Roman" w:cs="Times New Roman"/>
          <w:szCs w:val="21"/>
        </w:rPr>
        <w:t>砂浆</w:t>
      </w:r>
      <w:r>
        <w:rPr>
          <w:rFonts w:hint="eastAsia" w:ascii="Times New Roman" w:hAnsi="Times New Roman" w:cs="Times New Roman"/>
          <w:szCs w:val="21"/>
        </w:rPr>
        <w:t>以</w:t>
      </w:r>
      <w:r>
        <w:rPr>
          <w:rFonts w:ascii="Times New Roman" w:hAnsi="Times New Roman" w:cs="Times New Roman"/>
          <w:szCs w:val="21"/>
        </w:rPr>
        <w:t>kg</w:t>
      </w:r>
      <w:r>
        <w:rPr>
          <w:rFonts w:hint="eastAsia" w:ascii="Times New Roman" w:hAnsi="Times New Roman" w:cs="Times New Roman"/>
          <w:szCs w:val="21"/>
        </w:rPr>
        <w:t>或t</w:t>
      </w:r>
      <w:r>
        <w:rPr>
          <w:rFonts w:ascii="Times New Roman" w:hAnsi="Times New Roman" w:cs="Times New Roman"/>
          <w:szCs w:val="21"/>
        </w:rPr>
        <w:t>计量</w:t>
      </w:r>
      <w:r>
        <w:rPr>
          <w:rFonts w:hint="eastAsia" w:ascii="Times New Roman" w:hAnsi="Times New Roman" w:cs="Times New Roman"/>
          <w:szCs w:val="21"/>
        </w:rPr>
        <w:t>时</w:t>
      </w:r>
      <w:r>
        <w:rPr>
          <w:rFonts w:ascii="Times New Roman" w:hAnsi="Times New Roman" w:cs="Times New Roman"/>
          <w:szCs w:val="21"/>
        </w:rPr>
        <w:t>，应按</w:t>
      </w:r>
      <w:r>
        <w:rPr>
          <w:rFonts w:hint="eastAsia" w:ascii="Times New Roman" w:hAnsi="Times New Roman" w:cs="Times New Roman"/>
          <w:szCs w:val="21"/>
        </w:rPr>
        <w:t>产品</w:t>
      </w:r>
      <w:r>
        <w:rPr>
          <w:rFonts w:ascii="Times New Roman" w:hAnsi="Times New Roman" w:cs="Times New Roman"/>
          <w:szCs w:val="21"/>
        </w:rPr>
        <w:t>使用说明要求</w:t>
      </w:r>
      <w:r>
        <w:rPr>
          <w:rFonts w:hint="eastAsia" w:ascii="Times New Roman" w:hAnsi="Times New Roman" w:cs="Times New Roman"/>
          <w:szCs w:val="21"/>
        </w:rPr>
        <w:t>统一换算为</w:t>
      </w:r>
      <w:r>
        <w:rPr>
          <w:rFonts w:ascii="Times New Roman" w:hAnsi="Times New Roman" w:cs="Times New Roman"/>
          <w:szCs w:val="21"/>
        </w:rPr>
        <w:t>体积。</w:t>
      </w:r>
    </w:p>
    <w:p>
      <w:pPr>
        <w:ind w:firstLine="602" w:firstLineChars="2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3  </w:t>
      </w:r>
      <w:r>
        <w:rPr>
          <w:rFonts w:hint="eastAsia" w:ascii="Times New Roman" w:hAnsi="Times New Roman" w:cs="Times New Roman"/>
          <w:szCs w:val="24"/>
        </w:rPr>
        <w:t>非承重围护墙绿色建材应用比例应按下式计算：</w:t>
      </w:r>
    </w:p>
    <w:p>
      <w:pPr>
        <w:ind w:firstLine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P</w:t>
      </w:r>
      <w:r>
        <w:rPr>
          <w:rFonts w:ascii="Times New Roman" w:hAnsi="Times New Roman" w:cs="Times New Roman"/>
          <w:szCs w:val="24"/>
          <w:vertAlign w:val="subscript"/>
        </w:rPr>
        <w:t>S2a</w:t>
      </w:r>
      <w:r>
        <w:rPr>
          <w:rFonts w:ascii="Times New Roman" w:hAnsi="Times New Roman" w:cs="Times New Roman"/>
          <w:szCs w:val="24"/>
        </w:rPr>
        <w:t>=V</w:t>
      </w:r>
      <w:r>
        <w:rPr>
          <w:rFonts w:ascii="Times New Roman" w:hAnsi="Times New Roman" w:cs="Times New Roman"/>
          <w:szCs w:val="24"/>
          <w:vertAlign w:val="subscript"/>
        </w:rPr>
        <w:t>2a</w:t>
      </w:r>
      <w:r>
        <w:rPr>
          <w:rFonts w:ascii="Times New Roman" w:hAnsi="Times New Roman" w:cs="Times New Roman"/>
          <w:szCs w:val="24"/>
        </w:rPr>
        <w:t>/V×100%                   (3.0.5-3)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2a</w:t>
      </w:r>
      <w:r>
        <w:rPr>
          <w:rFonts w:hint="eastAsia" w:ascii="Times New Roman" w:hAnsi="Times New Roman" w:cs="Times New Roman"/>
          <w:szCs w:val="24"/>
        </w:rPr>
        <w:t>-非承重围护墙绿色建材应用比例；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  <w:vertAlign w:val="subscript"/>
        </w:rPr>
        <w:t>2a</w:t>
      </w:r>
      <w:r>
        <w:rPr>
          <w:rFonts w:hint="eastAsia" w:ascii="Times New Roman" w:hAnsi="Times New Roman" w:cs="Times New Roman"/>
          <w:szCs w:val="24"/>
        </w:rPr>
        <w:t>-各楼层非承重围护墙应用绿色建材的体积之和；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</w:rPr>
        <w:t>-各楼层非承重围护墙应用材料的</w:t>
      </w:r>
      <w:r>
        <w:rPr>
          <w:rFonts w:ascii="Times New Roman" w:hAnsi="Times New Roman" w:cs="Times New Roman"/>
          <w:szCs w:val="24"/>
        </w:rPr>
        <w:t>体积之和</w:t>
      </w:r>
      <w:r>
        <w:rPr>
          <w:rFonts w:hint="eastAsia" w:ascii="Times New Roman" w:hAnsi="Times New Roman" w:cs="Times New Roman"/>
          <w:szCs w:val="24"/>
        </w:rPr>
        <w:t>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注：当各楼层</w:t>
      </w:r>
      <w:r>
        <w:rPr>
          <w:rFonts w:ascii="Times New Roman" w:hAnsi="Times New Roman" w:cs="Times New Roman"/>
          <w:szCs w:val="21"/>
        </w:rPr>
        <w:t>非承重围护墙以面积计量时</w:t>
      </w:r>
      <w:r>
        <w:rPr>
          <w:rFonts w:hint="eastAsia" w:ascii="Times New Roman" w:hAnsi="Times New Roman" w:cs="Times New Roman"/>
          <w:szCs w:val="21"/>
        </w:rPr>
        <w:t>（如建筑</w:t>
      </w:r>
      <w:r>
        <w:rPr>
          <w:rFonts w:ascii="Times New Roman" w:hAnsi="Times New Roman" w:cs="Times New Roman"/>
          <w:szCs w:val="21"/>
        </w:rPr>
        <w:t>外墙挂板</w:t>
      </w:r>
      <w:r>
        <w:rPr>
          <w:rFonts w:hint="eastAsia" w:ascii="Times New Roman" w:hAnsi="Times New Roman" w:cs="Times New Roman"/>
          <w:szCs w:val="21"/>
        </w:rPr>
        <w:t>），</w:t>
      </w:r>
      <w:r>
        <w:rPr>
          <w:rFonts w:ascii="Times New Roman" w:hAnsi="Times New Roman" w:cs="Times New Roman"/>
          <w:szCs w:val="21"/>
        </w:rPr>
        <w:t>应按其</w:t>
      </w:r>
      <w:r>
        <w:rPr>
          <w:rFonts w:hint="eastAsia" w:ascii="Times New Roman" w:hAnsi="Times New Roman" w:cs="Times New Roman"/>
          <w:szCs w:val="21"/>
        </w:rPr>
        <w:t>外墙</w:t>
      </w:r>
      <w:r>
        <w:rPr>
          <w:rFonts w:ascii="Times New Roman" w:hAnsi="Times New Roman" w:cs="Times New Roman"/>
          <w:szCs w:val="21"/>
        </w:rPr>
        <w:t>挂板</w:t>
      </w:r>
      <w:r>
        <w:rPr>
          <w:rFonts w:hint="eastAsia" w:ascii="Times New Roman" w:hAnsi="Times New Roman" w:cs="Times New Roman"/>
          <w:szCs w:val="21"/>
        </w:rPr>
        <w:t>面积与</w:t>
      </w:r>
      <w:r>
        <w:rPr>
          <w:rFonts w:ascii="Times New Roman" w:hAnsi="Times New Roman" w:cs="Times New Roman"/>
          <w:szCs w:val="21"/>
        </w:rPr>
        <w:t>厚度</w:t>
      </w:r>
      <w:r>
        <w:rPr>
          <w:rFonts w:hint="eastAsia" w:ascii="Times New Roman" w:hAnsi="Times New Roman" w:cs="Times New Roman"/>
          <w:szCs w:val="21"/>
        </w:rPr>
        <w:t>换算成</w:t>
      </w:r>
      <w:r>
        <w:rPr>
          <w:rFonts w:ascii="Times New Roman" w:hAnsi="Times New Roman" w:cs="Times New Roman"/>
          <w:szCs w:val="21"/>
        </w:rPr>
        <w:t>体积，计算</w:t>
      </w:r>
      <w:r>
        <w:rPr>
          <w:rFonts w:hint="eastAsia" w:ascii="Times New Roman" w:hAnsi="Times New Roman" w:cs="Times New Roman"/>
          <w:szCs w:val="21"/>
        </w:rPr>
        <w:t>时</w:t>
      </w:r>
      <w:r>
        <w:rPr>
          <w:rFonts w:ascii="Times New Roman" w:hAnsi="Times New Roman" w:cs="Times New Roman"/>
          <w:szCs w:val="21"/>
        </w:rPr>
        <w:t>可不扣除</w:t>
      </w:r>
      <w:r>
        <w:rPr>
          <w:rFonts w:hint="eastAsia" w:ascii="Times New Roman" w:hAnsi="Times New Roman" w:cs="Times New Roman"/>
          <w:szCs w:val="21"/>
        </w:rPr>
        <w:t>门、窗</w:t>
      </w:r>
      <w:r>
        <w:rPr>
          <w:rFonts w:ascii="Times New Roman" w:hAnsi="Times New Roman" w:cs="Times New Roman"/>
          <w:szCs w:val="21"/>
        </w:rPr>
        <w:t>及预留</w:t>
      </w:r>
      <w:r>
        <w:rPr>
          <w:rFonts w:hint="eastAsia" w:ascii="Times New Roman" w:hAnsi="Times New Roman" w:cs="Times New Roman"/>
          <w:szCs w:val="21"/>
        </w:rPr>
        <w:t>洞口</w:t>
      </w:r>
      <w:r>
        <w:rPr>
          <w:rFonts w:ascii="Times New Roman" w:hAnsi="Times New Roman" w:cs="Times New Roman"/>
          <w:szCs w:val="21"/>
        </w:rPr>
        <w:t>等的面积。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4  </w:t>
      </w:r>
      <w:r>
        <w:rPr>
          <w:rFonts w:hint="eastAsia" w:ascii="Times New Roman" w:hAnsi="Times New Roman" w:cs="Times New Roman"/>
          <w:szCs w:val="24"/>
        </w:rPr>
        <w:t>内隔墙绿色建材应用比例应按下式计算：</w:t>
      </w:r>
    </w:p>
    <w:p>
      <w:pPr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2b</w:t>
      </w:r>
      <w:r>
        <w:rPr>
          <w:rFonts w:hint="eastAsia" w:ascii="Times New Roman" w:hAnsi="Times New Roman" w:cs="Times New Roman"/>
          <w:szCs w:val="24"/>
        </w:rPr>
        <w:t>=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  <w:vertAlign w:val="subscript"/>
        </w:rPr>
        <w:t>2b</w:t>
      </w:r>
      <w:r>
        <w:rPr>
          <w:rFonts w:hint="eastAsia" w:ascii="Times New Roman" w:hAnsi="Times New Roman" w:cs="Times New Roman"/>
          <w:szCs w:val="24"/>
        </w:rPr>
        <w:t>/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</w:rPr>
        <w:t xml:space="preserve">×100%   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 xml:space="preserve">            (</w:t>
      </w:r>
      <w:r>
        <w:rPr>
          <w:rFonts w:ascii="Times New Roman" w:hAnsi="Times New Roman" w:cs="Times New Roman"/>
          <w:szCs w:val="24"/>
        </w:rPr>
        <w:t>3.0.5-4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2</w:t>
      </w:r>
      <w:r>
        <w:rPr>
          <w:rFonts w:ascii="Times New Roman" w:hAnsi="Times New Roman" w:cs="Times New Roman"/>
          <w:szCs w:val="24"/>
          <w:vertAlign w:val="subscript"/>
        </w:rPr>
        <w:t>b</w:t>
      </w:r>
      <w:r>
        <w:rPr>
          <w:rFonts w:hint="eastAsia" w:ascii="Times New Roman" w:hAnsi="Times New Roman" w:cs="Times New Roman"/>
          <w:szCs w:val="24"/>
        </w:rPr>
        <w:t>-内隔墙绿色建材应用比例；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  <w:vertAlign w:val="subscript"/>
        </w:rPr>
        <w:t>2b</w:t>
      </w:r>
      <w:r>
        <w:rPr>
          <w:rFonts w:hint="eastAsia" w:ascii="Times New Roman" w:hAnsi="Times New Roman" w:cs="Times New Roman"/>
          <w:szCs w:val="24"/>
        </w:rPr>
        <w:t>-各楼层内隔墙应用绿色建材的体积之和。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</w:t>
      </w:r>
      <w:r>
        <w:rPr>
          <w:rFonts w:ascii="Times New Roman" w:hAnsi="Times New Roman" w:cs="Times New Roman"/>
          <w:szCs w:val="24"/>
        </w:rPr>
        <w:t>V</w:t>
      </w:r>
      <w:r>
        <w:rPr>
          <w:rFonts w:hint="eastAsia" w:ascii="Times New Roman" w:hAnsi="Times New Roman" w:cs="Times New Roman"/>
          <w:szCs w:val="24"/>
        </w:rPr>
        <w:t>-各楼层内隔墙材料总体积</w:t>
      </w:r>
      <w:r>
        <w:rPr>
          <w:rFonts w:ascii="Times New Roman" w:hAnsi="Times New Roman" w:cs="Times New Roman"/>
          <w:szCs w:val="24"/>
        </w:rPr>
        <w:t>。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1"/>
        </w:rPr>
        <w:t>注：当各楼层内隔墙</w:t>
      </w:r>
      <w:r>
        <w:rPr>
          <w:rFonts w:ascii="Times New Roman" w:hAnsi="Times New Roman" w:cs="Times New Roman"/>
          <w:szCs w:val="21"/>
        </w:rPr>
        <w:t>采用</w:t>
      </w:r>
      <w:r>
        <w:rPr>
          <w:rFonts w:hint="eastAsia" w:ascii="Times New Roman" w:hAnsi="Times New Roman" w:cs="Times New Roman"/>
          <w:szCs w:val="21"/>
        </w:rPr>
        <w:t>建筑内隔墙</w:t>
      </w:r>
      <w:r>
        <w:rPr>
          <w:rFonts w:ascii="Times New Roman" w:hAnsi="Times New Roman" w:cs="Times New Roman"/>
          <w:szCs w:val="21"/>
        </w:rPr>
        <w:t>以面积计量时</w:t>
      </w:r>
      <w:r>
        <w:rPr>
          <w:rFonts w:hint="eastAsia" w:ascii="Times New Roman" w:hAnsi="Times New Roman" w:cs="Times New Roman"/>
          <w:szCs w:val="21"/>
        </w:rPr>
        <w:t>（如内</w:t>
      </w:r>
      <w:r>
        <w:rPr>
          <w:rFonts w:ascii="Times New Roman" w:hAnsi="Times New Roman" w:cs="Times New Roman"/>
          <w:szCs w:val="21"/>
        </w:rPr>
        <w:t>隔</w:t>
      </w:r>
      <w:r>
        <w:rPr>
          <w:rFonts w:hint="eastAsia" w:ascii="Times New Roman" w:hAnsi="Times New Roman" w:cs="Times New Roman"/>
          <w:szCs w:val="21"/>
        </w:rPr>
        <w:t>墙板），</w:t>
      </w:r>
      <w:r>
        <w:rPr>
          <w:rFonts w:ascii="Times New Roman" w:hAnsi="Times New Roman" w:cs="Times New Roman"/>
          <w:szCs w:val="21"/>
        </w:rPr>
        <w:t>应按其</w:t>
      </w:r>
      <w:r>
        <w:rPr>
          <w:rFonts w:hint="eastAsia" w:ascii="Times New Roman" w:hAnsi="Times New Roman" w:cs="Times New Roman"/>
          <w:szCs w:val="21"/>
        </w:rPr>
        <w:t>内隔墙板</w:t>
      </w:r>
      <w:r>
        <w:rPr>
          <w:rFonts w:hint="eastAsia" w:cs="Times New Roman"/>
          <w:szCs w:val="21"/>
        </w:rPr>
        <w:t>的</w:t>
      </w:r>
      <w:r>
        <w:rPr>
          <w:rFonts w:hint="eastAsia" w:ascii="Times New Roman" w:hAnsi="Times New Roman" w:cs="Times New Roman"/>
          <w:szCs w:val="21"/>
        </w:rPr>
        <w:t>面积与</w:t>
      </w:r>
      <w:r>
        <w:rPr>
          <w:rFonts w:ascii="Times New Roman" w:hAnsi="Times New Roman" w:cs="Times New Roman"/>
          <w:szCs w:val="21"/>
        </w:rPr>
        <w:t>厚度</w:t>
      </w:r>
      <w:r>
        <w:rPr>
          <w:rFonts w:hint="eastAsia" w:cs="Times New Roman"/>
          <w:szCs w:val="21"/>
        </w:rPr>
        <w:t>换算成</w:t>
      </w:r>
      <w:r>
        <w:rPr>
          <w:rFonts w:ascii="Times New Roman" w:hAnsi="Times New Roman" w:cs="Times New Roman"/>
          <w:szCs w:val="21"/>
        </w:rPr>
        <w:t>体积，计算</w:t>
      </w:r>
      <w:r>
        <w:rPr>
          <w:rFonts w:hint="eastAsia" w:ascii="Times New Roman" w:hAnsi="Times New Roman" w:cs="Times New Roman"/>
          <w:szCs w:val="21"/>
        </w:rPr>
        <w:t>时</w:t>
      </w:r>
      <w:r>
        <w:rPr>
          <w:rFonts w:ascii="Times New Roman" w:hAnsi="Times New Roman" w:cs="Times New Roman"/>
          <w:szCs w:val="21"/>
        </w:rPr>
        <w:t>可不扣除</w:t>
      </w:r>
      <w:r>
        <w:rPr>
          <w:rFonts w:hint="eastAsia" w:ascii="Times New Roman" w:hAnsi="Times New Roman" w:cs="Times New Roman"/>
          <w:szCs w:val="21"/>
        </w:rPr>
        <w:t>门、窗</w:t>
      </w:r>
      <w:r>
        <w:rPr>
          <w:rFonts w:ascii="Times New Roman" w:hAnsi="Times New Roman" w:cs="Times New Roman"/>
          <w:szCs w:val="21"/>
        </w:rPr>
        <w:t>及预留</w:t>
      </w:r>
      <w:r>
        <w:rPr>
          <w:rFonts w:hint="eastAsia" w:ascii="Times New Roman" w:hAnsi="Times New Roman" w:cs="Times New Roman"/>
          <w:szCs w:val="21"/>
        </w:rPr>
        <w:t>洞口</w:t>
      </w:r>
      <w:r>
        <w:rPr>
          <w:rFonts w:ascii="Times New Roman" w:hAnsi="Times New Roman" w:cs="Times New Roman"/>
          <w:szCs w:val="21"/>
        </w:rPr>
        <w:t>等的面积。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5  </w:t>
      </w:r>
      <w:r>
        <w:rPr>
          <w:rFonts w:hint="eastAsia" w:ascii="Times New Roman" w:hAnsi="Times New Roman" w:cs="Times New Roman"/>
          <w:szCs w:val="24"/>
        </w:rPr>
        <w:t>外墙装饰面层绿色建材应用比例应按下式计算：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3a</w:t>
      </w:r>
      <w:r>
        <w:rPr>
          <w:rFonts w:hint="eastAsia" w:ascii="Times New Roman" w:hAnsi="Times New Roman" w:cs="Times New Roman"/>
          <w:szCs w:val="24"/>
        </w:rPr>
        <w:t>=A</w:t>
      </w:r>
      <w:r>
        <w:rPr>
          <w:rFonts w:hint="eastAsia" w:ascii="Times New Roman" w:hAnsi="Times New Roman" w:cs="Times New Roman"/>
          <w:szCs w:val="24"/>
          <w:vertAlign w:val="subscript"/>
        </w:rPr>
        <w:t>3a</w:t>
      </w:r>
      <w:r>
        <w:rPr>
          <w:rFonts w:hint="eastAsia" w:ascii="Times New Roman" w:hAnsi="Times New Roman" w:cs="Times New Roman"/>
          <w:szCs w:val="24"/>
        </w:rPr>
        <w:t xml:space="preserve">/A×100% </w:t>
      </w:r>
      <w:r>
        <w:rPr>
          <w:rFonts w:ascii="Times New Roman" w:hAnsi="Times New Roman" w:cs="Times New Roman"/>
          <w:szCs w:val="24"/>
        </w:rPr>
        <w:t xml:space="preserve">   </w:t>
      </w:r>
      <w:r>
        <w:rPr>
          <w:rFonts w:hint="eastAsia" w:ascii="Times New Roman" w:hAnsi="Times New Roman" w:cs="Times New Roman"/>
          <w:szCs w:val="24"/>
        </w:rPr>
        <w:t xml:space="preserve">                (</w:t>
      </w:r>
      <w:r>
        <w:rPr>
          <w:rFonts w:ascii="Times New Roman" w:hAnsi="Times New Roman" w:cs="Times New Roman"/>
          <w:szCs w:val="24"/>
        </w:rPr>
        <w:t>3.0.5-5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3a</w:t>
      </w:r>
      <w:r>
        <w:rPr>
          <w:rFonts w:hint="eastAsia" w:ascii="Times New Roman" w:hAnsi="Times New Roman" w:cs="Times New Roman"/>
          <w:szCs w:val="24"/>
        </w:rPr>
        <w:t>-外墙装饰面层绿色建材应用比例；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</w:t>
      </w:r>
      <w:r>
        <w:rPr>
          <w:rFonts w:hint="eastAsia" w:ascii="Times New Roman" w:hAnsi="Times New Roman" w:cs="Times New Roman"/>
          <w:szCs w:val="24"/>
          <w:vertAlign w:val="subscript"/>
        </w:rPr>
        <w:t>3a</w:t>
      </w:r>
      <w:r>
        <w:rPr>
          <w:rFonts w:hint="eastAsia" w:ascii="Times New Roman" w:hAnsi="Times New Roman" w:cs="Times New Roman"/>
          <w:szCs w:val="24"/>
        </w:rPr>
        <w:t>-外墙装饰面层应用绿色建材的墙面面积之和，计算时可不扣除门、窗及预留洞口等的面积；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A-外墙装饰面层总面积，计算时可不扣除门、窗及预留洞口等的面积。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注：外墙</w:t>
      </w:r>
      <w:r>
        <w:rPr>
          <w:rFonts w:ascii="Times New Roman" w:hAnsi="Times New Roman" w:cs="Times New Roman"/>
          <w:szCs w:val="21"/>
        </w:rPr>
        <w:t>选用涂料饰面层时</w:t>
      </w:r>
      <w:r>
        <w:rPr>
          <w:rFonts w:hint="eastAsia" w:ascii="Times New Roman" w:hAnsi="Times New Roman" w:cs="Times New Roman"/>
          <w:szCs w:val="21"/>
        </w:rPr>
        <w:t>且</w:t>
      </w:r>
      <w:r>
        <w:rPr>
          <w:rFonts w:ascii="Times New Roman" w:hAnsi="Times New Roman" w:cs="Times New Roman"/>
          <w:szCs w:val="21"/>
        </w:rPr>
        <w:t>以kg</w:t>
      </w:r>
      <w:r>
        <w:rPr>
          <w:rFonts w:hint="eastAsia" w:ascii="Times New Roman" w:hAnsi="Times New Roman" w:cs="Times New Roman"/>
          <w:szCs w:val="21"/>
        </w:rPr>
        <w:t>或t计量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应按</w:t>
      </w:r>
      <w:r>
        <w:rPr>
          <w:rFonts w:hint="eastAsia" w:ascii="Times New Roman" w:hAnsi="Times New Roman" w:cs="Times New Roman"/>
          <w:szCs w:val="21"/>
        </w:rPr>
        <w:t>其产品</w:t>
      </w:r>
      <w:r>
        <w:rPr>
          <w:rFonts w:ascii="Times New Roman" w:hAnsi="Times New Roman" w:cs="Times New Roman"/>
          <w:szCs w:val="21"/>
        </w:rPr>
        <w:t>的</w:t>
      </w:r>
      <w:r>
        <w:rPr>
          <w:rFonts w:hint="eastAsia" w:ascii="Times New Roman" w:hAnsi="Times New Roman" w:cs="Times New Roman"/>
          <w:szCs w:val="21"/>
        </w:rPr>
        <w:t>理论</w:t>
      </w:r>
      <w:r>
        <w:rPr>
          <w:rFonts w:ascii="Times New Roman" w:hAnsi="Times New Roman" w:cs="Times New Roman"/>
          <w:szCs w:val="21"/>
        </w:rPr>
        <w:t>涂布率换算</w:t>
      </w:r>
      <w:r>
        <w:rPr>
          <w:rFonts w:hint="eastAsia" w:ascii="Times New Roman" w:hAnsi="Times New Roman" w:cs="Times New Roman"/>
          <w:szCs w:val="21"/>
        </w:rPr>
        <w:t>成</w:t>
      </w:r>
      <w:r>
        <w:rPr>
          <w:rFonts w:ascii="Times New Roman" w:hAnsi="Times New Roman" w:cs="Times New Roman"/>
          <w:szCs w:val="21"/>
        </w:rPr>
        <w:t>面积</w:t>
      </w:r>
      <w:r>
        <w:rPr>
          <w:rFonts w:hint="eastAsia" w:ascii="Times New Roman" w:hAnsi="Times New Roman" w:cs="Times New Roman"/>
          <w:szCs w:val="21"/>
        </w:rPr>
        <w:t>（仅计算</w:t>
      </w:r>
      <w:r>
        <w:rPr>
          <w:rFonts w:ascii="Times New Roman" w:hAnsi="Times New Roman" w:cs="Times New Roman"/>
          <w:szCs w:val="21"/>
        </w:rPr>
        <w:t>面漆</w:t>
      </w:r>
      <w:r>
        <w:rPr>
          <w:rFonts w:hint="eastAsia" w:ascii="Times New Roman" w:hAnsi="Times New Roman" w:cs="Times New Roman"/>
          <w:szCs w:val="21"/>
        </w:rPr>
        <w:t>），</w:t>
      </w:r>
      <w:r>
        <w:rPr>
          <w:rFonts w:ascii="Times New Roman" w:hAnsi="Times New Roman" w:cs="Times New Roman"/>
          <w:szCs w:val="21"/>
        </w:rPr>
        <w:t>当无特殊</w:t>
      </w:r>
      <w:r>
        <w:rPr>
          <w:rFonts w:hint="eastAsia" w:ascii="Times New Roman" w:hAnsi="Times New Roman" w:cs="Times New Roman"/>
          <w:szCs w:val="21"/>
        </w:rPr>
        <w:t>说明普通</w:t>
      </w:r>
      <w:r>
        <w:rPr>
          <w:rFonts w:ascii="Times New Roman" w:hAnsi="Times New Roman" w:cs="Times New Roman"/>
          <w:szCs w:val="21"/>
        </w:rPr>
        <w:t>涂料</w:t>
      </w:r>
      <w:r>
        <w:rPr>
          <w:rFonts w:hint="eastAsia" w:ascii="Times New Roman" w:hAnsi="Times New Roman" w:cs="Times New Roman"/>
          <w:szCs w:val="21"/>
        </w:rPr>
        <w:t>的</w:t>
      </w:r>
      <w:r>
        <w:rPr>
          <w:rFonts w:ascii="Times New Roman" w:hAnsi="Times New Roman" w:cs="Times New Roman"/>
          <w:szCs w:val="21"/>
        </w:rPr>
        <w:t>理论涂布率</w:t>
      </w:r>
      <w:r>
        <w:rPr>
          <w:rFonts w:hint="eastAsia" w:ascii="Times New Roman" w:hAnsi="Times New Roman" w:cs="Times New Roman"/>
          <w:szCs w:val="21"/>
        </w:rPr>
        <w:t>可</w:t>
      </w:r>
      <w:r>
        <w:rPr>
          <w:rFonts w:ascii="Times New Roman" w:hAnsi="Times New Roman" w:cs="Times New Roman"/>
          <w:szCs w:val="21"/>
        </w:rPr>
        <w:t>按</w:t>
      </w:r>
      <w:r>
        <w:rPr>
          <w:rFonts w:hint="eastAsia" w:ascii="Times New Roman" w:hAnsi="Times New Roman" w:cs="Times New Roman"/>
          <w:szCs w:val="21"/>
        </w:rPr>
        <w:t>5</w:t>
      </w:r>
      <w:r>
        <w:rPr>
          <w:rFonts w:ascii="Times New Roman" w:hAnsi="Times New Roman" w:cs="Times New Roman"/>
          <w:szCs w:val="21"/>
        </w:rPr>
        <w:t>m</w:t>
      </w:r>
      <w:r>
        <w:rPr>
          <w:rFonts w:ascii="Times New Roman" w:hAnsi="Times New Roman" w:cs="Times New Roman"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/kg</w:t>
      </w:r>
      <w:r>
        <w:rPr>
          <w:rFonts w:hint="eastAsia" w:ascii="Times New Roman" w:hAnsi="Times New Roman" w:cs="Times New Roman"/>
          <w:szCs w:val="21"/>
        </w:rPr>
        <w:t>取值，真石漆涂料</w:t>
      </w:r>
      <w:r>
        <w:rPr>
          <w:rFonts w:ascii="Times New Roman" w:hAnsi="Times New Roman" w:cs="Times New Roman"/>
          <w:szCs w:val="21"/>
        </w:rPr>
        <w:t>理论涂布率可按</w:t>
      </w:r>
      <w:r>
        <w:rPr>
          <w:rFonts w:hint="eastAsia" w:ascii="Times New Roman" w:hAnsi="Times New Roman" w:cs="Times New Roman"/>
          <w:szCs w:val="21"/>
        </w:rPr>
        <w:t>10</w:t>
      </w:r>
      <w:r>
        <w:rPr>
          <w:rFonts w:ascii="Times New Roman" w:hAnsi="Times New Roman" w:cs="Times New Roman"/>
          <w:szCs w:val="21"/>
        </w:rPr>
        <w:t xml:space="preserve"> m</w:t>
      </w:r>
      <w:r>
        <w:rPr>
          <w:rFonts w:ascii="Times New Roman" w:hAnsi="Times New Roman" w:cs="Times New Roman"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/kg</w:t>
      </w:r>
      <w:r>
        <w:rPr>
          <w:rFonts w:hint="eastAsia" w:ascii="Times New Roman" w:hAnsi="Times New Roman" w:cs="Times New Roman"/>
          <w:szCs w:val="21"/>
        </w:rPr>
        <w:t>取值</w:t>
      </w:r>
      <w:r>
        <w:rPr>
          <w:rFonts w:ascii="Times New Roman" w:hAnsi="Times New Roman" w:cs="Times New Roman"/>
          <w:szCs w:val="21"/>
        </w:rPr>
        <w:t>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6  </w:t>
      </w:r>
      <w:r>
        <w:rPr>
          <w:rFonts w:hint="eastAsia" w:ascii="Times New Roman" w:hAnsi="Times New Roman" w:cs="Times New Roman"/>
          <w:szCs w:val="24"/>
        </w:rPr>
        <w:t>内墙装饰面层绿色建材应用比例应按下式计算：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3b</w:t>
      </w:r>
      <w:r>
        <w:rPr>
          <w:rFonts w:hint="eastAsia" w:ascii="Times New Roman" w:hAnsi="Times New Roman" w:cs="Times New Roman"/>
          <w:szCs w:val="24"/>
        </w:rPr>
        <w:t>=A</w:t>
      </w:r>
      <w:r>
        <w:rPr>
          <w:rFonts w:hint="eastAsia" w:ascii="Times New Roman" w:hAnsi="Times New Roman" w:cs="Times New Roman"/>
          <w:szCs w:val="24"/>
          <w:vertAlign w:val="subscript"/>
        </w:rPr>
        <w:t>3b</w:t>
      </w:r>
      <w:r>
        <w:rPr>
          <w:rFonts w:hint="eastAsia" w:ascii="Times New Roman" w:hAnsi="Times New Roman" w:cs="Times New Roman"/>
          <w:szCs w:val="24"/>
        </w:rPr>
        <w:t xml:space="preserve">/A×100% </w:t>
      </w:r>
      <w:r>
        <w:rPr>
          <w:rFonts w:ascii="Times New Roman" w:hAnsi="Times New Roman" w:cs="Times New Roman"/>
          <w:szCs w:val="24"/>
        </w:rPr>
        <w:t xml:space="preserve">   </w:t>
      </w:r>
      <w:r>
        <w:rPr>
          <w:rFonts w:hint="eastAsia" w:ascii="Times New Roman" w:hAnsi="Times New Roman" w:cs="Times New Roman"/>
          <w:szCs w:val="24"/>
        </w:rPr>
        <w:t xml:space="preserve">                (</w:t>
      </w:r>
      <w:r>
        <w:rPr>
          <w:rFonts w:ascii="Times New Roman" w:hAnsi="Times New Roman" w:cs="Times New Roman"/>
          <w:szCs w:val="24"/>
        </w:rPr>
        <w:t>3.0.5-6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</w:t>
      </w:r>
      <w:r>
        <w:rPr>
          <w:rFonts w:ascii="Times New Roman" w:hAnsi="Times New Roman" w:cs="Times New Roman"/>
          <w:szCs w:val="24"/>
          <w:vertAlign w:val="subscript"/>
        </w:rPr>
        <w:t>b</w:t>
      </w:r>
      <w:r>
        <w:rPr>
          <w:rFonts w:hint="eastAsia" w:ascii="Times New Roman" w:hAnsi="Times New Roman" w:cs="Times New Roman"/>
          <w:szCs w:val="24"/>
        </w:rPr>
        <w:t>-内墙装饰面层绿色建材应用比例；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</w:t>
      </w:r>
      <w:r>
        <w:rPr>
          <w:rFonts w:hint="eastAsia" w:ascii="Times New Roman" w:hAnsi="Times New Roman" w:cs="Times New Roman"/>
          <w:szCs w:val="24"/>
          <w:vertAlign w:val="subscript"/>
        </w:rPr>
        <w:t>3b</w:t>
      </w:r>
      <w:r>
        <w:rPr>
          <w:rFonts w:hint="eastAsia" w:ascii="Times New Roman" w:hAnsi="Times New Roman" w:cs="Times New Roman"/>
          <w:szCs w:val="24"/>
        </w:rPr>
        <w:t>-内墙装饰面层应用绿色建材的墙面面积之和，计算时可不扣除门、窗及预留洞口等的面积；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A-内墙装饰面层总面积，计算时可不扣除门、窗及预留洞口等的面积。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注：内墙</w:t>
      </w:r>
      <w:r>
        <w:rPr>
          <w:rFonts w:ascii="Times New Roman" w:hAnsi="Times New Roman" w:cs="Times New Roman"/>
          <w:szCs w:val="21"/>
        </w:rPr>
        <w:t>选用涂料饰面层时</w:t>
      </w:r>
      <w:r>
        <w:rPr>
          <w:rFonts w:hint="eastAsia" w:ascii="Times New Roman" w:hAnsi="Times New Roman" w:cs="Times New Roman"/>
          <w:szCs w:val="21"/>
        </w:rPr>
        <w:t>且</w:t>
      </w:r>
      <w:r>
        <w:rPr>
          <w:rFonts w:ascii="Times New Roman" w:hAnsi="Times New Roman" w:cs="Times New Roman"/>
          <w:szCs w:val="21"/>
        </w:rPr>
        <w:t>以kg</w:t>
      </w:r>
      <w:r>
        <w:rPr>
          <w:rFonts w:hint="eastAsia" w:ascii="Times New Roman" w:hAnsi="Times New Roman" w:cs="Times New Roman"/>
          <w:szCs w:val="21"/>
        </w:rPr>
        <w:t>或t计量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应按</w:t>
      </w:r>
      <w:r>
        <w:rPr>
          <w:rFonts w:hint="eastAsia" w:ascii="Times New Roman" w:hAnsi="Times New Roman" w:cs="Times New Roman"/>
          <w:szCs w:val="21"/>
        </w:rPr>
        <w:t>其产品</w:t>
      </w:r>
      <w:r>
        <w:rPr>
          <w:rFonts w:ascii="Times New Roman" w:hAnsi="Times New Roman" w:cs="Times New Roman"/>
          <w:szCs w:val="21"/>
        </w:rPr>
        <w:t>的理论涂布率换算</w:t>
      </w:r>
      <w:r>
        <w:rPr>
          <w:rFonts w:hint="eastAsia" w:ascii="Times New Roman" w:hAnsi="Times New Roman" w:cs="Times New Roman"/>
          <w:szCs w:val="21"/>
        </w:rPr>
        <w:t>成</w:t>
      </w:r>
      <w:r>
        <w:rPr>
          <w:rFonts w:ascii="Times New Roman" w:hAnsi="Times New Roman" w:cs="Times New Roman"/>
          <w:szCs w:val="21"/>
        </w:rPr>
        <w:t>面积</w:t>
      </w:r>
      <w:r>
        <w:rPr>
          <w:rFonts w:hint="eastAsia" w:ascii="Times New Roman" w:hAnsi="Times New Roman" w:cs="Times New Roman"/>
          <w:szCs w:val="21"/>
        </w:rPr>
        <w:t>（仅考虑面漆或</w:t>
      </w:r>
      <w:r>
        <w:rPr>
          <w:rFonts w:ascii="Times New Roman" w:hAnsi="Times New Roman" w:cs="Times New Roman"/>
          <w:szCs w:val="21"/>
        </w:rPr>
        <w:t>罩面</w:t>
      </w:r>
      <w:r>
        <w:rPr>
          <w:rFonts w:hint="eastAsia" w:ascii="Times New Roman" w:hAnsi="Times New Roman" w:cs="Times New Roman"/>
          <w:szCs w:val="21"/>
        </w:rPr>
        <w:t>漆），</w:t>
      </w:r>
      <w:r>
        <w:rPr>
          <w:rFonts w:ascii="Times New Roman" w:hAnsi="Times New Roman" w:cs="Times New Roman"/>
          <w:szCs w:val="21"/>
        </w:rPr>
        <w:t>当无特殊</w:t>
      </w:r>
      <w:r>
        <w:rPr>
          <w:rFonts w:hint="eastAsia" w:ascii="Times New Roman" w:hAnsi="Times New Roman" w:cs="Times New Roman"/>
          <w:szCs w:val="21"/>
        </w:rPr>
        <w:t>说明普通</w:t>
      </w:r>
      <w:r>
        <w:rPr>
          <w:rFonts w:ascii="Times New Roman" w:hAnsi="Times New Roman" w:cs="Times New Roman"/>
          <w:szCs w:val="21"/>
        </w:rPr>
        <w:t>涂料</w:t>
      </w:r>
      <w:r>
        <w:rPr>
          <w:rFonts w:hint="eastAsia" w:ascii="Times New Roman" w:hAnsi="Times New Roman" w:cs="Times New Roman"/>
          <w:szCs w:val="21"/>
        </w:rPr>
        <w:t>的</w:t>
      </w:r>
      <w:r>
        <w:rPr>
          <w:rFonts w:ascii="Times New Roman" w:hAnsi="Times New Roman" w:cs="Times New Roman"/>
          <w:szCs w:val="21"/>
        </w:rPr>
        <w:t>理论涂布率</w:t>
      </w:r>
      <w:r>
        <w:rPr>
          <w:rFonts w:hint="eastAsia" w:ascii="Times New Roman" w:hAnsi="Times New Roman" w:cs="Times New Roman"/>
          <w:szCs w:val="21"/>
        </w:rPr>
        <w:t>可</w:t>
      </w:r>
      <w:r>
        <w:rPr>
          <w:rFonts w:ascii="Times New Roman" w:hAnsi="Times New Roman" w:cs="Times New Roman"/>
          <w:szCs w:val="21"/>
        </w:rPr>
        <w:t>按</w:t>
      </w:r>
      <w:r>
        <w:rPr>
          <w:rFonts w:hint="eastAsia" w:ascii="Times New Roman" w:hAnsi="Times New Roman" w:cs="Times New Roman"/>
          <w:b/>
          <w:szCs w:val="21"/>
        </w:rPr>
        <w:t>5</w:t>
      </w:r>
      <w:r>
        <w:rPr>
          <w:rFonts w:ascii="Times New Roman" w:hAnsi="Times New Roman" w:cs="Times New Roman"/>
          <w:b/>
          <w:szCs w:val="21"/>
        </w:rPr>
        <w:t>m</w:t>
      </w:r>
      <w:r>
        <w:rPr>
          <w:rFonts w:ascii="Times New Roman" w:hAnsi="Times New Roman" w:cs="Times New Roman"/>
          <w:b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/kg</w:t>
      </w:r>
      <w:r>
        <w:rPr>
          <w:rFonts w:hint="eastAsia" w:ascii="Times New Roman" w:hAnsi="Times New Roman" w:cs="Times New Roman"/>
          <w:szCs w:val="21"/>
        </w:rPr>
        <w:t>取值。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7  </w:t>
      </w:r>
      <w:r>
        <w:rPr>
          <w:rFonts w:hint="eastAsia" w:ascii="Times New Roman" w:hAnsi="Times New Roman" w:cs="Times New Roman"/>
          <w:szCs w:val="24"/>
        </w:rPr>
        <w:t>室内顶棚装饰面层绿色建材应用比例应按下式计算：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3c</w:t>
      </w:r>
      <w:r>
        <w:rPr>
          <w:rFonts w:hint="eastAsia" w:ascii="Times New Roman" w:hAnsi="Times New Roman" w:cs="Times New Roman"/>
          <w:szCs w:val="24"/>
        </w:rPr>
        <w:t>=A</w:t>
      </w:r>
      <w:r>
        <w:rPr>
          <w:rFonts w:hint="eastAsia" w:ascii="Times New Roman" w:hAnsi="Times New Roman" w:cs="Times New Roman"/>
          <w:szCs w:val="24"/>
          <w:vertAlign w:val="subscript"/>
        </w:rPr>
        <w:t>3c</w:t>
      </w:r>
      <w:r>
        <w:rPr>
          <w:rFonts w:hint="eastAsia" w:ascii="Times New Roman" w:hAnsi="Times New Roman" w:cs="Times New Roman"/>
          <w:szCs w:val="24"/>
        </w:rPr>
        <w:t xml:space="preserve">/A×100%       </w:t>
      </w:r>
      <w:r>
        <w:rPr>
          <w:rFonts w:ascii="Times New Roman" w:hAnsi="Times New Roman" w:cs="Times New Roman"/>
          <w:szCs w:val="24"/>
        </w:rPr>
        <w:t xml:space="preserve">   </w:t>
      </w:r>
      <w:r>
        <w:rPr>
          <w:rFonts w:hint="eastAsia" w:ascii="Times New Roman" w:hAnsi="Times New Roman" w:cs="Times New Roman"/>
          <w:szCs w:val="24"/>
        </w:rPr>
        <w:t xml:space="preserve">          (</w:t>
      </w:r>
      <w:r>
        <w:rPr>
          <w:rFonts w:ascii="Times New Roman" w:hAnsi="Times New Roman" w:cs="Times New Roman"/>
          <w:szCs w:val="24"/>
        </w:rPr>
        <w:t>3.0.5-7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3c</w:t>
      </w:r>
      <w:r>
        <w:rPr>
          <w:rFonts w:hint="eastAsia" w:ascii="Times New Roman" w:hAnsi="Times New Roman" w:cs="Times New Roman"/>
          <w:szCs w:val="24"/>
        </w:rPr>
        <w:t>-室内顶棚装饰面层绿色建材应用比例；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</w:t>
      </w:r>
      <w:r>
        <w:rPr>
          <w:rFonts w:hint="eastAsia" w:ascii="Times New Roman" w:hAnsi="Times New Roman" w:cs="Times New Roman"/>
          <w:szCs w:val="24"/>
          <w:vertAlign w:val="subscript"/>
        </w:rPr>
        <w:t>3c</w:t>
      </w:r>
      <w:r>
        <w:rPr>
          <w:rFonts w:hint="eastAsia" w:ascii="Times New Roman" w:hAnsi="Times New Roman" w:cs="Times New Roman"/>
          <w:szCs w:val="24"/>
        </w:rPr>
        <w:t>-室内顶棚装饰面层应用绿色建材的面积之和，计算时可不扣除预留洞口及灯具、设备等的面积；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A-室内顶棚装饰面层总面积，计算时可不扣除预留洞口及灯具、设备等的面积。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注：顶棚</w:t>
      </w:r>
      <w:r>
        <w:rPr>
          <w:rFonts w:ascii="Times New Roman" w:hAnsi="Times New Roman" w:cs="Times New Roman"/>
          <w:szCs w:val="21"/>
        </w:rPr>
        <w:t>选用涂料饰面层时</w:t>
      </w:r>
      <w:r>
        <w:rPr>
          <w:rFonts w:hint="eastAsia" w:ascii="Times New Roman" w:hAnsi="Times New Roman" w:cs="Times New Roman"/>
          <w:szCs w:val="21"/>
        </w:rPr>
        <w:t>且</w:t>
      </w:r>
      <w:r>
        <w:rPr>
          <w:rFonts w:ascii="Times New Roman" w:hAnsi="Times New Roman" w:cs="Times New Roman"/>
          <w:szCs w:val="21"/>
        </w:rPr>
        <w:t>以kg</w:t>
      </w:r>
      <w:r>
        <w:rPr>
          <w:rFonts w:hint="eastAsia" w:ascii="Times New Roman" w:hAnsi="Times New Roman" w:cs="Times New Roman"/>
          <w:szCs w:val="21"/>
        </w:rPr>
        <w:t>或t计量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应按</w:t>
      </w:r>
      <w:r>
        <w:rPr>
          <w:rFonts w:hint="eastAsia" w:ascii="Times New Roman" w:hAnsi="Times New Roman" w:cs="Times New Roman"/>
          <w:szCs w:val="21"/>
        </w:rPr>
        <w:t>其产品</w:t>
      </w:r>
      <w:r>
        <w:rPr>
          <w:rFonts w:ascii="Times New Roman" w:hAnsi="Times New Roman" w:cs="Times New Roman"/>
          <w:szCs w:val="21"/>
        </w:rPr>
        <w:t>的理论涂布率换算</w:t>
      </w:r>
      <w:r>
        <w:rPr>
          <w:rFonts w:hint="eastAsia" w:ascii="Times New Roman" w:hAnsi="Times New Roman" w:cs="Times New Roman"/>
          <w:szCs w:val="21"/>
        </w:rPr>
        <w:t>成</w:t>
      </w:r>
      <w:r>
        <w:rPr>
          <w:rFonts w:ascii="Times New Roman" w:hAnsi="Times New Roman" w:cs="Times New Roman"/>
          <w:szCs w:val="21"/>
        </w:rPr>
        <w:t>面积</w:t>
      </w:r>
      <w:r>
        <w:rPr>
          <w:rFonts w:hint="eastAsia" w:ascii="Times New Roman" w:hAnsi="Times New Roman" w:cs="Times New Roman"/>
          <w:szCs w:val="21"/>
        </w:rPr>
        <w:t>（仅考虑面漆或</w:t>
      </w:r>
      <w:r>
        <w:rPr>
          <w:rFonts w:ascii="Times New Roman" w:hAnsi="Times New Roman" w:cs="Times New Roman"/>
          <w:szCs w:val="21"/>
        </w:rPr>
        <w:t>罩面</w:t>
      </w:r>
      <w:r>
        <w:rPr>
          <w:rFonts w:hint="eastAsia" w:ascii="Times New Roman" w:hAnsi="Times New Roman" w:cs="Times New Roman"/>
          <w:szCs w:val="21"/>
        </w:rPr>
        <w:t>漆），</w:t>
      </w:r>
      <w:r>
        <w:rPr>
          <w:rFonts w:ascii="Times New Roman" w:hAnsi="Times New Roman" w:cs="Times New Roman"/>
          <w:szCs w:val="21"/>
        </w:rPr>
        <w:t>当无特殊</w:t>
      </w:r>
      <w:r>
        <w:rPr>
          <w:rFonts w:hint="eastAsia" w:ascii="Times New Roman" w:hAnsi="Times New Roman" w:cs="Times New Roman"/>
          <w:szCs w:val="21"/>
        </w:rPr>
        <w:t>说明普通</w:t>
      </w:r>
      <w:r>
        <w:rPr>
          <w:rFonts w:ascii="Times New Roman" w:hAnsi="Times New Roman" w:cs="Times New Roman"/>
          <w:szCs w:val="21"/>
        </w:rPr>
        <w:t>涂料</w:t>
      </w:r>
      <w:r>
        <w:rPr>
          <w:rFonts w:hint="eastAsia" w:ascii="Times New Roman" w:hAnsi="Times New Roman" w:cs="Times New Roman"/>
          <w:szCs w:val="21"/>
        </w:rPr>
        <w:t>的</w:t>
      </w:r>
      <w:r>
        <w:rPr>
          <w:rFonts w:ascii="Times New Roman" w:hAnsi="Times New Roman" w:cs="Times New Roman"/>
          <w:szCs w:val="21"/>
        </w:rPr>
        <w:t>理论涂布率</w:t>
      </w:r>
      <w:r>
        <w:rPr>
          <w:rFonts w:hint="eastAsia" w:ascii="Times New Roman" w:hAnsi="Times New Roman" w:cs="Times New Roman"/>
          <w:szCs w:val="21"/>
        </w:rPr>
        <w:t>可</w:t>
      </w:r>
      <w:r>
        <w:rPr>
          <w:rFonts w:ascii="Times New Roman" w:hAnsi="Times New Roman" w:cs="Times New Roman"/>
          <w:szCs w:val="21"/>
        </w:rPr>
        <w:t>按</w:t>
      </w:r>
      <w:r>
        <w:rPr>
          <w:rFonts w:hint="eastAsia" w:ascii="Times New Roman" w:hAnsi="Times New Roman" w:cs="Times New Roman"/>
          <w:b/>
          <w:szCs w:val="21"/>
        </w:rPr>
        <w:t>5</w:t>
      </w:r>
      <w:r>
        <w:rPr>
          <w:rFonts w:ascii="Times New Roman" w:hAnsi="Times New Roman" w:cs="Times New Roman"/>
          <w:b/>
          <w:szCs w:val="21"/>
        </w:rPr>
        <w:t>m</w:t>
      </w:r>
      <w:r>
        <w:rPr>
          <w:rFonts w:ascii="Times New Roman" w:hAnsi="Times New Roman" w:cs="Times New Roman"/>
          <w:b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/kg</w:t>
      </w:r>
      <w:r>
        <w:rPr>
          <w:rFonts w:hint="eastAsia" w:ascii="Times New Roman" w:hAnsi="Times New Roman" w:cs="Times New Roman"/>
          <w:szCs w:val="21"/>
        </w:rPr>
        <w:t>取值。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8  </w:t>
      </w:r>
      <w:r>
        <w:rPr>
          <w:rFonts w:hint="eastAsia" w:ascii="Times New Roman" w:hAnsi="Times New Roman" w:cs="Times New Roman"/>
          <w:szCs w:val="24"/>
        </w:rPr>
        <w:t>室内地面装饰面层绿色建材应用比例应按下式计算：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3d</w:t>
      </w:r>
      <w:r>
        <w:rPr>
          <w:rFonts w:hint="eastAsia" w:ascii="Times New Roman" w:hAnsi="Times New Roman" w:cs="Times New Roman"/>
          <w:szCs w:val="24"/>
        </w:rPr>
        <w:t>=A</w:t>
      </w:r>
      <w:r>
        <w:rPr>
          <w:rFonts w:hint="eastAsia" w:ascii="Times New Roman" w:hAnsi="Times New Roman" w:cs="Times New Roman"/>
          <w:szCs w:val="24"/>
          <w:vertAlign w:val="subscript"/>
        </w:rPr>
        <w:t>3d</w:t>
      </w:r>
      <w:r>
        <w:rPr>
          <w:rFonts w:hint="eastAsia" w:ascii="Times New Roman" w:hAnsi="Times New Roman" w:cs="Times New Roman"/>
          <w:szCs w:val="24"/>
        </w:rPr>
        <w:t xml:space="preserve">/A×100%    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 xml:space="preserve">            (</w:t>
      </w:r>
      <w:r>
        <w:rPr>
          <w:rFonts w:ascii="Times New Roman" w:hAnsi="Times New Roman" w:cs="Times New Roman"/>
          <w:szCs w:val="24"/>
        </w:rPr>
        <w:t>3.0.5-8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3d</w:t>
      </w:r>
      <w:r>
        <w:rPr>
          <w:rFonts w:hint="eastAsia" w:ascii="Times New Roman" w:hAnsi="Times New Roman" w:cs="Times New Roman"/>
          <w:szCs w:val="24"/>
        </w:rPr>
        <w:t>-室内地面装饰面层绿色建材应用比例；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</w:t>
      </w:r>
      <w:r>
        <w:rPr>
          <w:rFonts w:hint="eastAsia" w:ascii="Times New Roman" w:hAnsi="Times New Roman" w:cs="Times New Roman"/>
          <w:szCs w:val="24"/>
          <w:vertAlign w:val="subscript"/>
        </w:rPr>
        <w:t>3d</w:t>
      </w:r>
      <w:r>
        <w:rPr>
          <w:rFonts w:hint="eastAsia" w:ascii="Times New Roman" w:hAnsi="Times New Roman" w:cs="Times New Roman"/>
          <w:szCs w:val="24"/>
        </w:rPr>
        <w:t>-室内地面装饰面层应用绿色建材的面积之和；</w:t>
      </w:r>
    </w:p>
    <w:p>
      <w:pPr>
        <w:ind w:firstLine="480" w:firstLineChars="200"/>
        <w:rPr>
          <w:sz w:val="28"/>
          <w:szCs w:val="28"/>
        </w:rPr>
      </w:pPr>
      <w:r>
        <w:rPr>
          <w:rFonts w:hint="eastAsia" w:ascii="Times New Roman" w:hAnsi="Times New Roman" w:cs="Times New Roman"/>
          <w:szCs w:val="24"/>
        </w:rPr>
        <w:t xml:space="preserve">      A-室内地面装饰面层总面积</w:t>
      </w:r>
      <w:r>
        <w:rPr>
          <w:rFonts w:hint="eastAsia"/>
          <w:sz w:val="28"/>
          <w:szCs w:val="28"/>
        </w:rPr>
        <w:t>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9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门窗</w:t>
      </w:r>
      <w:r>
        <w:rPr>
          <w:rFonts w:hint="eastAsia" w:cs="Times New Roman"/>
          <w:szCs w:val="24"/>
        </w:rPr>
        <w:t>、</w:t>
      </w:r>
      <w:r>
        <w:rPr>
          <w:rFonts w:hint="eastAsia" w:ascii="Times New Roman" w:hAnsi="Times New Roman" w:cs="Times New Roman"/>
          <w:szCs w:val="24"/>
        </w:rPr>
        <w:t>玻璃绿色建材应用比例应按下式计算：</w:t>
      </w:r>
    </w:p>
    <w:p>
      <w:pPr>
        <w:wordWrap w:val="0"/>
        <w:ind w:firstLine="480" w:firstLineChars="200"/>
        <w:jc w:val="righ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            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3e</w:t>
      </w:r>
      <w:r>
        <w:rPr>
          <w:rFonts w:hint="eastAsia" w:ascii="Times New Roman" w:hAnsi="Times New Roman" w:cs="Times New Roman"/>
          <w:szCs w:val="24"/>
        </w:rPr>
        <w:t>=A</w:t>
      </w:r>
      <w:r>
        <w:rPr>
          <w:rFonts w:hint="eastAsia" w:ascii="Times New Roman" w:hAnsi="Times New Roman" w:cs="Times New Roman"/>
          <w:szCs w:val="24"/>
          <w:vertAlign w:val="subscript"/>
        </w:rPr>
        <w:t>3e</w:t>
      </w:r>
      <w:r>
        <w:rPr>
          <w:rFonts w:hint="eastAsia" w:ascii="Times New Roman" w:hAnsi="Times New Roman" w:cs="Times New Roman"/>
          <w:szCs w:val="24"/>
        </w:rPr>
        <w:t xml:space="preserve">/A×100% </w:t>
      </w:r>
      <w:r>
        <w:rPr>
          <w:rFonts w:ascii="Times New Roman" w:hAnsi="Times New Roman" w:cs="Times New Roman"/>
          <w:szCs w:val="24"/>
        </w:rPr>
        <w:t xml:space="preserve">    </w:t>
      </w:r>
      <w:r>
        <w:rPr>
          <w:rFonts w:hint="eastAsia" w:ascii="Times New Roman" w:hAnsi="Times New Roman" w:cs="Times New Roman"/>
          <w:szCs w:val="24"/>
        </w:rPr>
        <w:t xml:space="preserve">             (</w:t>
      </w:r>
      <w:r>
        <w:rPr>
          <w:rFonts w:ascii="Times New Roman" w:hAnsi="Times New Roman" w:cs="Times New Roman"/>
          <w:szCs w:val="24"/>
        </w:rPr>
        <w:t>3.0.5-9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>式中：</w:t>
      </w: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</w:t>
      </w:r>
      <w:r>
        <w:rPr>
          <w:rFonts w:hint="eastAsia" w:ascii="Times New Roman" w:hAnsi="Times New Roman" w:cs="Times New Roman"/>
          <w:szCs w:val="24"/>
          <w:vertAlign w:val="subscript"/>
        </w:rPr>
        <w:t>3e</w:t>
      </w:r>
      <w:r>
        <w:rPr>
          <w:rFonts w:hint="eastAsia" w:ascii="Times New Roman" w:hAnsi="Times New Roman" w:cs="Times New Roman"/>
          <w:szCs w:val="24"/>
        </w:rPr>
        <w:t xml:space="preserve"> -门窗</w:t>
      </w:r>
      <w:r>
        <w:rPr>
          <w:rFonts w:hint="eastAsia" w:cs="Times New Roman"/>
          <w:szCs w:val="24"/>
        </w:rPr>
        <w:t>、</w:t>
      </w:r>
      <w:r>
        <w:rPr>
          <w:rFonts w:hint="eastAsia" w:ascii="Times New Roman" w:hAnsi="Times New Roman" w:cs="Times New Roman"/>
          <w:szCs w:val="24"/>
        </w:rPr>
        <w:t>玻璃绿色建材应用比例；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</w:t>
      </w:r>
      <w:r>
        <w:rPr>
          <w:rFonts w:hint="eastAsia" w:ascii="Times New Roman" w:hAnsi="Times New Roman" w:cs="Times New Roman"/>
          <w:szCs w:val="24"/>
          <w:vertAlign w:val="subscript"/>
        </w:rPr>
        <w:t>3e</w:t>
      </w:r>
      <w:r>
        <w:rPr>
          <w:rFonts w:hint="eastAsia" w:ascii="Times New Roman" w:hAnsi="Times New Roman" w:cs="Times New Roman"/>
          <w:szCs w:val="24"/>
        </w:rPr>
        <w:t>-门窗</w:t>
      </w:r>
      <w:r>
        <w:rPr>
          <w:rFonts w:hint="eastAsia" w:cs="Times New Roman"/>
          <w:szCs w:val="24"/>
        </w:rPr>
        <w:t>、</w:t>
      </w:r>
      <w:r>
        <w:rPr>
          <w:rFonts w:hint="eastAsia" w:ascii="Times New Roman" w:hAnsi="Times New Roman" w:cs="Times New Roman"/>
          <w:szCs w:val="24"/>
        </w:rPr>
        <w:t>玻璃应用绿色建材的面积之和；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szCs w:val="24"/>
        </w:rPr>
        <w:t xml:space="preserve">      A-门窗</w:t>
      </w:r>
      <w:r>
        <w:rPr>
          <w:rFonts w:hint="eastAsia" w:cs="Times New Roman"/>
          <w:szCs w:val="24"/>
        </w:rPr>
        <w:t>、</w:t>
      </w:r>
      <w:r>
        <w:rPr>
          <w:rFonts w:hint="eastAsia" w:ascii="Times New Roman" w:hAnsi="Times New Roman" w:cs="Times New Roman"/>
          <w:szCs w:val="24"/>
        </w:rPr>
        <w:t>玻璃总面积。</w:t>
      </w:r>
    </w:p>
    <w:p>
      <w:pPr>
        <w:ind w:firstLine="480" w:firstLineChars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</w:t>
      </w:r>
      <w:r>
        <w:rPr>
          <w:rFonts w:ascii="Times New Roman" w:hAnsi="Times New Roman" w:cs="Times New Roman"/>
          <w:szCs w:val="21"/>
        </w:rPr>
        <w:t>：门窗</w:t>
      </w:r>
      <w:r>
        <w:rPr>
          <w:rFonts w:hint="eastAsia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玻璃主要</w:t>
      </w:r>
      <w:r>
        <w:rPr>
          <w:rFonts w:hint="eastAsia" w:ascii="Times New Roman" w:hAnsi="Times New Roman" w:cs="Times New Roman"/>
          <w:szCs w:val="21"/>
        </w:rPr>
        <w:t>包括木质、铝合金、塑钢、玻璃门窗等，也包括室内玻璃隔断，防火门、人防门等特种门不计入门窗玻璃总面积。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10 </w:t>
      </w:r>
      <w:r>
        <w:rPr>
          <w:rFonts w:ascii="Times New Roman" w:hAnsi="Times New Roman" w:cs="Times New Roman"/>
          <w:szCs w:val="24"/>
        </w:rPr>
        <w:t xml:space="preserve"> 保温材料绿色建材应用比例应按下式计算：</w:t>
      </w:r>
    </w:p>
    <w:p>
      <w:pPr>
        <w:wordWrap w:val="0"/>
        <w:ind w:firstLine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P</w:t>
      </w:r>
      <w:r>
        <w:rPr>
          <w:rFonts w:ascii="Times New Roman" w:hAnsi="Times New Roman" w:cs="Times New Roman"/>
          <w:szCs w:val="24"/>
          <w:vertAlign w:val="subscript"/>
        </w:rPr>
        <w:t>S4a</w:t>
      </w:r>
      <w:r>
        <w:rPr>
          <w:rFonts w:ascii="Times New Roman" w:hAnsi="Times New Roman" w:cs="Times New Roman"/>
          <w:szCs w:val="24"/>
        </w:rPr>
        <w:t>=A</w:t>
      </w:r>
      <w:r>
        <w:rPr>
          <w:rFonts w:ascii="Times New Roman" w:hAnsi="Times New Roman" w:cs="Times New Roman"/>
          <w:szCs w:val="24"/>
          <w:vertAlign w:val="subscript"/>
        </w:rPr>
        <w:t>4a</w:t>
      </w:r>
      <w:r>
        <w:rPr>
          <w:rFonts w:ascii="Times New Roman" w:hAnsi="Times New Roman" w:cs="Times New Roman"/>
          <w:szCs w:val="24"/>
        </w:rPr>
        <w:t>/A×100%                 (3.0.5-10)</w:t>
      </w:r>
    </w:p>
    <w:p>
      <w:pPr>
        <w:ind w:firstLine="600" w:firstLineChars="25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式中：P</w:t>
      </w:r>
      <w:r>
        <w:rPr>
          <w:rFonts w:ascii="Times New Roman" w:hAnsi="Times New Roman" w:cs="Times New Roman"/>
          <w:szCs w:val="24"/>
          <w:vertAlign w:val="subscript"/>
        </w:rPr>
        <w:t>S4a</w:t>
      </w:r>
      <w:r>
        <w:rPr>
          <w:rFonts w:ascii="Times New Roman" w:hAnsi="Times New Roman" w:cs="Times New Roman"/>
          <w:szCs w:val="24"/>
        </w:rPr>
        <w:t xml:space="preserve"> -保温材料绿色建材应用比例；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A</w:t>
      </w:r>
      <w:r>
        <w:rPr>
          <w:rFonts w:ascii="Times New Roman" w:hAnsi="Times New Roman" w:cs="Times New Roman"/>
          <w:szCs w:val="24"/>
          <w:vertAlign w:val="subscript"/>
        </w:rPr>
        <w:t>4a</w:t>
      </w:r>
      <w:r>
        <w:rPr>
          <w:rFonts w:ascii="Times New Roman" w:hAnsi="Times New Roman" w:cs="Times New Roman"/>
          <w:szCs w:val="24"/>
        </w:rPr>
        <w:t>-保温材料应用绿色建材的面积之和；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A-需要进行保温的总面积</w:t>
      </w:r>
      <w:r>
        <w:rPr>
          <w:rFonts w:hint="eastAsia" w:ascii="Times New Roman" w:hAnsi="Times New Roman" w:cs="Times New Roman"/>
          <w:szCs w:val="24"/>
        </w:rPr>
        <w:t>。</w:t>
      </w:r>
    </w:p>
    <w:p>
      <w:pPr>
        <w:ind w:firstLine="20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注：当保温</w:t>
      </w:r>
      <w:r>
        <w:rPr>
          <w:rFonts w:ascii="Times New Roman" w:hAnsi="Times New Roman" w:cs="Times New Roman"/>
          <w:szCs w:val="21"/>
        </w:rPr>
        <w:t>材料</w:t>
      </w:r>
      <w:r>
        <w:rPr>
          <w:rFonts w:hint="eastAsia" w:ascii="Times New Roman" w:hAnsi="Times New Roman" w:cs="Times New Roman"/>
          <w:szCs w:val="21"/>
        </w:rPr>
        <w:t>以体积计量</w:t>
      </w:r>
      <w:r>
        <w:rPr>
          <w:rFonts w:ascii="Times New Roman" w:hAnsi="Times New Roman" w:cs="Times New Roman"/>
          <w:szCs w:val="21"/>
        </w:rPr>
        <w:t>时</w:t>
      </w:r>
      <w:r>
        <w:rPr>
          <w:rFonts w:hint="eastAsia" w:ascii="Times New Roman" w:hAnsi="Times New Roman" w:cs="Times New Roman"/>
          <w:szCs w:val="21"/>
        </w:rPr>
        <w:t>，应</w:t>
      </w:r>
      <w:r>
        <w:rPr>
          <w:rFonts w:ascii="Times New Roman" w:hAnsi="Times New Roman" w:cs="Times New Roman"/>
          <w:szCs w:val="21"/>
        </w:rPr>
        <w:t>按</w:t>
      </w:r>
      <w:r>
        <w:rPr>
          <w:rFonts w:hint="eastAsia" w:ascii="Times New Roman" w:hAnsi="Times New Roman" w:cs="Times New Roman"/>
          <w:szCs w:val="21"/>
        </w:rPr>
        <w:t>其</w:t>
      </w:r>
      <w:r>
        <w:rPr>
          <w:rFonts w:ascii="Times New Roman" w:hAnsi="Times New Roman" w:cs="Times New Roman"/>
          <w:szCs w:val="21"/>
        </w:rPr>
        <w:t>体积</w:t>
      </w:r>
      <w:r>
        <w:rPr>
          <w:rFonts w:hint="eastAsia" w:ascii="Times New Roman" w:hAnsi="Times New Roman" w:cs="Times New Roman"/>
          <w:szCs w:val="21"/>
        </w:rPr>
        <w:t>与</w:t>
      </w:r>
      <w:r>
        <w:rPr>
          <w:rFonts w:ascii="Times New Roman" w:hAnsi="Times New Roman" w:cs="Times New Roman"/>
          <w:szCs w:val="21"/>
        </w:rPr>
        <w:t>厚度换算成面积。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11  </w:t>
      </w:r>
      <w:r>
        <w:rPr>
          <w:rFonts w:ascii="Times New Roman" w:hAnsi="Times New Roman" w:cs="Times New Roman"/>
          <w:szCs w:val="24"/>
        </w:rPr>
        <w:t>卫生洁具绿色建材应用比例应按下式计算：</w:t>
      </w:r>
    </w:p>
    <w:p>
      <w:pPr>
        <w:wordWrap w:val="0"/>
        <w:ind w:firstLine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P</w:t>
      </w:r>
      <w:r>
        <w:rPr>
          <w:rFonts w:ascii="Times New Roman" w:hAnsi="Times New Roman" w:cs="Times New Roman"/>
          <w:szCs w:val="24"/>
          <w:vertAlign w:val="subscript"/>
        </w:rPr>
        <w:t>S4b</w:t>
      </w:r>
      <w:r>
        <w:rPr>
          <w:rFonts w:ascii="Times New Roman" w:hAnsi="Times New Roman" w:cs="Times New Roman"/>
          <w:szCs w:val="24"/>
        </w:rPr>
        <w:t>=T</w:t>
      </w:r>
      <w:r>
        <w:rPr>
          <w:rFonts w:ascii="Times New Roman" w:hAnsi="Times New Roman" w:cs="Times New Roman"/>
          <w:szCs w:val="24"/>
          <w:vertAlign w:val="subscript"/>
        </w:rPr>
        <w:t>4b</w:t>
      </w:r>
      <w:r>
        <w:rPr>
          <w:rFonts w:ascii="Times New Roman" w:hAnsi="Times New Roman" w:cs="Times New Roman"/>
          <w:szCs w:val="24"/>
        </w:rPr>
        <w:t>/T×100%                   (3.0.5-11)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式中：P</w:t>
      </w:r>
      <w:r>
        <w:rPr>
          <w:rFonts w:ascii="Times New Roman" w:hAnsi="Times New Roman" w:cs="Times New Roman"/>
          <w:szCs w:val="24"/>
          <w:vertAlign w:val="subscript"/>
        </w:rPr>
        <w:t>S4b</w:t>
      </w:r>
      <w:r>
        <w:rPr>
          <w:rFonts w:ascii="Times New Roman" w:hAnsi="Times New Roman" w:cs="Times New Roman"/>
          <w:szCs w:val="24"/>
        </w:rPr>
        <w:t>-卫生洁具绿色建材应用比例；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T</w:t>
      </w:r>
      <w:r>
        <w:rPr>
          <w:rFonts w:ascii="Times New Roman" w:hAnsi="Times New Roman" w:cs="Times New Roman"/>
          <w:szCs w:val="24"/>
          <w:vertAlign w:val="subscript"/>
        </w:rPr>
        <w:t>4b</w:t>
      </w:r>
      <w:r>
        <w:rPr>
          <w:rFonts w:ascii="Times New Roman" w:hAnsi="Times New Roman" w:cs="Times New Roman"/>
          <w:szCs w:val="24"/>
        </w:rPr>
        <w:t>-卫生洁具应用绿色建材的套数之和；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T-工程卫生洁具总套数。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12  </w:t>
      </w:r>
      <w:r>
        <w:rPr>
          <w:rFonts w:ascii="Times New Roman" w:hAnsi="Times New Roman" w:cs="Times New Roman"/>
          <w:szCs w:val="24"/>
        </w:rPr>
        <w:t>防水材料绿色建材应用比例应按下式计算：</w:t>
      </w:r>
    </w:p>
    <w:p>
      <w:pPr>
        <w:wordWrap w:val="0"/>
        <w:ind w:firstLine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P</w:t>
      </w:r>
      <w:r>
        <w:rPr>
          <w:rFonts w:ascii="Times New Roman" w:hAnsi="Times New Roman" w:cs="Times New Roman"/>
          <w:szCs w:val="24"/>
          <w:vertAlign w:val="subscript"/>
        </w:rPr>
        <w:t>S4c</w:t>
      </w:r>
      <w:r>
        <w:rPr>
          <w:rFonts w:ascii="Times New Roman" w:hAnsi="Times New Roman" w:cs="Times New Roman"/>
          <w:szCs w:val="24"/>
        </w:rPr>
        <w:t>=A</w:t>
      </w:r>
      <w:r>
        <w:rPr>
          <w:rFonts w:ascii="Times New Roman" w:hAnsi="Times New Roman" w:cs="Times New Roman"/>
          <w:szCs w:val="24"/>
          <w:vertAlign w:val="subscript"/>
        </w:rPr>
        <w:t>4c</w:t>
      </w:r>
      <w:r>
        <w:rPr>
          <w:rFonts w:ascii="Times New Roman" w:hAnsi="Times New Roman" w:cs="Times New Roman"/>
          <w:szCs w:val="24"/>
        </w:rPr>
        <w:t>/A×100%                  (3.0.5-12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式中：P</w:t>
      </w:r>
      <w:r>
        <w:rPr>
          <w:rFonts w:ascii="Times New Roman" w:hAnsi="Times New Roman" w:cs="Times New Roman"/>
          <w:szCs w:val="24"/>
          <w:vertAlign w:val="subscript"/>
        </w:rPr>
        <w:t>S4c</w:t>
      </w:r>
      <w:r>
        <w:rPr>
          <w:rFonts w:ascii="Times New Roman" w:hAnsi="Times New Roman" w:cs="Times New Roman"/>
          <w:szCs w:val="24"/>
        </w:rPr>
        <w:t>-防水材料绿色建材应用比例；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A</w:t>
      </w:r>
      <w:r>
        <w:rPr>
          <w:rFonts w:ascii="Times New Roman" w:hAnsi="Times New Roman" w:cs="Times New Roman"/>
          <w:szCs w:val="24"/>
          <w:vertAlign w:val="subscript"/>
        </w:rPr>
        <w:t>4c</w:t>
      </w:r>
      <w:r>
        <w:rPr>
          <w:rFonts w:ascii="Times New Roman" w:hAnsi="Times New Roman" w:cs="Times New Roman"/>
          <w:szCs w:val="24"/>
        </w:rPr>
        <w:t>-防水材料应用绿色建材的面积之和；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A-防水材料应用的总面积。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 xml:space="preserve">13  </w:t>
      </w:r>
      <w:r>
        <w:rPr>
          <w:rFonts w:hint="eastAsia" w:ascii="Times New Roman" w:hAnsi="Times New Roman" w:cs="Times New Roman"/>
          <w:szCs w:val="24"/>
        </w:rPr>
        <w:t>密封</w:t>
      </w:r>
      <w:r>
        <w:rPr>
          <w:rFonts w:ascii="Times New Roman" w:hAnsi="Times New Roman" w:cs="Times New Roman"/>
          <w:szCs w:val="24"/>
        </w:rPr>
        <w:t>材料绿色建材应用比例应按下式计算：</w:t>
      </w:r>
    </w:p>
    <w:p>
      <w:pPr>
        <w:wordWrap w:val="0"/>
        <w:ind w:firstLine="20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</w:t>
      </w:r>
      <w:r>
        <w:rPr>
          <w:rFonts w:ascii="Times New Roman" w:hAnsi="Times New Roman" w:cs="Times New Roman"/>
          <w:szCs w:val="24"/>
          <w:vertAlign w:val="subscript"/>
        </w:rPr>
        <w:t>S4d</w:t>
      </w:r>
      <w:r>
        <w:rPr>
          <w:rFonts w:ascii="Times New Roman" w:hAnsi="Times New Roman" w:cs="Times New Roman"/>
          <w:szCs w:val="24"/>
        </w:rPr>
        <w:t>=M</w:t>
      </w:r>
      <w:r>
        <w:rPr>
          <w:rFonts w:ascii="Times New Roman" w:hAnsi="Times New Roman" w:cs="Times New Roman"/>
          <w:szCs w:val="24"/>
          <w:vertAlign w:val="subscript"/>
        </w:rPr>
        <w:t>4d</w:t>
      </w:r>
      <w:r>
        <w:rPr>
          <w:rFonts w:ascii="Times New Roman" w:hAnsi="Times New Roman" w:cs="Times New Roman"/>
          <w:szCs w:val="24"/>
        </w:rPr>
        <w:t>/M×100%                  (3.0.5-13</w:t>
      </w:r>
      <w:r>
        <w:rPr>
          <w:rFonts w:hint="eastAsia" w:ascii="Times New Roman" w:hAnsi="Times New Roman" w:cs="Times New Roman"/>
          <w:szCs w:val="24"/>
        </w:rPr>
        <w:t>)</w:t>
      </w:r>
    </w:p>
    <w:p>
      <w:pPr>
        <w:ind w:firstLine="480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式中：P</w:t>
      </w:r>
      <w:r>
        <w:rPr>
          <w:rFonts w:ascii="Times New Roman" w:hAnsi="Times New Roman" w:cs="Times New Roman"/>
          <w:szCs w:val="24"/>
          <w:vertAlign w:val="subscript"/>
        </w:rPr>
        <w:t>S4d</w:t>
      </w:r>
      <w:r>
        <w:rPr>
          <w:rFonts w:ascii="Times New Roman" w:hAnsi="Times New Roman" w:cs="Times New Roman"/>
          <w:szCs w:val="24"/>
        </w:rPr>
        <w:t xml:space="preserve"> –</w:t>
      </w:r>
      <w:r>
        <w:rPr>
          <w:rFonts w:hint="eastAsia" w:ascii="Times New Roman" w:hAnsi="Times New Roman" w:cs="Times New Roman"/>
          <w:szCs w:val="24"/>
        </w:rPr>
        <w:t>密封</w:t>
      </w:r>
      <w:r>
        <w:rPr>
          <w:rFonts w:ascii="Times New Roman" w:hAnsi="Times New Roman" w:cs="Times New Roman"/>
          <w:szCs w:val="24"/>
        </w:rPr>
        <w:t>材料绿色建材应用比例；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M</w:t>
      </w:r>
      <w:r>
        <w:rPr>
          <w:rFonts w:ascii="Times New Roman" w:hAnsi="Times New Roman" w:cs="Times New Roman"/>
          <w:szCs w:val="24"/>
          <w:vertAlign w:val="subscript"/>
        </w:rPr>
        <w:t>4d</w:t>
      </w:r>
      <w:r>
        <w:rPr>
          <w:rFonts w:ascii="Times New Roman" w:hAnsi="Times New Roman" w:cs="Times New Roman"/>
          <w:szCs w:val="24"/>
        </w:rPr>
        <w:t>-</w:t>
      </w:r>
      <w:r>
        <w:rPr>
          <w:rFonts w:hint="eastAsia" w:ascii="Times New Roman" w:hAnsi="Times New Roman" w:cs="Times New Roman"/>
          <w:szCs w:val="24"/>
        </w:rPr>
        <w:t>密封材料</w:t>
      </w:r>
      <w:r>
        <w:rPr>
          <w:rFonts w:ascii="Times New Roman" w:hAnsi="Times New Roman" w:cs="Times New Roman"/>
          <w:szCs w:val="24"/>
        </w:rPr>
        <w:t>应用绿色建材</w:t>
      </w:r>
      <w:r>
        <w:rPr>
          <w:rFonts w:hint="eastAsia" w:ascii="Times New Roman" w:hAnsi="Times New Roman" w:cs="Times New Roman"/>
          <w:szCs w:val="24"/>
        </w:rPr>
        <w:t>的质量</w:t>
      </w:r>
      <w:r>
        <w:rPr>
          <w:rFonts w:ascii="Times New Roman" w:hAnsi="Times New Roman" w:cs="Times New Roman"/>
          <w:szCs w:val="24"/>
        </w:rPr>
        <w:t>之和；</w:t>
      </w:r>
    </w:p>
    <w:p>
      <w:pPr>
        <w:ind w:firstLine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M-</w:t>
      </w:r>
      <w:r>
        <w:rPr>
          <w:rFonts w:hint="eastAsia" w:ascii="Times New Roman" w:hAnsi="Times New Roman" w:cs="Times New Roman"/>
          <w:szCs w:val="24"/>
        </w:rPr>
        <w:t>密封材料</w:t>
      </w:r>
      <w:r>
        <w:rPr>
          <w:rFonts w:ascii="Times New Roman" w:hAnsi="Times New Roman" w:cs="Times New Roman"/>
          <w:szCs w:val="24"/>
        </w:rPr>
        <w:t>应用的总</w:t>
      </w:r>
      <w:r>
        <w:rPr>
          <w:rFonts w:hint="eastAsia" w:ascii="Times New Roman" w:hAnsi="Times New Roman" w:cs="Times New Roman"/>
          <w:szCs w:val="24"/>
        </w:rPr>
        <w:t>质量（包含</w:t>
      </w:r>
      <w:r>
        <w:rPr>
          <w:rFonts w:ascii="Times New Roman" w:hAnsi="Times New Roman" w:cs="Times New Roman"/>
          <w:szCs w:val="24"/>
        </w:rPr>
        <w:t>建筑密封胶和密封条</w:t>
      </w:r>
      <w:r>
        <w:rPr>
          <w:rFonts w:hint="eastAsia" w:ascii="Times New Roman" w:hAnsi="Times New Roman" w:cs="Times New Roman"/>
          <w:szCs w:val="24"/>
        </w:rPr>
        <w:t>等）</w:t>
      </w:r>
      <w:r>
        <w:rPr>
          <w:rFonts w:ascii="Times New Roman" w:hAnsi="Times New Roman" w:cs="Times New Roman"/>
          <w:szCs w:val="24"/>
        </w:rPr>
        <w:t>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14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其他主要材料绿色建材应用比例参照上述公式计算，满足相关条件时可得</w:t>
      </w:r>
      <w:r>
        <w:rPr>
          <w:rFonts w:ascii="Times New Roman" w:hAnsi="Times New Roman" w:cs="Times New Roman"/>
          <w:szCs w:val="24"/>
        </w:rPr>
        <w:t>5</w:t>
      </w:r>
      <w:r>
        <w:rPr>
          <w:rFonts w:hint="eastAsia" w:ascii="Times New Roman" w:hAnsi="Times New Roman" w:cs="Times New Roman"/>
          <w:szCs w:val="24"/>
        </w:rPr>
        <w:t>分。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3.0.6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进行绿色建材应用比例计算时，还应满足以下要求：</w:t>
      </w:r>
    </w:p>
    <w:p>
      <w:pPr>
        <w:ind w:firstLine="420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b/>
          <w:szCs w:val="24"/>
        </w:rPr>
        <w:t>1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ascii="Times New Roman" w:hAnsi="Times New Roman" w:cs="Times New Roman"/>
          <w:szCs w:val="21"/>
        </w:rPr>
        <w:t>预拌混凝土应包含预制部品部件的混凝土用量；预拌砂浆应包含预制部品部件的砂浆用量；围护墙、内隔墙采用预制构件时，计入相应体积计算；结构保温装修等一体化构件分别计入相应的墙体、装修、保温、防水材料计算公式进行计算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2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非承重围护墙、内隔墙核算其</w:t>
      </w:r>
      <w:r>
        <w:rPr>
          <w:rFonts w:ascii="Times New Roman" w:hAnsi="Times New Roman" w:cs="Times New Roman"/>
          <w:szCs w:val="24"/>
        </w:rPr>
        <w:t>绿色建材应用</w:t>
      </w:r>
      <w:r>
        <w:rPr>
          <w:rFonts w:hint="eastAsia" w:ascii="Times New Roman" w:hAnsi="Times New Roman" w:cs="Times New Roman"/>
          <w:szCs w:val="24"/>
        </w:rPr>
        <w:t>体积</w:t>
      </w:r>
      <w:r>
        <w:rPr>
          <w:rFonts w:ascii="Times New Roman" w:hAnsi="Times New Roman" w:cs="Times New Roman"/>
          <w:szCs w:val="24"/>
        </w:rPr>
        <w:t>时</w:t>
      </w:r>
      <w:r>
        <w:rPr>
          <w:rFonts w:hint="eastAsia" w:ascii="Times New Roman" w:hAnsi="Times New Roman" w:cs="Times New Roman"/>
          <w:szCs w:val="24"/>
        </w:rPr>
        <w:t>，砌筑砂浆、连接配件、填缝材料等为非绿色建材时，体积可不扣除。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当</w:t>
      </w:r>
      <w:r>
        <w:rPr>
          <w:rFonts w:ascii="Times New Roman" w:hAnsi="Times New Roman" w:cs="Times New Roman"/>
          <w:szCs w:val="24"/>
        </w:rPr>
        <w:t>非承重围护墙采用围护墙与保温</w:t>
      </w:r>
      <w:r>
        <w:rPr>
          <w:rFonts w:hint="eastAsia" w:ascii="Times New Roman" w:hAnsi="Times New Roman" w:cs="Times New Roman"/>
          <w:szCs w:val="24"/>
        </w:rPr>
        <w:t>装饰</w:t>
      </w:r>
      <w:r>
        <w:rPr>
          <w:rFonts w:ascii="Times New Roman" w:hAnsi="Times New Roman" w:cs="Times New Roman"/>
          <w:szCs w:val="24"/>
        </w:rPr>
        <w:t>一体化</w:t>
      </w:r>
      <w:r>
        <w:rPr>
          <w:rFonts w:hint="eastAsia" w:ascii="Times New Roman" w:hAnsi="Times New Roman" w:cs="Times New Roman"/>
          <w:szCs w:val="24"/>
        </w:rPr>
        <w:t>时，外墙</w:t>
      </w:r>
      <w:r>
        <w:rPr>
          <w:rFonts w:ascii="Times New Roman" w:hAnsi="Times New Roman" w:cs="Times New Roman"/>
          <w:szCs w:val="24"/>
        </w:rPr>
        <w:t>装饰饰面层与非承重围护墙两项可</w:t>
      </w:r>
      <w:r>
        <w:rPr>
          <w:rFonts w:hint="eastAsia" w:ascii="Times New Roman" w:hAnsi="Times New Roman" w:cs="Times New Roman"/>
          <w:szCs w:val="24"/>
        </w:rPr>
        <w:t>分别</w:t>
      </w:r>
      <w:r>
        <w:rPr>
          <w:rFonts w:ascii="Times New Roman" w:hAnsi="Times New Roman" w:cs="Times New Roman"/>
          <w:szCs w:val="24"/>
        </w:rPr>
        <w:t>计分。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4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当</w:t>
      </w:r>
      <w:r>
        <w:rPr>
          <w:rFonts w:ascii="Times New Roman" w:hAnsi="Times New Roman" w:cs="Times New Roman"/>
          <w:szCs w:val="24"/>
        </w:rPr>
        <w:t>内隔墙采用隔墙与保温装饰一体化时，内</w:t>
      </w:r>
      <w:r>
        <w:rPr>
          <w:rFonts w:hint="eastAsia" w:ascii="Times New Roman" w:hAnsi="Times New Roman" w:cs="Times New Roman"/>
          <w:szCs w:val="24"/>
        </w:rPr>
        <w:t>隔墙</w:t>
      </w:r>
      <w:r>
        <w:rPr>
          <w:rFonts w:ascii="Times New Roman" w:hAnsi="Times New Roman" w:cs="Times New Roman"/>
          <w:szCs w:val="24"/>
        </w:rPr>
        <w:t>与内隔墙装饰</w:t>
      </w:r>
      <w:r>
        <w:rPr>
          <w:rFonts w:hint="eastAsia" w:ascii="Times New Roman" w:hAnsi="Times New Roman" w:cs="Times New Roman"/>
          <w:szCs w:val="24"/>
        </w:rPr>
        <w:t>面层</w:t>
      </w:r>
      <w:r>
        <w:rPr>
          <w:rFonts w:ascii="Times New Roman" w:hAnsi="Times New Roman" w:cs="Times New Roman"/>
          <w:szCs w:val="24"/>
        </w:rPr>
        <w:t>两项可</w:t>
      </w:r>
      <w:r>
        <w:rPr>
          <w:rFonts w:hint="eastAsia" w:ascii="Times New Roman" w:hAnsi="Times New Roman" w:cs="Times New Roman"/>
          <w:szCs w:val="24"/>
        </w:rPr>
        <w:t>分别</w:t>
      </w:r>
      <w:r>
        <w:rPr>
          <w:rFonts w:ascii="Times New Roman" w:hAnsi="Times New Roman" w:cs="Times New Roman"/>
          <w:szCs w:val="24"/>
        </w:rPr>
        <w:t>计分。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5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 xml:space="preserve"> 玻璃幕墙应按外墙装饰面层计算，玻璃内隔墙应按内隔墙计算，室内低于层高的玻璃隔断应按门窗玻璃计算。</w:t>
      </w:r>
    </w:p>
    <w:p>
      <w:pPr>
        <w:jc w:val="left"/>
        <w:rPr>
          <w:rFonts w:cs="Times New Roman"/>
          <w:szCs w:val="24"/>
        </w:rPr>
      </w:pPr>
    </w:p>
    <w:p>
      <w:pPr>
        <w:jc w:val="center"/>
        <w:rPr>
          <w:rFonts w:cs="Times New Roman"/>
          <w:b/>
          <w:szCs w:val="24"/>
        </w:rPr>
      </w:pPr>
      <w:r>
        <w:rPr>
          <w:rFonts w:hint="eastAsia"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</w:t>
      </w:r>
      <w:r>
        <w:rPr>
          <w:rFonts w:hint="eastAsia" w:cs="Times New Roman"/>
          <w:b/>
          <w:szCs w:val="24"/>
        </w:rPr>
        <w:t>核算资料</w:t>
      </w:r>
    </w:p>
    <w:p>
      <w:pPr>
        <w:jc w:val="center"/>
        <w:rPr>
          <w:rFonts w:cs="Times New Roman"/>
          <w:b/>
          <w:szCs w:val="24"/>
        </w:rPr>
      </w:pPr>
    </w:p>
    <w:p>
      <w:pPr>
        <w:rPr>
          <w:rFonts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4.0.1 </w:t>
      </w:r>
      <w:r>
        <w:rPr>
          <w:rFonts w:cs="Times New Roman"/>
          <w:szCs w:val="24"/>
        </w:rPr>
        <w:t xml:space="preserve"> </w:t>
      </w:r>
      <w:r>
        <w:rPr>
          <w:rFonts w:hint="eastAsia" w:cs="Times New Roman"/>
          <w:szCs w:val="24"/>
        </w:rPr>
        <w:t>按</w:t>
      </w:r>
      <w:r>
        <w:rPr>
          <w:rFonts w:cs="Times New Roman"/>
          <w:szCs w:val="24"/>
        </w:rPr>
        <w:t>相关要求应开展绿色建材应用比例核算的项目</w:t>
      </w:r>
      <w:r>
        <w:rPr>
          <w:rFonts w:hint="eastAsia" w:cs="Times New Roman"/>
          <w:szCs w:val="24"/>
        </w:rPr>
        <w:t>，</w:t>
      </w:r>
      <w:r>
        <w:rPr>
          <w:rFonts w:cs="Times New Roman"/>
          <w:szCs w:val="24"/>
        </w:rPr>
        <w:t>建设单位应</w:t>
      </w:r>
      <w:r>
        <w:rPr>
          <w:rFonts w:hint="eastAsia" w:cs="Times New Roman"/>
          <w:szCs w:val="24"/>
        </w:rPr>
        <w:t>向绿色建材应用比例核算单位</w:t>
      </w:r>
      <w:r>
        <w:rPr>
          <w:rFonts w:cs="Times New Roman"/>
          <w:szCs w:val="24"/>
        </w:rPr>
        <w:t>提交</w:t>
      </w:r>
      <w:r>
        <w:rPr>
          <w:rFonts w:hint="eastAsia" w:cs="Times New Roman"/>
          <w:szCs w:val="24"/>
        </w:rPr>
        <w:t>对应</w:t>
      </w:r>
      <w:r>
        <w:rPr>
          <w:rFonts w:cs="Times New Roman"/>
          <w:szCs w:val="24"/>
        </w:rPr>
        <w:t>的技术支撑材料</w:t>
      </w:r>
      <w:r>
        <w:rPr>
          <w:rFonts w:hint="eastAsia" w:cs="Times New Roman"/>
          <w:szCs w:val="24"/>
        </w:rPr>
        <w:t>，</w:t>
      </w:r>
      <w:r>
        <w:rPr>
          <w:rFonts w:cs="Times New Roman"/>
          <w:szCs w:val="24"/>
        </w:rPr>
        <w:t>并对其提交材料的真实性和完整性负责</w:t>
      </w:r>
      <w:r>
        <w:rPr>
          <w:rFonts w:hint="eastAsia" w:cs="Times New Roman"/>
          <w:szCs w:val="24"/>
        </w:rPr>
        <w:t>。</w:t>
      </w:r>
    </w:p>
    <w:p>
      <w:pPr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4</w:t>
      </w:r>
      <w:r>
        <w:rPr>
          <w:rFonts w:ascii="Times New Roman" w:hAnsi="Times New Roman" w:cs="Times New Roman"/>
          <w:b/>
          <w:szCs w:val="24"/>
        </w:rPr>
        <w:t xml:space="preserve">.0.2 </w:t>
      </w:r>
      <w:r>
        <w:rPr>
          <w:rFonts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建设</w:t>
      </w:r>
      <w:r>
        <w:rPr>
          <w:rFonts w:ascii="Times New Roman" w:hAnsi="Times New Roman" w:cs="Times New Roman"/>
          <w:szCs w:val="24"/>
        </w:rPr>
        <w:t>单位</w:t>
      </w:r>
      <w:r>
        <w:rPr>
          <w:rFonts w:hint="eastAsia" w:ascii="Times New Roman" w:hAnsi="Times New Roman" w:cs="Times New Roman"/>
          <w:szCs w:val="24"/>
        </w:rPr>
        <w:t>提供的</w:t>
      </w:r>
      <w:r>
        <w:rPr>
          <w:rFonts w:ascii="Times New Roman" w:hAnsi="Times New Roman" w:cs="Times New Roman"/>
          <w:szCs w:val="24"/>
        </w:rPr>
        <w:t>技术支撑</w:t>
      </w:r>
      <w:r>
        <w:rPr>
          <w:rFonts w:hint="eastAsia" w:ascii="Times New Roman" w:hAnsi="Times New Roman" w:cs="Times New Roman"/>
          <w:szCs w:val="24"/>
        </w:rPr>
        <w:t>材料应</w:t>
      </w:r>
      <w:r>
        <w:rPr>
          <w:rFonts w:ascii="Times New Roman" w:hAnsi="Times New Roman" w:cs="Times New Roman"/>
          <w:szCs w:val="24"/>
        </w:rPr>
        <w:t>包含下列内容：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1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 xml:space="preserve"> 工程竣工</w:t>
      </w:r>
      <w:r>
        <w:rPr>
          <w:rFonts w:ascii="Times New Roman" w:hAnsi="Times New Roman" w:cs="Times New Roman"/>
          <w:szCs w:val="24"/>
        </w:rPr>
        <w:t>说明及竣工</w:t>
      </w:r>
      <w:r>
        <w:rPr>
          <w:rFonts w:hint="eastAsia" w:ascii="Times New Roman" w:hAnsi="Times New Roman" w:cs="Times New Roman"/>
          <w:szCs w:val="24"/>
        </w:rPr>
        <w:t>图；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2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工程</w:t>
      </w:r>
      <w:r>
        <w:rPr>
          <w:rFonts w:ascii="Times New Roman" w:hAnsi="Times New Roman" w:cs="Times New Roman"/>
          <w:szCs w:val="24"/>
        </w:rPr>
        <w:t>材料决算</w:t>
      </w:r>
      <w:r>
        <w:rPr>
          <w:rFonts w:hint="eastAsia" w:ascii="Times New Roman" w:hAnsi="Times New Roman" w:cs="Times New Roman"/>
          <w:szCs w:val="24"/>
        </w:rPr>
        <w:t>明细；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3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主要材料合同或</w:t>
      </w:r>
      <w:r>
        <w:rPr>
          <w:rFonts w:ascii="Times New Roman" w:hAnsi="Times New Roman" w:cs="Times New Roman"/>
          <w:szCs w:val="24"/>
        </w:rPr>
        <w:t>发票复印件；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4</w:t>
      </w:r>
      <w:r>
        <w:rPr>
          <w:rFonts w:hint="eastAsia"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材料进场验收移交表</w:t>
      </w:r>
      <w:r>
        <w:rPr>
          <w:rFonts w:ascii="Times New Roman" w:hAnsi="Times New Roman" w:cs="Times New Roman"/>
          <w:szCs w:val="24"/>
        </w:rPr>
        <w:t>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5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施工</w:t>
      </w:r>
      <w:r>
        <w:rPr>
          <w:rFonts w:ascii="Times New Roman" w:hAnsi="Times New Roman" w:cs="Times New Roman"/>
          <w:szCs w:val="24"/>
        </w:rPr>
        <w:t>记录文件；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6</w:t>
      </w:r>
      <w:r>
        <w:rPr>
          <w:rFonts w:hint="eastAsia" w:ascii="Times New Roman" w:hAnsi="Times New Roman" w:cs="Times New Roman"/>
          <w:b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 xml:space="preserve"> 相关</w:t>
      </w:r>
      <w:r>
        <w:rPr>
          <w:rFonts w:ascii="Times New Roman" w:hAnsi="Times New Roman" w:cs="Times New Roman"/>
          <w:szCs w:val="24"/>
        </w:rPr>
        <w:t>产品使用说明</w:t>
      </w:r>
      <w:r>
        <w:rPr>
          <w:rFonts w:hint="eastAsia" w:ascii="Times New Roman" w:hAnsi="Times New Roman" w:cs="Times New Roman"/>
          <w:szCs w:val="24"/>
        </w:rPr>
        <w:t>；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7</w:t>
      </w:r>
      <w:r>
        <w:rPr>
          <w:rFonts w:hint="eastAsia" w:ascii="Times New Roman" w:hAnsi="Times New Roman" w:cs="Times New Roman"/>
          <w:szCs w:val="24"/>
        </w:rPr>
        <w:t xml:space="preserve">  产品</w:t>
      </w:r>
      <w:r>
        <w:rPr>
          <w:rFonts w:ascii="Times New Roman" w:hAnsi="Times New Roman" w:cs="Times New Roman"/>
          <w:szCs w:val="24"/>
        </w:rPr>
        <w:t>性能检测报告（</w:t>
      </w:r>
      <w:r>
        <w:rPr>
          <w:rFonts w:hint="eastAsia" w:ascii="Times New Roman" w:hAnsi="Times New Roman" w:cs="Times New Roman"/>
          <w:szCs w:val="24"/>
        </w:rPr>
        <w:t>有效期</w:t>
      </w:r>
      <w:r>
        <w:rPr>
          <w:rFonts w:ascii="Times New Roman" w:hAnsi="Times New Roman" w:cs="Times New Roman"/>
          <w:szCs w:val="24"/>
        </w:rPr>
        <w:t>内）</w:t>
      </w:r>
    </w:p>
    <w:p>
      <w:pPr>
        <w:ind w:firstLine="482" w:firstLineChars="20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8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</w:t>
      </w:r>
      <w:r>
        <w:rPr>
          <w:rFonts w:hint="eastAsia" w:ascii="Times New Roman" w:hAnsi="Times New Roman" w:cs="Times New Roman"/>
          <w:szCs w:val="24"/>
        </w:rPr>
        <w:t>标识</w:t>
      </w:r>
      <w:r>
        <w:rPr>
          <w:rFonts w:ascii="Times New Roman" w:hAnsi="Times New Roman" w:cs="Times New Roman"/>
          <w:szCs w:val="24"/>
        </w:rPr>
        <w:t>证书</w:t>
      </w:r>
      <w:r>
        <w:rPr>
          <w:rFonts w:hint="eastAsia" w:ascii="Times New Roman" w:hAnsi="Times New Roman" w:cs="Times New Roman"/>
          <w:szCs w:val="24"/>
        </w:rPr>
        <w:t>（有效期</w:t>
      </w:r>
      <w:r>
        <w:rPr>
          <w:rFonts w:ascii="Times New Roman" w:hAnsi="Times New Roman" w:cs="Times New Roman"/>
          <w:szCs w:val="24"/>
        </w:rPr>
        <w:t>内</w:t>
      </w:r>
      <w:r>
        <w:rPr>
          <w:rFonts w:hint="eastAsia" w:ascii="Times New Roman" w:hAnsi="Times New Roman" w:cs="Times New Roman"/>
          <w:szCs w:val="24"/>
        </w:rPr>
        <w:t>）；</w:t>
      </w:r>
    </w:p>
    <w:p>
      <w:pPr>
        <w:ind w:firstLine="482" w:firstLineChars="2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9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其他</w:t>
      </w:r>
      <w:r>
        <w:rPr>
          <w:rFonts w:ascii="Times New Roman" w:hAnsi="Times New Roman" w:cs="Times New Roman"/>
          <w:szCs w:val="24"/>
        </w:rPr>
        <w:t>证明文件</w:t>
      </w:r>
      <w:r>
        <w:rPr>
          <w:rFonts w:hint="eastAsia" w:ascii="Times New Roman" w:hAnsi="Times New Roman" w:cs="Times New Roman"/>
          <w:szCs w:val="24"/>
        </w:rPr>
        <w:t>。</w:t>
      </w:r>
    </w:p>
    <w:p>
      <w:pPr>
        <w:rPr>
          <w:rFonts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>4.0.3</w:t>
      </w:r>
      <w:r>
        <w:rPr>
          <w:rFonts w:ascii="Times New Roman" w:hAnsi="Times New Roman" w:cs="Times New Roman"/>
          <w:b/>
          <w:szCs w:val="24"/>
        </w:rPr>
        <w:t xml:space="preserve">  </w:t>
      </w:r>
      <w:r>
        <w:rPr>
          <w:rFonts w:cs="Times New Roman"/>
          <w:szCs w:val="24"/>
        </w:rPr>
        <w:t>绿色建材</w:t>
      </w:r>
      <w:r>
        <w:rPr>
          <w:rFonts w:hint="eastAsia" w:cs="Times New Roman"/>
          <w:szCs w:val="24"/>
        </w:rPr>
        <w:t>应用</w:t>
      </w:r>
      <w:r>
        <w:rPr>
          <w:rFonts w:cs="Times New Roman"/>
          <w:szCs w:val="24"/>
        </w:rPr>
        <w:t>比例核算</w:t>
      </w:r>
      <w:r>
        <w:rPr>
          <w:rFonts w:hint="eastAsia" w:cs="Times New Roman"/>
          <w:szCs w:val="24"/>
        </w:rPr>
        <w:t>单位应</w:t>
      </w:r>
      <w:r>
        <w:rPr>
          <w:rFonts w:cs="Times New Roman"/>
          <w:szCs w:val="24"/>
        </w:rPr>
        <w:t>对建设单位提交的</w:t>
      </w:r>
      <w:r>
        <w:rPr>
          <w:rFonts w:hint="eastAsia" w:cs="Times New Roman"/>
          <w:szCs w:val="24"/>
        </w:rPr>
        <w:t>技术</w:t>
      </w:r>
      <w:r>
        <w:rPr>
          <w:rFonts w:cs="Times New Roman"/>
          <w:szCs w:val="24"/>
        </w:rPr>
        <w:t>支撑材料进行审查</w:t>
      </w:r>
      <w:r>
        <w:rPr>
          <w:rFonts w:hint="eastAsia" w:cs="Times New Roman"/>
          <w:szCs w:val="24"/>
        </w:rPr>
        <w:t>、核</w:t>
      </w:r>
      <w:r>
        <w:rPr>
          <w:rFonts w:cs="Times New Roman"/>
          <w:szCs w:val="24"/>
        </w:rPr>
        <w:t>算，并出具绿色建材应用比例核算</w:t>
      </w:r>
      <w:r>
        <w:rPr>
          <w:rFonts w:hint="eastAsia" w:cs="Times New Roman"/>
          <w:szCs w:val="24"/>
        </w:rPr>
        <w:t>报告（模板见附件A）</w:t>
      </w:r>
      <w:r>
        <w:rPr>
          <w:rFonts w:cs="Times New Roman"/>
          <w:szCs w:val="24"/>
        </w:rPr>
        <w:t>，必要时</w:t>
      </w:r>
      <w:r>
        <w:rPr>
          <w:rFonts w:hint="eastAsia" w:cs="Times New Roman"/>
          <w:szCs w:val="24"/>
        </w:rPr>
        <w:t>应</w:t>
      </w:r>
      <w:r>
        <w:rPr>
          <w:rFonts w:cs="Times New Roman"/>
          <w:szCs w:val="24"/>
        </w:rPr>
        <w:t>对其绿色建材应用</w:t>
      </w:r>
      <w:r>
        <w:rPr>
          <w:rFonts w:hint="eastAsia" w:cs="Times New Roman"/>
          <w:szCs w:val="24"/>
        </w:rPr>
        <w:t>情况</w:t>
      </w:r>
      <w:r>
        <w:rPr>
          <w:rFonts w:cs="Times New Roman"/>
          <w:szCs w:val="24"/>
        </w:rPr>
        <w:t>及</w:t>
      </w:r>
      <w:r>
        <w:rPr>
          <w:rFonts w:hint="eastAsia" w:cs="Times New Roman"/>
          <w:szCs w:val="24"/>
        </w:rPr>
        <w:t>技术</w:t>
      </w:r>
      <w:r>
        <w:rPr>
          <w:rFonts w:cs="Times New Roman"/>
          <w:szCs w:val="24"/>
        </w:rPr>
        <w:t>支撑材料</w:t>
      </w:r>
      <w:r>
        <w:rPr>
          <w:rFonts w:hint="eastAsia" w:cs="Times New Roman"/>
          <w:szCs w:val="24"/>
        </w:rPr>
        <w:t>真实性</w:t>
      </w:r>
      <w:r>
        <w:rPr>
          <w:rFonts w:cs="Times New Roman"/>
          <w:szCs w:val="24"/>
        </w:rPr>
        <w:t>进行</w:t>
      </w:r>
      <w:r>
        <w:rPr>
          <w:rFonts w:hint="eastAsia" w:cs="Times New Roman"/>
          <w:szCs w:val="24"/>
        </w:rPr>
        <w:t>抽查。</w:t>
      </w:r>
    </w:p>
    <w:p>
      <w:pPr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4.0.4</w:t>
      </w:r>
      <w:r>
        <w:rPr>
          <w:rFonts w:ascii="Times New Roman" w:hAnsi="Times New Roman" w:cs="Times New Roman"/>
          <w:szCs w:val="24"/>
        </w:rPr>
        <w:t xml:space="preserve"> 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比例核算报告</w:t>
      </w:r>
      <w:r>
        <w:rPr>
          <w:rFonts w:hint="eastAsia" w:ascii="Times New Roman" w:hAnsi="Times New Roman" w:cs="Times New Roman"/>
          <w:szCs w:val="24"/>
        </w:rPr>
        <w:t>应</w:t>
      </w:r>
      <w:r>
        <w:rPr>
          <w:rFonts w:ascii="Times New Roman" w:hAnsi="Times New Roman" w:cs="Times New Roman"/>
          <w:szCs w:val="24"/>
        </w:rPr>
        <w:t>包含以下内容：</w:t>
      </w:r>
    </w:p>
    <w:p>
      <w:pPr>
        <w:ind w:firstLine="361" w:firstLineChars="15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 </w:t>
      </w:r>
      <w:r>
        <w:rPr>
          <w:rFonts w:ascii="Times New Roman" w:hAnsi="Times New Roman" w:cs="Times New Roman"/>
          <w:szCs w:val="24"/>
        </w:rPr>
        <w:t xml:space="preserve"> 基本情况表</w:t>
      </w:r>
      <w:r>
        <w:rPr>
          <w:rFonts w:hint="eastAsia" w:ascii="Times New Roman" w:hAnsi="Times New Roman" w:cs="Times New Roman"/>
          <w:szCs w:val="24"/>
        </w:rPr>
        <w:t>；</w:t>
      </w:r>
    </w:p>
    <w:p>
      <w:pPr>
        <w:ind w:firstLine="361" w:firstLineChars="150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 xml:space="preserve">2 </w:t>
      </w:r>
      <w:r>
        <w:rPr>
          <w:rFonts w:hint="eastAsia" w:ascii="Times New Roman" w:hAnsi="Times New Roman" w:cs="Times New Roman"/>
          <w:szCs w:val="24"/>
        </w:rPr>
        <w:t xml:space="preserve"> 主要建筑</w:t>
      </w:r>
      <w:r>
        <w:rPr>
          <w:rFonts w:ascii="Times New Roman" w:hAnsi="Times New Roman" w:cs="Times New Roman"/>
          <w:szCs w:val="24"/>
        </w:rPr>
        <w:t>材料应用明细表；</w:t>
      </w:r>
    </w:p>
    <w:p>
      <w:pPr>
        <w:ind w:firstLine="361" w:firstLineChars="15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3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绿色建材</w:t>
      </w:r>
      <w:r>
        <w:rPr>
          <w:rFonts w:ascii="Times New Roman" w:hAnsi="Times New Roman" w:cs="Times New Roman"/>
          <w:szCs w:val="24"/>
        </w:rPr>
        <w:t>应用比例</w:t>
      </w:r>
      <w:r>
        <w:rPr>
          <w:rFonts w:hint="eastAsia" w:ascii="Times New Roman" w:hAnsi="Times New Roman" w:cs="Times New Roman"/>
          <w:szCs w:val="24"/>
        </w:rPr>
        <w:t>核算汇总表</w:t>
      </w:r>
      <w:r>
        <w:rPr>
          <w:rFonts w:ascii="Times New Roman" w:hAnsi="Times New Roman" w:cs="Times New Roman"/>
          <w:szCs w:val="24"/>
        </w:rPr>
        <w:t>；</w:t>
      </w:r>
    </w:p>
    <w:p>
      <w:pPr>
        <w:ind w:firstLine="361" w:firstLineChars="150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4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绿色</w:t>
      </w:r>
      <w:r>
        <w:rPr>
          <w:rFonts w:ascii="Times New Roman" w:hAnsi="Times New Roman" w:cs="Times New Roman"/>
          <w:szCs w:val="24"/>
        </w:rPr>
        <w:t>建材</w:t>
      </w:r>
      <w:r>
        <w:rPr>
          <w:rFonts w:hint="eastAsia" w:ascii="Times New Roman" w:hAnsi="Times New Roman" w:cs="Times New Roman"/>
          <w:szCs w:val="24"/>
        </w:rPr>
        <w:t>应用</w:t>
      </w:r>
      <w:r>
        <w:rPr>
          <w:rFonts w:ascii="Times New Roman" w:hAnsi="Times New Roman" w:cs="Times New Roman"/>
          <w:szCs w:val="24"/>
        </w:rPr>
        <w:t>比例</w:t>
      </w:r>
      <w:r>
        <w:rPr>
          <w:rFonts w:hint="eastAsia" w:ascii="Times New Roman" w:hAnsi="Times New Roman" w:cs="Times New Roman"/>
          <w:szCs w:val="24"/>
        </w:rPr>
        <w:t>核算</w:t>
      </w:r>
      <w:r>
        <w:rPr>
          <w:rFonts w:ascii="Times New Roman" w:hAnsi="Times New Roman" w:cs="Times New Roman"/>
          <w:szCs w:val="24"/>
        </w:rPr>
        <w:t>结论</w:t>
      </w:r>
      <w:r>
        <w:rPr>
          <w:rFonts w:hint="eastAsia" w:ascii="Times New Roman" w:hAnsi="Times New Roman" w:cs="Times New Roman"/>
          <w:szCs w:val="24"/>
        </w:rPr>
        <w:t>表</w:t>
      </w:r>
      <w:r>
        <w:rPr>
          <w:rFonts w:ascii="Times New Roman" w:hAnsi="Times New Roman" w:cs="Times New Roman"/>
          <w:szCs w:val="24"/>
        </w:rPr>
        <w:t>；</w:t>
      </w:r>
    </w:p>
    <w:p>
      <w:pPr>
        <w:ind w:firstLine="361" w:firstLineChars="150"/>
        <w:jc w:val="left"/>
        <w:rPr>
          <w:rFonts w:ascii="Times New Roman" w:hAnsi="Times New Roman" w:cs="Times New Roman"/>
          <w:szCs w:val="24"/>
        </w:rPr>
      </w:pPr>
      <w:r>
        <w:rPr>
          <w:rFonts w:hint="eastAsia" w:ascii="Times New Roman" w:hAnsi="Times New Roman" w:cs="Times New Roman"/>
          <w:b/>
          <w:szCs w:val="24"/>
        </w:rPr>
        <w:t xml:space="preserve">5 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hint="eastAsia" w:ascii="Times New Roman" w:hAnsi="Times New Roman" w:cs="Times New Roman"/>
          <w:szCs w:val="24"/>
        </w:rPr>
        <w:t>现场抽查核验佐证</w:t>
      </w:r>
      <w:r>
        <w:rPr>
          <w:rFonts w:ascii="Times New Roman" w:hAnsi="Times New Roman" w:cs="Times New Roman"/>
          <w:szCs w:val="24"/>
        </w:rPr>
        <w:t>材料。</w:t>
      </w:r>
    </w:p>
    <w:p>
      <w:pPr>
        <w:widowControl/>
        <w:spacing w:line="240" w:lineRule="auto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>
      <w:pPr>
        <w:ind w:firstLine="482" w:firstLineChars="200"/>
        <w:jc w:val="center"/>
        <w:rPr>
          <w:rFonts w:ascii="Times New Roman" w:hAnsi="Times New Roman" w:cs="Times New Roman"/>
          <w:b/>
          <w:szCs w:val="24"/>
        </w:rPr>
      </w:pPr>
    </w:p>
    <w:p>
      <w:pPr>
        <w:widowControl/>
        <w:spacing w:line="240" w:lineRule="auto"/>
        <w:jc w:val="left"/>
        <w:rPr>
          <w:rFonts w:ascii="Times New Roman" w:hAnsi="Times New Roman" w:eastAsia="黑体"/>
          <w:bCs/>
          <w:w w:val="110"/>
          <w:kern w:val="44"/>
          <w:sz w:val="32"/>
          <w:szCs w:val="44"/>
        </w:rPr>
      </w:pPr>
    </w:p>
    <w:p>
      <w:pPr>
        <w:ind w:right="960" w:firstLine="2640" w:firstLineChars="1100"/>
        <w:jc w:val="right"/>
        <w:rPr>
          <w:rFonts w:ascii="方正仿宋_GBK" w:eastAsia="方正仿宋_GBK"/>
          <w:bCs/>
          <w:szCs w:val="28"/>
        </w:rPr>
      </w:pPr>
      <w:r>
        <w:rPr>
          <w:rFonts w:hint="eastAsia" w:ascii="方正仿宋_GBK" w:eastAsia="方正仿宋_GBK"/>
          <w:bCs/>
          <w:szCs w:val="28"/>
        </w:rPr>
        <w:t xml:space="preserve">                  报告编号：</w:t>
      </w:r>
      <w:r>
        <w:rPr>
          <w:rFonts w:hint="eastAsia" w:ascii="方正仿宋_GBK" w:eastAsia="方正仿宋_GBK"/>
          <w:bCs/>
          <w:szCs w:val="28"/>
          <w:u w:val="single"/>
        </w:rPr>
        <w:t xml:space="preserve">     </w:t>
      </w:r>
      <w:r>
        <w:rPr>
          <w:rFonts w:hint="eastAsia" w:ascii="方正仿宋_GBK" w:eastAsia="方正仿宋_GBK"/>
          <w:bCs/>
          <w:szCs w:val="28"/>
        </w:rPr>
        <w:t xml:space="preserve">     </w:t>
      </w:r>
    </w:p>
    <w:p>
      <w:pPr>
        <w:widowControl/>
        <w:spacing w:line="240" w:lineRule="auto"/>
        <w:jc w:val="left"/>
        <w:rPr>
          <w:rFonts w:ascii="Times New Roman" w:hAnsi="Times New Roman" w:eastAsia="黑体"/>
          <w:bCs/>
          <w:w w:val="110"/>
          <w:kern w:val="44"/>
          <w:sz w:val="32"/>
          <w:szCs w:val="44"/>
        </w:rPr>
      </w:pPr>
    </w:p>
    <w:p>
      <w:pPr>
        <w:pStyle w:val="2"/>
        <w:spacing w:before="0" w:after="0" w:line="240" w:lineRule="auto"/>
      </w:pPr>
      <w:r>
        <w:rPr>
          <w:w w:val="110"/>
        </w:rPr>
        <w:t xml:space="preserve">附件1 </w:t>
      </w:r>
      <w:r>
        <w:rPr>
          <w:rFonts w:eastAsia="方正仿宋_GBK" w:cs="Times New Roman"/>
        </w:rPr>
        <w:t xml:space="preserve"> </w:t>
      </w:r>
      <w:r>
        <w:rPr>
          <w:rFonts w:hint="eastAsia"/>
          <w:w w:val="110"/>
        </w:rPr>
        <w:t>重庆市</w:t>
      </w:r>
      <w:r>
        <w:rPr>
          <w:rFonts w:hint="eastAsia"/>
        </w:rPr>
        <w:t>绿色</w:t>
      </w:r>
      <w:r>
        <w:t>建材应用比例</w:t>
      </w:r>
    </w:p>
    <w:p>
      <w:pPr>
        <w:pStyle w:val="2"/>
        <w:spacing w:before="0" w:after="0" w:line="240" w:lineRule="auto"/>
        <w:rPr>
          <w:rFonts w:eastAsia="方正仿宋_GBK" w:cs="Times New Roman"/>
        </w:rPr>
      </w:pPr>
      <w:r>
        <w:rPr>
          <w:rFonts w:hint="eastAsia"/>
        </w:rPr>
        <w:t>核算</w:t>
      </w:r>
      <w:r>
        <w:t>报告</w:t>
      </w: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jc w:val="center"/>
        <w:rPr>
          <w:rFonts w:eastAsia="仿宋_GB2312"/>
          <w:b/>
          <w:sz w:val="32"/>
          <w:szCs w:val="24"/>
        </w:rPr>
      </w:pPr>
    </w:p>
    <w:p>
      <w:pPr>
        <w:spacing w:line="420" w:lineRule="exact"/>
        <w:jc w:val="center"/>
        <w:rPr>
          <w:rFonts w:eastAsia="仿宋_GB2312"/>
          <w:b/>
          <w:sz w:val="32"/>
          <w:szCs w:val="24"/>
        </w:rPr>
      </w:pPr>
    </w:p>
    <w:p>
      <w:pPr>
        <w:spacing w:line="420" w:lineRule="exact"/>
        <w:jc w:val="center"/>
        <w:rPr>
          <w:rFonts w:eastAsia="仿宋_GB2312"/>
          <w:b/>
          <w:sz w:val="32"/>
          <w:szCs w:val="24"/>
        </w:rPr>
      </w:pP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项目</w:t>
      </w:r>
      <w:r>
        <w:rPr>
          <w:rFonts w:eastAsia="仿宋_GB2312"/>
          <w:sz w:val="32"/>
          <w:szCs w:val="32"/>
        </w:rPr>
        <w:t>名称</w:t>
      </w:r>
      <w:r>
        <w:rPr>
          <w:rFonts w:hint="eastAsia" w:eastAsia="仿宋_GB2312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  </w:t>
      </w: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  <w:u w:val="single"/>
        </w:rPr>
      </w:pP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建设</w:t>
      </w:r>
      <w:r>
        <w:rPr>
          <w:rFonts w:eastAsia="仿宋_GB2312"/>
          <w:sz w:val="32"/>
          <w:szCs w:val="32"/>
        </w:rPr>
        <w:t>单位：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   </w:t>
      </w:r>
    </w:p>
    <w:p>
      <w:pPr>
        <w:tabs>
          <w:tab w:val="left" w:pos="6580"/>
          <w:tab w:val="left" w:pos="6780"/>
        </w:tabs>
        <w:spacing w:line="420" w:lineRule="exact"/>
        <w:ind w:firstLine="2880" w:firstLineChars="900"/>
        <w:rPr>
          <w:rFonts w:eastAsia="仿宋_GB2312"/>
          <w:sz w:val="32"/>
          <w:szCs w:val="32"/>
          <w:u w:val="single"/>
        </w:rPr>
      </w:pP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核算单位：</w:t>
      </w:r>
      <w:r>
        <w:rPr>
          <w:rFonts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    </w:t>
      </w:r>
    </w:p>
    <w:p>
      <w:pPr>
        <w:tabs>
          <w:tab w:val="left" w:pos="6580"/>
          <w:tab w:val="left" w:pos="6780"/>
        </w:tabs>
        <w:spacing w:line="420" w:lineRule="exact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</w:t>
      </w: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编制日期：</w:t>
      </w:r>
      <w:r>
        <w:rPr>
          <w:rFonts w:eastAsia="仿宋_GB2312"/>
          <w:sz w:val="32"/>
          <w:szCs w:val="32"/>
          <w:u w:val="single"/>
        </w:rPr>
        <w:t xml:space="preserve">   </w:t>
      </w:r>
      <w:r>
        <w:rPr>
          <w:rFonts w:hint="eastAsia"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  <w:u w:val="single"/>
        </w:rPr>
        <w:t xml:space="preserve">              </w:t>
      </w:r>
      <w:r>
        <w:rPr>
          <w:rFonts w:hint="eastAsia" w:eastAsia="仿宋_GB2312"/>
          <w:sz w:val="32"/>
          <w:szCs w:val="32"/>
          <w:u w:val="single"/>
        </w:rPr>
        <w:t xml:space="preserve">          </w:t>
      </w:r>
    </w:p>
    <w:p>
      <w:pPr>
        <w:tabs>
          <w:tab w:val="left" w:pos="6580"/>
          <w:tab w:val="left" w:pos="6780"/>
        </w:tabs>
        <w:spacing w:line="420" w:lineRule="exact"/>
        <w:ind w:firstLine="1280" w:firstLineChars="400"/>
        <w:rPr>
          <w:rFonts w:eastAsia="仿宋_GB2312"/>
          <w:sz w:val="32"/>
          <w:szCs w:val="32"/>
          <w:u w:val="single"/>
        </w:rPr>
      </w:pPr>
    </w:p>
    <w:p>
      <w:pPr>
        <w:tabs>
          <w:tab w:val="left" w:pos="6580"/>
          <w:tab w:val="left" w:pos="6780"/>
        </w:tabs>
        <w:spacing w:line="420" w:lineRule="exact"/>
        <w:jc w:val="center"/>
        <w:rPr>
          <w:rFonts w:eastAsia="仿宋_GB2312"/>
          <w:sz w:val="32"/>
          <w:szCs w:val="24"/>
        </w:rPr>
      </w:pPr>
      <w:r>
        <w:rPr>
          <w:rFonts w:hint="eastAsia" w:eastAsia="仿宋_GB2312"/>
          <w:sz w:val="32"/>
          <w:szCs w:val="24"/>
        </w:rPr>
        <w:t xml:space="preserve">     </w:t>
      </w:r>
    </w:p>
    <w:p>
      <w:pPr>
        <w:tabs>
          <w:tab w:val="left" w:pos="6580"/>
          <w:tab w:val="left" w:pos="6780"/>
        </w:tabs>
        <w:jc w:val="center"/>
        <w:rPr>
          <w:rFonts w:eastAsia="仿宋_GB2312"/>
          <w:b/>
          <w:kern w:val="0"/>
          <w:sz w:val="32"/>
          <w:szCs w:val="24"/>
        </w:rPr>
      </w:pPr>
    </w:p>
    <w:p>
      <w:pPr>
        <w:widowControl/>
        <w:jc w:val="left"/>
        <w:rPr>
          <w:rFonts w:eastAsia="仿宋_GB2312"/>
          <w:b/>
          <w:kern w:val="0"/>
          <w:sz w:val="32"/>
          <w:szCs w:val="24"/>
        </w:rPr>
      </w:pPr>
      <w:r>
        <w:rPr>
          <w:rFonts w:eastAsia="仿宋_GB2312"/>
          <w:b/>
          <w:kern w:val="0"/>
          <w:sz w:val="32"/>
          <w:szCs w:val="24"/>
        </w:rPr>
        <w:br w:type="page"/>
      </w:r>
    </w:p>
    <w:p>
      <w:pPr>
        <w:tabs>
          <w:tab w:val="left" w:pos="6580"/>
          <w:tab w:val="left" w:pos="6780"/>
        </w:tabs>
        <w:spacing w:afterLines="50"/>
        <w:jc w:val="left"/>
        <w:rPr>
          <w:rFonts w:ascii="黑体" w:hAnsi="黑体" w:eastAsia="黑体"/>
          <w:kern w:val="0"/>
          <w:sz w:val="32"/>
          <w:szCs w:val="24"/>
        </w:rPr>
      </w:pPr>
      <w:r>
        <w:rPr>
          <w:rFonts w:hint="eastAsia" w:ascii="黑体" w:hAnsi="黑体" w:eastAsia="黑体"/>
          <w:kern w:val="0"/>
          <w:sz w:val="32"/>
          <w:szCs w:val="24"/>
        </w:rPr>
        <w:t>一、基本</w:t>
      </w:r>
      <w:r>
        <w:rPr>
          <w:rFonts w:ascii="黑体" w:hAnsi="黑体" w:eastAsia="黑体"/>
          <w:kern w:val="0"/>
          <w:sz w:val="32"/>
          <w:szCs w:val="24"/>
        </w:rPr>
        <w:t>信息表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916"/>
        <w:gridCol w:w="1916"/>
        <w:gridCol w:w="1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项目</w:t>
            </w:r>
            <w:r>
              <w:rPr>
                <w:kern w:val="0"/>
                <w:szCs w:val="24"/>
              </w:rPr>
              <w:t>名称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项目</w:t>
            </w:r>
            <w:r>
              <w:rPr>
                <w:kern w:val="0"/>
                <w:szCs w:val="24"/>
              </w:rPr>
              <w:t>地址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项目</w:t>
            </w:r>
            <w:r>
              <w:rPr>
                <w:kern w:val="0"/>
                <w:szCs w:val="24"/>
              </w:rPr>
              <w:t>类别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居住</w:t>
            </w:r>
            <w:r>
              <w:rPr>
                <w:kern w:val="0"/>
                <w:szCs w:val="24"/>
              </w:rPr>
              <w:t>建筑</w:t>
            </w:r>
            <w:r>
              <w:rPr>
                <w:rFonts w:hint="eastAsia"/>
                <w:kern w:val="0"/>
                <w:szCs w:val="24"/>
              </w:rPr>
              <w:t xml:space="preserve"> </w:t>
            </w:r>
            <w:r>
              <w:rPr>
                <w:kern w:val="0"/>
                <w:szCs w:val="24"/>
              </w:rPr>
              <w:sym w:font="Wingdings" w:char="F06F"/>
            </w:r>
            <w:r>
              <w:rPr>
                <w:rFonts w:hint="eastAsia"/>
                <w:kern w:val="0"/>
                <w:szCs w:val="24"/>
              </w:rPr>
              <w:t xml:space="preserve">             公共</w:t>
            </w:r>
            <w:r>
              <w:rPr>
                <w:kern w:val="0"/>
                <w:szCs w:val="24"/>
              </w:rPr>
              <w:t>建筑</w:t>
            </w:r>
            <w:r>
              <w:rPr>
                <w:rFonts w:hint="eastAsia"/>
                <w:kern w:val="0"/>
                <w:szCs w:val="24"/>
              </w:rPr>
              <w:t xml:space="preserve"> </w:t>
            </w:r>
            <w:r>
              <w:rPr>
                <w:kern w:val="0"/>
                <w:szCs w:val="24"/>
              </w:rPr>
              <w:sym w:font="Wingdings" w:char="F06F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建设</w:t>
            </w:r>
            <w:r>
              <w:rPr>
                <w:kern w:val="0"/>
                <w:szCs w:val="24"/>
              </w:rPr>
              <w:t>单位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联系人</w:t>
            </w: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</w:t>
            </w:r>
            <w:r>
              <w:rPr>
                <w:kern w:val="0"/>
                <w:szCs w:val="24"/>
              </w:rPr>
              <w:t>电话</w:t>
            </w:r>
          </w:p>
        </w:tc>
        <w:tc>
          <w:tcPr>
            <w:tcW w:w="19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设计</w:t>
            </w:r>
            <w:r>
              <w:rPr>
                <w:kern w:val="0"/>
                <w:szCs w:val="24"/>
              </w:rPr>
              <w:t>单位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联系人</w:t>
            </w: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</w:t>
            </w:r>
            <w:r>
              <w:rPr>
                <w:kern w:val="0"/>
                <w:szCs w:val="24"/>
              </w:rPr>
              <w:t>电话</w:t>
            </w:r>
          </w:p>
        </w:tc>
        <w:tc>
          <w:tcPr>
            <w:tcW w:w="19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施工</w:t>
            </w:r>
            <w:r>
              <w:rPr>
                <w:kern w:val="0"/>
                <w:szCs w:val="24"/>
              </w:rPr>
              <w:t>单位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联系人</w:t>
            </w: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联系</w:t>
            </w:r>
            <w:r>
              <w:rPr>
                <w:kern w:val="0"/>
                <w:szCs w:val="24"/>
              </w:rPr>
              <w:t>电话</w:t>
            </w:r>
          </w:p>
        </w:tc>
        <w:tc>
          <w:tcPr>
            <w:tcW w:w="19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建筑</w:t>
            </w:r>
            <w:r>
              <w:rPr>
                <w:kern w:val="0"/>
                <w:szCs w:val="24"/>
              </w:rPr>
              <w:t>面积</w:t>
            </w: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楼</w:t>
            </w:r>
            <w:r>
              <w:rPr>
                <w:kern w:val="0"/>
                <w:szCs w:val="24"/>
              </w:rPr>
              <w:t>栋</w:t>
            </w:r>
            <w:r>
              <w:rPr>
                <w:rFonts w:hint="eastAsia"/>
                <w:kern w:val="0"/>
                <w:szCs w:val="24"/>
              </w:rPr>
              <w:t>总</w:t>
            </w:r>
            <w:r>
              <w:rPr>
                <w:kern w:val="0"/>
                <w:szCs w:val="24"/>
              </w:rPr>
              <w:t>数</w:t>
            </w:r>
          </w:p>
        </w:tc>
        <w:tc>
          <w:tcPr>
            <w:tcW w:w="19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kern w:val="0"/>
                <w:szCs w:val="24"/>
              </w:rPr>
              <w:t>结构类型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开工</w:t>
            </w:r>
            <w:r>
              <w:rPr>
                <w:kern w:val="0"/>
                <w:szCs w:val="24"/>
              </w:rPr>
              <w:t>日期</w:t>
            </w: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  <w:tc>
          <w:tcPr>
            <w:tcW w:w="191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竣工</w:t>
            </w:r>
            <w:r>
              <w:rPr>
                <w:kern w:val="0"/>
                <w:szCs w:val="24"/>
              </w:rPr>
              <w:t>日期</w:t>
            </w:r>
          </w:p>
        </w:tc>
        <w:tc>
          <w:tcPr>
            <w:tcW w:w="19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核算</w:t>
            </w:r>
            <w:r>
              <w:rPr>
                <w:kern w:val="0"/>
                <w:szCs w:val="24"/>
              </w:rPr>
              <w:t>单位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核算</w:t>
            </w:r>
            <w:r>
              <w:rPr>
                <w:kern w:val="0"/>
                <w:szCs w:val="24"/>
              </w:rPr>
              <w:t>成员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254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核算</w:t>
            </w:r>
            <w:r>
              <w:rPr>
                <w:kern w:val="0"/>
                <w:szCs w:val="24"/>
              </w:rPr>
              <w:t>时间</w:t>
            </w:r>
          </w:p>
        </w:tc>
        <w:tc>
          <w:tcPr>
            <w:tcW w:w="5749" w:type="dxa"/>
            <w:gridSpan w:val="3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kern w:val="0"/>
                <w:szCs w:val="24"/>
              </w:rPr>
            </w:pPr>
          </w:p>
        </w:tc>
      </w:tr>
    </w:tbl>
    <w:p>
      <w:pPr>
        <w:tabs>
          <w:tab w:val="left" w:pos="6580"/>
          <w:tab w:val="left" w:pos="6780"/>
        </w:tabs>
        <w:jc w:val="center"/>
        <w:rPr>
          <w:rFonts w:ascii="黑体" w:hAnsi="黑体" w:eastAsia="黑体"/>
          <w:kern w:val="0"/>
          <w:sz w:val="32"/>
          <w:szCs w:val="24"/>
        </w:rPr>
      </w:pPr>
    </w:p>
    <w:p>
      <w:pPr>
        <w:tabs>
          <w:tab w:val="left" w:pos="6580"/>
          <w:tab w:val="left" w:pos="6780"/>
        </w:tabs>
        <w:jc w:val="center"/>
        <w:rPr>
          <w:rFonts w:ascii="黑体" w:hAnsi="黑体" w:eastAsia="黑体"/>
          <w:kern w:val="0"/>
          <w:sz w:val="32"/>
          <w:szCs w:val="24"/>
        </w:rPr>
      </w:pPr>
    </w:p>
    <w:p>
      <w:pPr>
        <w:widowControl/>
        <w:spacing w:line="240" w:lineRule="auto"/>
        <w:rPr>
          <w:rFonts w:ascii="黑体" w:hAnsi="黑体" w:eastAsia="黑体"/>
          <w:kern w:val="0"/>
          <w:sz w:val="32"/>
          <w:szCs w:val="24"/>
        </w:rPr>
      </w:pPr>
      <w:r>
        <w:rPr>
          <w:rFonts w:eastAsia="仿宋_GB2312"/>
          <w:b/>
          <w:kern w:val="0"/>
          <w:sz w:val="32"/>
          <w:szCs w:val="24"/>
        </w:rPr>
        <w:br w:type="page"/>
      </w:r>
      <w:r>
        <w:rPr>
          <w:rFonts w:hint="eastAsia" w:ascii="黑体" w:hAnsi="黑体" w:eastAsia="黑体"/>
          <w:kern w:val="0"/>
          <w:sz w:val="32"/>
          <w:szCs w:val="24"/>
        </w:rPr>
        <w:t>二、主要</w:t>
      </w:r>
      <w:r>
        <w:rPr>
          <w:rFonts w:ascii="黑体" w:hAnsi="黑体" w:eastAsia="黑体"/>
          <w:kern w:val="0"/>
          <w:sz w:val="32"/>
          <w:szCs w:val="24"/>
        </w:rPr>
        <w:t>建筑材料</w:t>
      </w:r>
      <w:r>
        <w:rPr>
          <w:rFonts w:hint="eastAsia" w:ascii="黑体" w:hAnsi="黑体" w:eastAsia="黑体"/>
          <w:kern w:val="0"/>
          <w:sz w:val="32"/>
          <w:szCs w:val="24"/>
        </w:rPr>
        <w:t>应用</w:t>
      </w:r>
      <w:r>
        <w:rPr>
          <w:rFonts w:ascii="黑体" w:hAnsi="黑体" w:eastAsia="黑体"/>
          <w:kern w:val="0"/>
          <w:sz w:val="32"/>
          <w:szCs w:val="24"/>
        </w:rPr>
        <w:t>明细表</w:t>
      </w:r>
    </w:p>
    <w:tbl>
      <w:tblPr>
        <w:tblStyle w:val="13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417"/>
        <w:gridCol w:w="1134"/>
        <w:gridCol w:w="1843"/>
        <w:gridCol w:w="155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类别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材料</w:t>
            </w:r>
            <w:r>
              <w:rPr>
                <w:kern w:val="0"/>
                <w:szCs w:val="24"/>
              </w:rPr>
              <w:t>名称</w:t>
            </w:r>
          </w:p>
        </w:tc>
        <w:tc>
          <w:tcPr>
            <w:tcW w:w="1134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规格</w:t>
            </w:r>
          </w:p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型号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材料供应</w:t>
            </w:r>
            <w:r>
              <w:rPr>
                <w:kern w:val="0"/>
                <w:szCs w:val="24"/>
              </w:rPr>
              <w:t>单位</w:t>
            </w:r>
          </w:p>
        </w:tc>
        <w:tc>
          <w:tcPr>
            <w:tcW w:w="1559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竣工图</w:t>
            </w:r>
          </w:p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决算量</w:t>
            </w:r>
          </w:p>
        </w:tc>
        <w:tc>
          <w:tcPr>
            <w:tcW w:w="1276" w:type="dxa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绿色</w:t>
            </w:r>
            <w:r>
              <w:rPr>
                <w:kern w:val="0"/>
                <w:szCs w:val="24"/>
              </w:rPr>
              <w:t>建材</w:t>
            </w:r>
          </w:p>
          <w:p>
            <w:pPr>
              <w:tabs>
                <w:tab w:val="left" w:pos="6580"/>
                <w:tab w:val="left" w:pos="6780"/>
              </w:tabs>
              <w:spacing w:line="24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标识</w:t>
            </w:r>
            <w:r>
              <w:rPr>
                <w:kern w:val="0"/>
                <w:szCs w:val="24"/>
              </w:rPr>
              <w:t>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restart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主体</w:t>
            </w:r>
          </w:p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  <w:r>
              <w:rPr>
                <w:kern w:val="0"/>
                <w:szCs w:val="24"/>
              </w:rPr>
              <w:t>结构</w:t>
            </w: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restart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围护墙</w:t>
            </w:r>
            <w:r>
              <w:rPr>
                <w:kern w:val="0"/>
                <w:szCs w:val="24"/>
              </w:rPr>
              <w:t>和内隔墙</w:t>
            </w: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restart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装修</w:t>
            </w: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restart"/>
            <w:vAlign w:val="center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其他</w:t>
            </w: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134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843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559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276" w:type="dxa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Merge w:val="continue"/>
          </w:tcPr>
          <w:p>
            <w:pPr>
              <w:tabs>
                <w:tab w:val="left" w:pos="6580"/>
                <w:tab w:val="left" w:pos="6780"/>
              </w:tabs>
              <w:spacing w:line="480" w:lineRule="auto"/>
              <w:jc w:val="center"/>
              <w:rPr>
                <w:rFonts w:ascii="黑体" w:hAnsi="黑体" w:eastAsia="黑体"/>
                <w:b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eastAsia="仿宋_GB2312"/>
                <w:kern w:val="0"/>
                <w:szCs w:val="24"/>
              </w:rPr>
            </w:pPr>
            <w:r>
              <w:rPr>
                <w:rFonts w:eastAsia="仿宋_GB2312"/>
                <w:kern w:val="0"/>
                <w:szCs w:val="24"/>
              </w:rPr>
              <w:t>……</w:t>
            </w:r>
          </w:p>
        </w:tc>
      </w:tr>
    </w:tbl>
    <w:p>
      <w:pPr>
        <w:tabs>
          <w:tab w:val="left" w:pos="6580"/>
          <w:tab w:val="left" w:pos="6780"/>
        </w:tabs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注：1 当某类</w:t>
      </w:r>
      <w:r>
        <w:rPr>
          <w:kern w:val="0"/>
          <w:szCs w:val="24"/>
        </w:rPr>
        <w:t>材料为非绿色建材，</w:t>
      </w:r>
      <w:r>
        <w:rPr>
          <w:rFonts w:hint="eastAsia"/>
          <w:kern w:val="0"/>
          <w:szCs w:val="24"/>
        </w:rPr>
        <w:t>绿色</w:t>
      </w:r>
      <w:r>
        <w:rPr>
          <w:kern w:val="0"/>
          <w:szCs w:val="24"/>
        </w:rPr>
        <w:t>建材</w:t>
      </w:r>
      <w:r>
        <w:rPr>
          <w:rFonts w:hint="eastAsia"/>
          <w:kern w:val="0"/>
          <w:szCs w:val="24"/>
        </w:rPr>
        <w:t>等级</w:t>
      </w:r>
      <w:r>
        <w:rPr>
          <w:kern w:val="0"/>
          <w:szCs w:val="24"/>
        </w:rPr>
        <w:t>栏目填写</w:t>
      </w:r>
      <w:r>
        <w:rPr>
          <w:rFonts w:hint="eastAsia"/>
          <w:kern w:val="0"/>
          <w:szCs w:val="24"/>
        </w:rPr>
        <w:t>“/”；</w:t>
      </w:r>
    </w:p>
    <w:p>
      <w:pPr>
        <w:tabs>
          <w:tab w:val="left" w:pos="6580"/>
          <w:tab w:val="left" w:pos="6780"/>
        </w:tabs>
        <w:ind w:firstLine="480" w:firstLineChars="200"/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2 当某</w:t>
      </w:r>
      <w:r>
        <w:rPr>
          <w:kern w:val="0"/>
          <w:szCs w:val="24"/>
        </w:rPr>
        <w:t>项目为多</w:t>
      </w:r>
      <w:r>
        <w:rPr>
          <w:rFonts w:hint="eastAsia"/>
          <w:kern w:val="0"/>
          <w:szCs w:val="24"/>
        </w:rPr>
        <w:t>栋</w:t>
      </w:r>
      <w:r>
        <w:rPr>
          <w:kern w:val="0"/>
          <w:szCs w:val="24"/>
        </w:rPr>
        <w:t>建筑构</w:t>
      </w:r>
      <w:r>
        <w:rPr>
          <w:rFonts w:hint="eastAsia"/>
          <w:kern w:val="0"/>
          <w:szCs w:val="24"/>
        </w:rPr>
        <w:t>成</w:t>
      </w:r>
      <w:r>
        <w:rPr>
          <w:kern w:val="0"/>
          <w:szCs w:val="24"/>
        </w:rPr>
        <w:t>，</w:t>
      </w:r>
      <w:r>
        <w:rPr>
          <w:rFonts w:hint="eastAsia"/>
          <w:kern w:val="0"/>
          <w:szCs w:val="24"/>
        </w:rPr>
        <w:t>按编号</w:t>
      </w:r>
      <w:r>
        <w:rPr>
          <w:kern w:val="0"/>
          <w:szCs w:val="24"/>
        </w:rPr>
        <w:t>分别</w:t>
      </w:r>
      <w:r>
        <w:rPr>
          <w:rFonts w:hint="eastAsia"/>
          <w:kern w:val="0"/>
          <w:szCs w:val="24"/>
        </w:rPr>
        <w:t>列出；</w:t>
      </w:r>
    </w:p>
    <w:p>
      <w:pPr>
        <w:tabs>
          <w:tab w:val="left" w:pos="6580"/>
          <w:tab w:val="left" w:pos="6780"/>
        </w:tabs>
        <w:ind w:firstLine="480" w:firstLineChars="200"/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3 表中</w:t>
      </w:r>
      <w:r>
        <w:rPr>
          <w:kern w:val="0"/>
          <w:szCs w:val="24"/>
        </w:rPr>
        <w:t>相关数据应按企业提供技术支撑材料填写，</w:t>
      </w:r>
      <w:r>
        <w:rPr>
          <w:rFonts w:hint="eastAsia"/>
          <w:kern w:val="0"/>
          <w:szCs w:val="24"/>
        </w:rPr>
        <w:t>必要时</w:t>
      </w:r>
      <w:r>
        <w:rPr>
          <w:kern w:val="0"/>
          <w:szCs w:val="24"/>
        </w:rPr>
        <w:t>应对其提供</w:t>
      </w:r>
      <w:r>
        <w:rPr>
          <w:rFonts w:hint="eastAsia"/>
          <w:kern w:val="0"/>
          <w:szCs w:val="24"/>
        </w:rPr>
        <w:t>材料</w:t>
      </w:r>
      <w:r>
        <w:rPr>
          <w:kern w:val="0"/>
          <w:szCs w:val="24"/>
        </w:rPr>
        <w:t>进行</w:t>
      </w:r>
      <w:r>
        <w:rPr>
          <w:rFonts w:hint="eastAsia"/>
          <w:kern w:val="0"/>
          <w:szCs w:val="24"/>
        </w:rPr>
        <w:t>抽查</w:t>
      </w:r>
      <w:r>
        <w:rPr>
          <w:kern w:val="0"/>
          <w:szCs w:val="24"/>
        </w:rPr>
        <w:t>。</w:t>
      </w:r>
    </w:p>
    <w:p>
      <w:pPr>
        <w:tabs>
          <w:tab w:val="left" w:pos="6580"/>
          <w:tab w:val="left" w:pos="6780"/>
        </w:tabs>
        <w:ind w:firstLine="480" w:firstLineChars="200"/>
        <w:jc w:val="left"/>
        <w:rPr>
          <w:kern w:val="0"/>
          <w:szCs w:val="24"/>
        </w:rPr>
      </w:pPr>
    </w:p>
    <w:p>
      <w:pPr>
        <w:tabs>
          <w:tab w:val="left" w:pos="6580"/>
          <w:tab w:val="left" w:pos="6780"/>
        </w:tabs>
        <w:rPr>
          <w:rFonts w:ascii="黑体" w:hAnsi="黑体" w:eastAsia="黑体"/>
          <w:kern w:val="0"/>
          <w:sz w:val="32"/>
          <w:szCs w:val="24"/>
        </w:rPr>
      </w:pPr>
      <w:r>
        <w:rPr>
          <w:rFonts w:hint="eastAsia" w:ascii="黑体" w:hAnsi="黑体" w:eastAsia="黑体"/>
          <w:kern w:val="0"/>
          <w:sz w:val="32"/>
          <w:szCs w:val="24"/>
        </w:rPr>
        <w:t>三</w:t>
      </w:r>
      <w:r>
        <w:rPr>
          <w:rFonts w:ascii="黑体" w:hAnsi="黑体" w:eastAsia="黑体"/>
          <w:kern w:val="0"/>
          <w:sz w:val="32"/>
          <w:szCs w:val="24"/>
        </w:rPr>
        <w:t>、</w:t>
      </w:r>
      <w:r>
        <w:rPr>
          <w:rFonts w:hint="eastAsia" w:ascii="黑体" w:hAnsi="黑体" w:eastAsia="黑体"/>
          <w:kern w:val="0"/>
          <w:sz w:val="32"/>
          <w:szCs w:val="24"/>
        </w:rPr>
        <w:t>绿色建材</w:t>
      </w:r>
      <w:r>
        <w:rPr>
          <w:rFonts w:ascii="黑体" w:hAnsi="黑体" w:eastAsia="黑体"/>
          <w:kern w:val="0"/>
          <w:sz w:val="32"/>
          <w:szCs w:val="24"/>
        </w:rPr>
        <w:t>应用比例</w:t>
      </w:r>
      <w:r>
        <w:rPr>
          <w:rFonts w:hint="eastAsia" w:ascii="黑体" w:hAnsi="黑体" w:eastAsia="黑体"/>
          <w:kern w:val="0"/>
          <w:sz w:val="32"/>
          <w:szCs w:val="24"/>
        </w:rPr>
        <w:t>核算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751"/>
        <w:gridCol w:w="1391"/>
        <w:gridCol w:w="1391"/>
        <w:gridCol w:w="1391"/>
        <w:gridCol w:w="13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材料</w:t>
            </w:r>
            <w:r>
              <w:rPr>
                <w:kern w:val="0"/>
                <w:szCs w:val="24"/>
              </w:rPr>
              <w:t>类别</w:t>
            </w:r>
          </w:p>
        </w:tc>
        <w:tc>
          <w:tcPr>
            <w:tcW w:w="75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计量单位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绿色</w:t>
            </w:r>
            <w:r>
              <w:rPr>
                <w:kern w:val="0"/>
                <w:szCs w:val="24"/>
              </w:rPr>
              <w:t>建材</w:t>
            </w:r>
            <w:r>
              <w:rPr>
                <w:rFonts w:hint="eastAsia"/>
                <w:kern w:val="0"/>
                <w:szCs w:val="24"/>
              </w:rPr>
              <w:t>应用</w:t>
            </w:r>
            <w:r>
              <w:rPr>
                <w:kern w:val="0"/>
                <w:szCs w:val="24"/>
              </w:rPr>
              <w:t>量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建筑</w:t>
            </w:r>
            <w:r>
              <w:rPr>
                <w:kern w:val="0"/>
                <w:szCs w:val="24"/>
              </w:rPr>
              <w:t>材料</w:t>
            </w:r>
            <w:r>
              <w:rPr>
                <w:rFonts w:hint="eastAsia"/>
                <w:kern w:val="0"/>
                <w:szCs w:val="24"/>
              </w:rPr>
              <w:t>应用</w:t>
            </w:r>
            <w:r>
              <w:rPr>
                <w:kern w:val="0"/>
                <w:szCs w:val="24"/>
              </w:rPr>
              <w:t>总量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绿色建材应用比例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绿色建材核算分值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预拌混凝土</w:t>
            </w:r>
          </w:p>
        </w:tc>
        <w:tc>
          <w:tcPr>
            <w:tcW w:w="75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预拌</w:t>
            </w:r>
            <w:r>
              <w:rPr>
                <w:rFonts w:ascii="Times New Roman" w:hAnsi="Times New Roman" w:cs="Times New Roman"/>
                <w:szCs w:val="24"/>
              </w:rPr>
              <w:t>砂浆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非承重围护墙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内隔墙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外墙装饰面层涂料、面砖</w:t>
            </w:r>
            <w:r>
              <w:rPr>
                <w:rFonts w:hint="eastAsia" w:ascii="Times New Roman" w:hAnsi="Times New Roman" w:cs="Times New Roman"/>
                <w:szCs w:val="24"/>
              </w:rPr>
              <w:t>、</w:t>
            </w:r>
            <w:r>
              <w:rPr>
                <w:rFonts w:ascii="Times New Roman" w:hAnsi="Times New Roman" w:cs="Times New Roman"/>
                <w:szCs w:val="24"/>
              </w:rPr>
              <w:t>非玻璃</w:t>
            </w:r>
            <w:r>
              <w:rPr>
                <w:rFonts w:hint="eastAsia" w:ascii="Times New Roman" w:hAnsi="Times New Roman" w:cs="Times New Roman"/>
                <w:szCs w:val="24"/>
              </w:rPr>
              <w:t>幕墙板</w:t>
            </w:r>
            <w:r>
              <w:rPr>
                <w:rFonts w:ascii="Times New Roman" w:hAnsi="Times New Roman" w:cs="Times New Roman"/>
                <w:szCs w:val="24"/>
              </w:rPr>
              <w:t>等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内墙装饰面层涂料、面砖</w:t>
            </w:r>
            <w:r>
              <w:rPr>
                <w:rFonts w:hint="eastAsia" w:ascii="Times New Roman" w:hAnsi="Times New Roman" w:cs="Times New Roman"/>
                <w:szCs w:val="24"/>
              </w:rPr>
              <w:t>、</w:t>
            </w:r>
            <w:r>
              <w:rPr>
                <w:rFonts w:ascii="Times New Roman" w:hAnsi="Times New Roman" w:cs="Times New Roman"/>
                <w:szCs w:val="24"/>
              </w:rPr>
              <w:t>壁纸等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室内顶棚装饰面层涂料、吊顶等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室内地面装饰面层木地板、面砖等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门窗、玻璃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保温材料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卫生洁具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具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防水材料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密封</w:t>
            </w:r>
            <w:r>
              <w:rPr>
                <w:rFonts w:ascii="Times New Roman" w:hAnsi="Times New Roman" w:cs="Times New Roman"/>
                <w:szCs w:val="24"/>
              </w:rPr>
              <w:t>材料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kg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其他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—</w:t>
            </w: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1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jc w:val="center"/>
              <w:rPr>
                <w:kern w:val="0"/>
                <w:szCs w:val="24"/>
              </w:rPr>
            </w:pPr>
          </w:p>
        </w:tc>
      </w:tr>
    </w:tbl>
    <w:p>
      <w:pPr>
        <w:widowControl/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注</w:t>
      </w:r>
      <w:r>
        <w:rPr>
          <w:kern w:val="0"/>
          <w:szCs w:val="24"/>
        </w:rPr>
        <w:t>：</w:t>
      </w:r>
      <w:r>
        <w:rPr>
          <w:rFonts w:hint="eastAsia"/>
          <w:kern w:val="0"/>
          <w:szCs w:val="24"/>
        </w:rPr>
        <w:t>1 按</w:t>
      </w:r>
      <w:r>
        <w:rPr>
          <w:kern w:val="0"/>
          <w:szCs w:val="24"/>
        </w:rPr>
        <w:t>《</w:t>
      </w:r>
      <w:r>
        <w:rPr>
          <w:rFonts w:hint="eastAsia"/>
          <w:kern w:val="0"/>
          <w:szCs w:val="24"/>
        </w:rPr>
        <w:t>重庆市</w:t>
      </w:r>
      <w:r>
        <w:rPr>
          <w:kern w:val="0"/>
          <w:szCs w:val="24"/>
        </w:rPr>
        <w:t>民用建筑工程绿色建材应用比例</w:t>
      </w:r>
      <w:r>
        <w:rPr>
          <w:rFonts w:hint="eastAsia"/>
          <w:kern w:val="0"/>
          <w:szCs w:val="24"/>
        </w:rPr>
        <w:t>核算</w:t>
      </w:r>
      <w:r>
        <w:rPr>
          <w:kern w:val="0"/>
          <w:szCs w:val="24"/>
        </w:rPr>
        <w:t>技术细则》</w:t>
      </w:r>
      <w:r>
        <w:rPr>
          <w:rFonts w:hint="eastAsia"/>
          <w:kern w:val="0"/>
          <w:szCs w:val="24"/>
        </w:rPr>
        <w:t>第3.0.5的</w:t>
      </w:r>
      <w:r>
        <w:rPr>
          <w:kern w:val="0"/>
          <w:szCs w:val="24"/>
        </w:rPr>
        <w:t>要求，分别计算各单项绿色建材应用比例</w:t>
      </w:r>
      <w:r>
        <w:rPr>
          <w:rFonts w:hint="eastAsia"/>
          <w:kern w:val="0"/>
          <w:szCs w:val="24"/>
        </w:rPr>
        <w:t>；</w:t>
      </w:r>
    </w:p>
    <w:p>
      <w:pPr>
        <w:widowControl/>
        <w:ind w:firstLine="480" w:firstLineChars="200"/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2 按</w:t>
      </w:r>
      <w:r>
        <w:rPr>
          <w:kern w:val="0"/>
          <w:szCs w:val="24"/>
        </w:rPr>
        <w:t>《</w:t>
      </w:r>
      <w:r>
        <w:rPr>
          <w:rFonts w:hint="eastAsia"/>
          <w:kern w:val="0"/>
          <w:szCs w:val="24"/>
        </w:rPr>
        <w:t>重庆市</w:t>
      </w:r>
      <w:r>
        <w:rPr>
          <w:kern w:val="0"/>
          <w:szCs w:val="24"/>
        </w:rPr>
        <w:t>民用建筑工程绿色建材应用比例</w:t>
      </w:r>
      <w:r>
        <w:rPr>
          <w:rFonts w:hint="eastAsia"/>
          <w:kern w:val="0"/>
          <w:szCs w:val="24"/>
        </w:rPr>
        <w:t>核算</w:t>
      </w:r>
      <w:r>
        <w:rPr>
          <w:kern w:val="0"/>
          <w:szCs w:val="24"/>
        </w:rPr>
        <w:t>技术细则》</w:t>
      </w:r>
      <w:r>
        <w:rPr>
          <w:rFonts w:hint="eastAsia"/>
          <w:kern w:val="0"/>
          <w:szCs w:val="24"/>
        </w:rPr>
        <w:t>第3.0.</w:t>
      </w:r>
      <w:r>
        <w:rPr>
          <w:kern w:val="0"/>
          <w:szCs w:val="24"/>
        </w:rPr>
        <w:t>2</w:t>
      </w:r>
      <w:r>
        <w:rPr>
          <w:rFonts w:hint="eastAsia"/>
          <w:kern w:val="0"/>
          <w:szCs w:val="24"/>
        </w:rPr>
        <w:t>的</w:t>
      </w:r>
      <w:r>
        <w:rPr>
          <w:kern w:val="0"/>
          <w:szCs w:val="24"/>
        </w:rPr>
        <w:t>要求，分别计算各</w:t>
      </w:r>
      <w:r>
        <w:rPr>
          <w:rFonts w:hint="eastAsia"/>
          <w:kern w:val="0"/>
          <w:szCs w:val="24"/>
        </w:rPr>
        <w:t>单项</w:t>
      </w:r>
      <w:r>
        <w:rPr>
          <w:kern w:val="0"/>
          <w:szCs w:val="24"/>
        </w:rPr>
        <w:t>位绿色建材应用比例核算分值</w:t>
      </w:r>
      <w:r>
        <w:rPr>
          <w:rFonts w:hint="eastAsia"/>
          <w:kern w:val="0"/>
          <w:szCs w:val="24"/>
        </w:rPr>
        <w:t>；</w:t>
      </w:r>
    </w:p>
    <w:p>
      <w:pPr>
        <w:widowControl/>
        <w:ind w:firstLine="480" w:firstLineChars="200"/>
        <w:jc w:val="left"/>
        <w:rPr>
          <w:kern w:val="0"/>
          <w:szCs w:val="24"/>
        </w:rPr>
      </w:pPr>
      <w:r>
        <w:rPr>
          <w:rFonts w:hint="eastAsia"/>
          <w:kern w:val="0"/>
          <w:szCs w:val="24"/>
        </w:rPr>
        <w:t>3</w:t>
      </w:r>
      <w:r>
        <w:rPr>
          <w:kern w:val="0"/>
          <w:szCs w:val="24"/>
        </w:rPr>
        <w:t xml:space="preserve"> </w:t>
      </w:r>
      <w:r>
        <w:rPr>
          <w:rFonts w:hint="eastAsia"/>
          <w:kern w:val="0"/>
          <w:szCs w:val="24"/>
        </w:rPr>
        <w:t>当某</w:t>
      </w:r>
      <w:r>
        <w:rPr>
          <w:kern w:val="0"/>
          <w:szCs w:val="24"/>
        </w:rPr>
        <w:t>项目为多</w:t>
      </w:r>
      <w:r>
        <w:rPr>
          <w:rFonts w:hint="eastAsia"/>
          <w:kern w:val="0"/>
          <w:szCs w:val="24"/>
        </w:rPr>
        <w:t>栋</w:t>
      </w:r>
      <w:r>
        <w:rPr>
          <w:kern w:val="0"/>
          <w:szCs w:val="24"/>
        </w:rPr>
        <w:t>建筑构</w:t>
      </w:r>
      <w:r>
        <w:rPr>
          <w:rFonts w:hint="eastAsia"/>
          <w:kern w:val="0"/>
          <w:szCs w:val="24"/>
        </w:rPr>
        <w:t>成</w:t>
      </w:r>
      <w:r>
        <w:rPr>
          <w:kern w:val="0"/>
          <w:szCs w:val="24"/>
        </w:rPr>
        <w:t>，</w:t>
      </w:r>
      <w:r>
        <w:rPr>
          <w:rFonts w:hint="eastAsia"/>
          <w:kern w:val="0"/>
          <w:szCs w:val="24"/>
        </w:rPr>
        <w:t>按栋</w:t>
      </w:r>
      <w:r>
        <w:rPr>
          <w:kern w:val="0"/>
          <w:szCs w:val="24"/>
        </w:rPr>
        <w:t>的</w:t>
      </w:r>
      <w:r>
        <w:rPr>
          <w:rFonts w:hint="eastAsia"/>
          <w:kern w:val="0"/>
          <w:szCs w:val="24"/>
        </w:rPr>
        <w:t>编号</w:t>
      </w:r>
      <w:r>
        <w:rPr>
          <w:kern w:val="0"/>
          <w:szCs w:val="24"/>
        </w:rPr>
        <w:t>分别</w:t>
      </w:r>
      <w:r>
        <w:rPr>
          <w:rFonts w:hint="eastAsia"/>
          <w:kern w:val="0"/>
          <w:szCs w:val="24"/>
        </w:rPr>
        <w:t>列出。</w:t>
      </w:r>
      <w:r>
        <w:rPr>
          <w:kern w:val="0"/>
          <w:szCs w:val="24"/>
        </w:rPr>
        <w:br w:type="page"/>
      </w:r>
    </w:p>
    <w:p>
      <w:pPr>
        <w:tabs>
          <w:tab w:val="left" w:pos="6580"/>
          <w:tab w:val="left" w:pos="6780"/>
        </w:tabs>
        <w:rPr>
          <w:rFonts w:ascii="黑体" w:hAnsi="黑体" w:eastAsia="黑体"/>
          <w:kern w:val="0"/>
          <w:sz w:val="32"/>
          <w:szCs w:val="24"/>
        </w:rPr>
      </w:pPr>
      <w:r>
        <w:rPr>
          <w:rFonts w:hint="eastAsia" w:ascii="黑体" w:hAnsi="黑体" w:eastAsia="黑体"/>
          <w:kern w:val="0"/>
          <w:sz w:val="32"/>
          <w:szCs w:val="24"/>
        </w:rPr>
        <w:t>四</w:t>
      </w:r>
      <w:r>
        <w:rPr>
          <w:rFonts w:ascii="黑体" w:hAnsi="黑体" w:eastAsia="黑体"/>
          <w:kern w:val="0"/>
          <w:sz w:val="32"/>
          <w:szCs w:val="24"/>
        </w:rPr>
        <w:t>、绿色建材</w:t>
      </w:r>
      <w:r>
        <w:rPr>
          <w:rFonts w:hint="eastAsia" w:ascii="黑体" w:hAnsi="黑体" w:eastAsia="黑体"/>
          <w:kern w:val="0"/>
          <w:sz w:val="32"/>
          <w:szCs w:val="24"/>
        </w:rPr>
        <w:t>应用</w:t>
      </w:r>
      <w:r>
        <w:rPr>
          <w:rFonts w:ascii="黑体" w:hAnsi="黑体" w:eastAsia="黑体"/>
          <w:kern w:val="0"/>
          <w:sz w:val="32"/>
          <w:szCs w:val="24"/>
        </w:rPr>
        <w:t>比例</w:t>
      </w:r>
      <w:r>
        <w:rPr>
          <w:rFonts w:hint="eastAsia" w:ascii="黑体" w:hAnsi="黑体" w:eastAsia="黑体"/>
          <w:kern w:val="0"/>
          <w:sz w:val="32"/>
          <w:szCs w:val="24"/>
        </w:rPr>
        <w:t>核算结论表</w:t>
      </w:r>
    </w:p>
    <w:tbl>
      <w:tblPr>
        <w:tblStyle w:val="13"/>
        <w:tblW w:w="93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2268"/>
        <w:gridCol w:w="709"/>
        <w:gridCol w:w="386"/>
        <w:gridCol w:w="1598"/>
        <w:gridCol w:w="1134"/>
        <w:gridCol w:w="993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71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工程项目</w:t>
            </w:r>
          </w:p>
        </w:tc>
        <w:tc>
          <w:tcPr>
            <w:tcW w:w="336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98" w:type="dxa"/>
            <w:vAlign w:val="center"/>
          </w:tcPr>
          <w:p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楼栋编号</w:t>
            </w:r>
          </w:p>
        </w:tc>
        <w:tc>
          <w:tcPr>
            <w:tcW w:w="3119" w:type="dxa"/>
            <w:gridSpan w:val="3"/>
            <w:vAlign w:val="center"/>
          </w:tcPr>
          <w:p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3539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评估指标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计量单位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应用比例</w:t>
            </w:r>
            <w:r>
              <w:rPr>
                <w:rFonts w:ascii="Times New Roman" w:hAnsi="Times New Roman" w:cs="Times New Roman"/>
                <w:szCs w:val="24"/>
              </w:rPr>
              <w:t>要求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设定</w:t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分</w:t>
            </w:r>
            <w:r>
              <w:rPr>
                <w:rFonts w:hint="eastAsia" w:ascii="Times New Roman" w:hAnsi="Times New Roman" w:cs="Times New Roman"/>
                <w:szCs w:val="24"/>
              </w:rPr>
              <w:t>值</w:t>
            </w:r>
          </w:p>
        </w:tc>
        <w:tc>
          <w:tcPr>
            <w:tcW w:w="993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实际应用</w:t>
            </w:r>
            <w:r>
              <w:rPr>
                <w:rFonts w:ascii="Times New Roman" w:hAnsi="Times New Roman" w:cs="Times New Roman"/>
                <w:szCs w:val="24"/>
              </w:rPr>
              <w:t>比例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实际核算</w:t>
            </w:r>
            <w:r>
              <w:rPr>
                <w:rFonts w:ascii="Times New Roman" w:hAnsi="Times New Roman" w:cs="Times New Roman"/>
                <w:szCs w:val="24"/>
              </w:rPr>
              <w:t>分值</w:t>
            </w:r>
            <w:r>
              <w:rPr>
                <w:rFonts w:hint="eastAsia" w:ascii="Times New Roman" w:hAnsi="Times New Roman" w:cs="Times New Roman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127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一级指标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二级指标</w:t>
            </w:r>
          </w:p>
        </w:tc>
        <w:tc>
          <w:tcPr>
            <w:tcW w:w="709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主体结构S</w:t>
            </w:r>
            <w:r>
              <w:rPr>
                <w:rFonts w:hint="eastAsia" w:ascii="Times New Roman" w:hAnsi="Times New Roman" w:cs="Times New Roman"/>
                <w:szCs w:val="24"/>
                <w:vertAlign w:val="subscript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预拌</w:t>
            </w:r>
            <w:r>
              <w:rPr>
                <w:rFonts w:ascii="Times New Roman" w:hAnsi="Times New Roman" w:cs="Times New Roman"/>
                <w:szCs w:val="24"/>
              </w:rPr>
              <w:t>混凝土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80%≤P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S1a</w:t>
            </w:r>
            <w:r>
              <w:rPr>
                <w:rFonts w:ascii="Times New Roman" w:hAnsi="Times New Roman" w:cs="Times New Roman"/>
                <w:szCs w:val="24"/>
              </w:rPr>
              <w:t>≤100%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10～20*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预拌</w:t>
            </w:r>
            <w:r>
              <w:rPr>
                <w:rFonts w:ascii="Times New Roman" w:hAnsi="Times New Roman" w:cs="Times New Roman"/>
                <w:szCs w:val="24"/>
              </w:rPr>
              <w:t>砂浆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50%≤P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S1b</w:t>
            </w:r>
            <w:r>
              <w:rPr>
                <w:rFonts w:ascii="Times New Roman" w:hAnsi="Times New Roman" w:cs="Times New Roman"/>
                <w:szCs w:val="24"/>
              </w:rPr>
              <w:t>≤100%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5～10*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围护墙和内隔墙</w:t>
            </w:r>
            <w:r>
              <w:rPr>
                <w:rFonts w:hint="eastAsia" w:ascii="Times New Roman" w:hAnsi="Times New Roman" w:cs="Times New Roman"/>
                <w:szCs w:val="24"/>
              </w:rPr>
              <w:t>S</w:t>
            </w:r>
            <w:r>
              <w:rPr>
                <w:rFonts w:hint="eastAsia" w:ascii="Times New Roman" w:hAnsi="Times New Roman" w:cs="Times New Roman"/>
                <w:szCs w:val="24"/>
                <w:vertAlign w:val="subscript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非承重围护墙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S2a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内隔墙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m³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S2b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装修S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外墙装饰面层涂料、面砖</w:t>
            </w:r>
            <w:r>
              <w:rPr>
                <w:rFonts w:hint="eastAsia" w:ascii="Times New Roman" w:hAnsi="Times New Roman" w:cs="Times New Roman"/>
                <w:szCs w:val="24"/>
              </w:rPr>
              <w:t>、</w:t>
            </w:r>
            <w:r>
              <w:rPr>
                <w:rFonts w:ascii="Times New Roman" w:hAnsi="Times New Roman" w:cs="Times New Roman"/>
                <w:szCs w:val="24"/>
              </w:rPr>
              <w:t>非玻璃</w:t>
            </w:r>
            <w:r>
              <w:rPr>
                <w:rFonts w:hint="eastAsia" w:ascii="Times New Roman" w:hAnsi="Times New Roman" w:cs="Times New Roman"/>
                <w:szCs w:val="24"/>
              </w:rPr>
              <w:t>幕墙板</w:t>
            </w:r>
            <w:r>
              <w:rPr>
                <w:rFonts w:ascii="Times New Roman" w:hAnsi="Times New Roman" w:cs="Times New Roman"/>
                <w:szCs w:val="24"/>
              </w:rPr>
              <w:t>等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S3a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5 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内墙装饰面层涂料、面砖</w:t>
            </w:r>
            <w:r>
              <w:rPr>
                <w:rFonts w:hint="eastAsia" w:ascii="Times New Roman" w:hAnsi="Times New Roman" w:cs="Times New Roman"/>
                <w:szCs w:val="24"/>
              </w:rPr>
              <w:t>、</w:t>
            </w:r>
            <w:r>
              <w:rPr>
                <w:rFonts w:ascii="Times New Roman" w:hAnsi="Times New Roman" w:cs="Times New Roman"/>
                <w:szCs w:val="24"/>
              </w:rPr>
              <w:t>壁纸等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S3b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室内顶棚装饰面层涂料、吊顶等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S3c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室内地面装饰面层木地板、面砖等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S3d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门窗、玻璃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S3e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dstrike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271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其他</w:t>
            </w:r>
            <w:r>
              <w:rPr>
                <w:rFonts w:hint="eastAsia" w:ascii="Times New Roman" w:hAnsi="Times New Roman" w:cs="Times New Roman"/>
                <w:szCs w:val="24"/>
              </w:rPr>
              <w:t>S</w:t>
            </w:r>
            <w:r>
              <w:rPr>
                <w:rFonts w:hint="eastAsia" w:ascii="Times New Roman" w:hAnsi="Times New Roman" w:cs="Times New Roman"/>
                <w:szCs w:val="24"/>
                <w:vertAlign w:val="subscript"/>
              </w:rPr>
              <w:t>4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保温材料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80%≤P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S4a</w:t>
            </w:r>
            <w:r>
              <w:rPr>
                <w:rFonts w:ascii="Times New Roman" w:hAnsi="Times New Roman" w:cs="Times New Roman"/>
                <w:szCs w:val="24"/>
              </w:rPr>
              <w:t>≤100%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dstrike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5~10*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卫生洁具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具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S4b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防水材料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m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S4c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密封</w:t>
            </w:r>
            <w:r>
              <w:rPr>
                <w:rFonts w:ascii="Times New Roman" w:hAnsi="Times New Roman" w:cs="Times New Roman"/>
                <w:szCs w:val="24"/>
              </w:rPr>
              <w:t>材料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kg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S4d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271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其他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cyan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—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S4e</w:t>
            </w:r>
            <w:r>
              <w:rPr>
                <w:rFonts w:ascii="Times New Roman" w:hAnsi="Times New Roman" w:cs="Times New Roman"/>
                <w:szCs w:val="24"/>
              </w:rPr>
              <w:t>≥80%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271" w:type="dxa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绿色</w:t>
            </w:r>
            <w:r>
              <w:rPr>
                <w:rFonts w:ascii="Times New Roman" w:hAnsi="Times New Roman" w:cs="Times New Roman"/>
                <w:szCs w:val="24"/>
              </w:rPr>
              <w:t>建材</w:t>
            </w:r>
            <w:r>
              <w:rPr>
                <w:rFonts w:hint="eastAsia" w:ascii="Times New Roman" w:hAnsi="Times New Roman" w:cs="Times New Roman"/>
                <w:szCs w:val="24"/>
              </w:rPr>
              <w:t>应用</w:t>
            </w:r>
            <w:r>
              <w:rPr>
                <w:rFonts w:ascii="Times New Roman" w:hAnsi="Times New Roman" w:cs="Times New Roman"/>
                <w:szCs w:val="24"/>
              </w:rPr>
              <w:t>比例</w:t>
            </w:r>
          </w:p>
        </w:tc>
        <w:tc>
          <w:tcPr>
            <w:tcW w:w="4961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P</w:t>
            </w:r>
            <w:r>
              <w:rPr>
                <w:rFonts w:ascii="Times New Roman" w:hAnsi="Times New Roman" w:cs="Times New Roman"/>
                <w:szCs w:val="24"/>
              </w:rPr>
              <w:t>= [(S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+S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+S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+S</w:t>
            </w:r>
            <w:r>
              <w:rPr>
                <w:rFonts w:ascii="Times New Roman" w:hAnsi="Times New Roman" w:cs="Times New Roman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)/100]*100%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100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27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核算成员</w:t>
            </w:r>
          </w:p>
        </w:tc>
        <w:tc>
          <w:tcPr>
            <w:tcW w:w="8080" w:type="dxa"/>
            <w:gridSpan w:val="7"/>
            <w:vAlign w:val="center"/>
          </w:tcPr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</w:p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核算</w:t>
            </w:r>
            <w:r>
              <w:rPr>
                <w:rFonts w:hint="eastAsia" w:ascii="Times New Roman" w:hAnsi="Times New Roman" w:cs="Times New Roman"/>
                <w:szCs w:val="24"/>
              </w:rPr>
              <w:t>人</w:t>
            </w:r>
            <w:r>
              <w:rPr>
                <w:rFonts w:ascii="Times New Roman" w:hAnsi="Times New Roman" w:cs="Times New Roman"/>
                <w:szCs w:val="24"/>
              </w:rPr>
              <w:t>（</w:t>
            </w:r>
            <w:r>
              <w:rPr>
                <w:rFonts w:hint="eastAsia" w:ascii="Times New Roman" w:hAnsi="Times New Roman" w:cs="Times New Roman"/>
                <w:szCs w:val="24"/>
              </w:rPr>
              <w:t>签字</w:t>
            </w:r>
            <w:r>
              <w:rPr>
                <w:rFonts w:ascii="Times New Roman" w:hAnsi="Times New Roman" w:cs="Times New Roman"/>
                <w:szCs w:val="24"/>
              </w:rPr>
              <w:t>）</w:t>
            </w:r>
            <w:r>
              <w:rPr>
                <w:rFonts w:hint="eastAsia" w:ascii="Times New Roman" w:hAnsi="Times New Roman" w:cs="Times New Roman"/>
                <w:szCs w:val="24"/>
              </w:rPr>
              <w:t xml:space="preserve">：                  </w:t>
            </w:r>
            <w:r>
              <w:rPr>
                <w:rFonts w:ascii="Times New Roman" w:hAnsi="Times New Roman" w:cs="Times New Roman"/>
                <w:szCs w:val="24"/>
              </w:rPr>
              <w:t>校对</w:t>
            </w:r>
            <w:r>
              <w:rPr>
                <w:rFonts w:hint="eastAsia" w:ascii="Times New Roman" w:hAnsi="Times New Roman" w:cs="Times New Roman"/>
                <w:szCs w:val="24"/>
              </w:rPr>
              <w:t>人</w:t>
            </w:r>
            <w:r>
              <w:rPr>
                <w:rFonts w:ascii="Times New Roman" w:hAnsi="Times New Roman" w:cs="Times New Roman"/>
                <w:szCs w:val="24"/>
              </w:rPr>
              <w:t>（</w:t>
            </w:r>
            <w:r>
              <w:rPr>
                <w:rFonts w:hint="eastAsia" w:ascii="Times New Roman" w:hAnsi="Times New Roman" w:cs="Times New Roman"/>
                <w:szCs w:val="24"/>
              </w:rPr>
              <w:t>签字</w:t>
            </w:r>
            <w:r>
              <w:rPr>
                <w:rFonts w:ascii="Times New Roman" w:hAnsi="Times New Roman" w:cs="Times New Roman"/>
                <w:szCs w:val="24"/>
              </w:rPr>
              <w:t>）</w:t>
            </w:r>
            <w:r>
              <w:rPr>
                <w:rFonts w:hint="eastAsia" w:ascii="Times New Roman" w:hAnsi="Times New Roman" w:cs="Times New Roman"/>
                <w:szCs w:val="24"/>
              </w:rPr>
              <w:t>：</w:t>
            </w:r>
          </w:p>
          <w:p>
            <w:pPr>
              <w:ind w:right="27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 xml:space="preserve">年 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Cs w:val="24"/>
              </w:rPr>
              <w:t xml:space="preserve">月 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  <w:jc w:val="center"/>
        </w:trPr>
        <w:tc>
          <w:tcPr>
            <w:tcW w:w="127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核算单位</w:t>
            </w:r>
          </w:p>
        </w:tc>
        <w:tc>
          <w:tcPr>
            <w:tcW w:w="8080" w:type="dxa"/>
            <w:gridSpan w:val="7"/>
            <w:vAlign w:val="center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 xml:space="preserve">                                                  </w:t>
            </w:r>
          </w:p>
          <w:p>
            <w:pPr>
              <w:ind w:right="360" w:firstLine="3960" w:firstLineChars="165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>盖章</w:t>
            </w:r>
          </w:p>
          <w:p>
            <w:pPr>
              <w:wordWrap w:val="0"/>
              <w:ind w:right="21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cs="Times New Roman"/>
                <w:szCs w:val="24"/>
              </w:rPr>
              <w:t xml:space="preserve">年 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Cs w:val="24"/>
              </w:rPr>
              <w:t>月</w:t>
            </w: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>
              <w:rPr>
                <w:rFonts w:hint="eastAsia" w:ascii="Times New Roman" w:hAnsi="Times New Roman" w:cs="Times New Roman"/>
                <w:szCs w:val="24"/>
              </w:rPr>
              <w:t>日</w:t>
            </w:r>
          </w:p>
        </w:tc>
      </w:tr>
    </w:tbl>
    <w:p>
      <w:pPr>
        <w:tabs>
          <w:tab w:val="left" w:pos="6580"/>
          <w:tab w:val="left" w:pos="6780"/>
        </w:tabs>
        <w:rPr>
          <w:kern w:val="0"/>
          <w:szCs w:val="24"/>
        </w:rPr>
      </w:pPr>
      <w:r>
        <w:rPr>
          <w:rFonts w:hint="eastAsia"/>
          <w:kern w:val="0"/>
          <w:szCs w:val="24"/>
        </w:rPr>
        <w:t>注</w:t>
      </w:r>
      <w:r>
        <w:rPr>
          <w:kern w:val="0"/>
          <w:szCs w:val="24"/>
        </w:rPr>
        <w:t>：</w:t>
      </w:r>
      <w:r>
        <w:rPr>
          <w:rFonts w:hint="eastAsia"/>
          <w:kern w:val="0"/>
          <w:szCs w:val="24"/>
        </w:rPr>
        <w:t>当某</w:t>
      </w:r>
      <w:r>
        <w:rPr>
          <w:kern w:val="0"/>
          <w:szCs w:val="24"/>
        </w:rPr>
        <w:t>项目为多</w:t>
      </w:r>
      <w:r>
        <w:rPr>
          <w:rFonts w:hint="eastAsia"/>
          <w:kern w:val="0"/>
          <w:szCs w:val="24"/>
        </w:rPr>
        <w:t>栋</w:t>
      </w:r>
      <w:r>
        <w:rPr>
          <w:kern w:val="0"/>
          <w:szCs w:val="24"/>
        </w:rPr>
        <w:t>建筑构</w:t>
      </w:r>
      <w:r>
        <w:rPr>
          <w:rFonts w:hint="eastAsia"/>
          <w:kern w:val="0"/>
          <w:szCs w:val="24"/>
        </w:rPr>
        <w:t>成</w:t>
      </w:r>
      <w:r>
        <w:rPr>
          <w:kern w:val="0"/>
          <w:szCs w:val="24"/>
        </w:rPr>
        <w:t>，</w:t>
      </w:r>
      <w:r>
        <w:rPr>
          <w:rFonts w:hint="eastAsia"/>
          <w:kern w:val="0"/>
          <w:szCs w:val="24"/>
        </w:rPr>
        <w:t>按编号</w:t>
      </w:r>
      <w:r>
        <w:rPr>
          <w:kern w:val="0"/>
          <w:szCs w:val="24"/>
        </w:rPr>
        <w:t>分别</w:t>
      </w:r>
      <w:r>
        <w:rPr>
          <w:rFonts w:hint="eastAsia"/>
          <w:kern w:val="0"/>
          <w:szCs w:val="24"/>
        </w:rPr>
        <w:t>列出。</w:t>
      </w:r>
    </w:p>
    <w:p>
      <w:pPr>
        <w:tabs>
          <w:tab w:val="left" w:pos="6580"/>
          <w:tab w:val="left" w:pos="6780"/>
        </w:tabs>
        <w:jc w:val="left"/>
        <w:rPr>
          <w:rFonts w:ascii="黑体" w:hAnsi="黑体" w:eastAsia="黑体"/>
          <w:kern w:val="0"/>
          <w:sz w:val="32"/>
          <w:szCs w:val="24"/>
        </w:rPr>
      </w:pPr>
      <w:r>
        <w:rPr>
          <w:rFonts w:hint="eastAsia" w:ascii="黑体" w:hAnsi="黑体" w:eastAsia="黑体"/>
          <w:kern w:val="0"/>
          <w:sz w:val="32"/>
          <w:szCs w:val="24"/>
        </w:rPr>
        <w:t>五</w:t>
      </w:r>
      <w:r>
        <w:rPr>
          <w:rFonts w:ascii="黑体" w:hAnsi="黑体" w:eastAsia="黑体"/>
          <w:kern w:val="0"/>
          <w:sz w:val="32"/>
          <w:szCs w:val="24"/>
        </w:rPr>
        <w:t>、</w:t>
      </w:r>
      <w:r>
        <w:rPr>
          <w:rFonts w:hint="eastAsia" w:ascii="黑体" w:hAnsi="黑体" w:eastAsia="黑体"/>
          <w:kern w:val="0"/>
          <w:sz w:val="32"/>
          <w:szCs w:val="24"/>
        </w:rPr>
        <w:t>绿色</w:t>
      </w:r>
      <w:r>
        <w:rPr>
          <w:rFonts w:ascii="黑体" w:hAnsi="黑体" w:eastAsia="黑体"/>
          <w:kern w:val="0"/>
          <w:sz w:val="32"/>
          <w:szCs w:val="24"/>
        </w:rPr>
        <w:t>建材应用比例核算</w:t>
      </w:r>
      <w:r>
        <w:rPr>
          <w:rFonts w:hint="eastAsia" w:ascii="黑体" w:hAnsi="黑体" w:eastAsia="黑体"/>
          <w:kern w:val="0"/>
          <w:sz w:val="32"/>
          <w:szCs w:val="24"/>
        </w:rPr>
        <w:t>佐证材料</w:t>
      </w:r>
    </w:p>
    <w:p>
      <w:pPr>
        <w:tabs>
          <w:tab w:val="left" w:pos="6580"/>
          <w:tab w:val="left" w:pos="6780"/>
        </w:tabs>
        <w:jc w:val="left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注：核算单位需附上对</w:t>
      </w:r>
      <w:r>
        <w:rPr>
          <w:kern w:val="0"/>
          <w:sz w:val="28"/>
          <w:szCs w:val="28"/>
        </w:rPr>
        <w:t>现场</w:t>
      </w:r>
      <w:r>
        <w:rPr>
          <w:rFonts w:hint="eastAsia"/>
          <w:kern w:val="0"/>
          <w:sz w:val="28"/>
          <w:szCs w:val="28"/>
        </w:rPr>
        <w:t>抽查</w:t>
      </w:r>
      <w:r>
        <w:rPr>
          <w:kern w:val="0"/>
          <w:sz w:val="28"/>
          <w:szCs w:val="28"/>
        </w:rPr>
        <w:t>核验佐证材料，</w:t>
      </w:r>
      <w:r>
        <w:rPr>
          <w:rFonts w:hint="eastAsia"/>
          <w:kern w:val="0"/>
          <w:sz w:val="28"/>
          <w:szCs w:val="28"/>
        </w:rPr>
        <w:t>如现场照片</w:t>
      </w:r>
      <w:r>
        <w:rPr>
          <w:kern w:val="0"/>
          <w:sz w:val="28"/>
          <w:szCs w:val="28"/>
        </w:rPr>
        <w:t>、</w:t>
      </w:r>
      <w:r>
        <w:rPr>
          <w:rFonts w:hint="eastAsia"/>
          <w:kern w:val="0"/>
          <w:sz w:val="28"/>
          <w:szCs w:val="28"/>
        </w:rPr>
        <w:t>现场</w:t>
      </w:r>
      <w:r>
        <w:rPr>
          <w:kern w:val="0"/>
          <w:sz w:val="28"/>
          <w:szCs w:val="28"/>
        </w:rPr>
        <w:t>核查</w:t>
      </w:r>
      <w:r>
        <w:rPr>
          <w:rFonts w:hint="eastAsia"/>
          <w:kern w:val="0"/>
          <w:sz w:val="28"/>
          <w:szCs w:val="28"/>
        </w:rPr>
        <w:t>记录</w:t>
      </w:r>
      <w:r>
        <w:rPr>
          <w:kern w:val="0"/>
          <w:sz w:val="28"/>
          <w:szCs w:val="28"/>
        </w:rPr>
        <w:t>文档等。</w:t>
      </w:r>
    </w:p>
    <w:p>
      <w:pPr>
        <w:tabs>
          <w:tab w:val="left" w:pos="6580"/>
          <w:tab w:val="left" w:pos="6780"/>
        </w:tabs>
        <w:jc w:val="left"/>
        <w:rPr>
          <w:rFonts w:ascii="Times New Roman" w:hAnsi="Times New Roman" w:cs="Times New Roman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FZHei-B01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SJ0+ZJZAhx-7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SJ0+ZJZAhx-6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E-BZ+ZJZAhx-3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F62"/>
    <w:rsid w:val="00013A12"/>
    <w:rsid w:val="00021926"/>
    <w:rsid w:val="000639AB"/>
    <w:rsid w:val="00071AA0"/>
    <w:rsid w:val="000A1C71"/>
    <w:rsid w:val="000D5A1C"/>
    <w:rsid w:val="000E70B5"/>
    <w:rsid w:val="000F2C9C"/>
    <w:rsid w:val="001110E0"/>
    <w:rsid w:val="00162338"/>
    <w:rsid w:val="00170026"/>
    <w:rsid w:val="001B5517"/>
    <w:rsid w:val="001D5F11"/>
    <w:rsid w:val="002941C6"/>
    <w:rsid w:val="002C1305"/>
    <w:rsid w:val="002E0268"/>
    <w:rsid w:val="002E3A63"/>
    <w:rsid w:val="003C16CE"/>
    <w:rsid w:val="003C6E22"/>
    <w:rsid w:val="003D5E70"/>
    <w:rsid w:val="00411530"/>
    <w:rsid w:val="00412060"/>
    <w:rsid w:val="0041222B"/>
    <w:rsid w:val="00420152"/>
    <w:rsid w:val="00431E63"/>
    <w:rsid w:val="004B3801"/>
    <w:rsid w:val="004F488F"/>
    <w:rsid w:val="005E4B6E"/>
    <w:rsid w:val="00636ECD"/>
    <w:rsid w:val="00656EAB"/>
    <w:rsid w:val="00664421"/>
    <w:rsid w:val="006718E0"/>
    <w:rsid w:val="00684548"/>
    <w:rsid w:val="006C68B2"/>
    <w:rsid w:val="006E242A"/>
    <w:rsid w:val="006E690A"/>
    <w:rsid w:val="00701A5D"/>
    <w:rsid w:val="00744731"/>
    <w:rsid w:val="007A2C8D"/>
    <w:rsid w:val="008348F9"/>
    <w:rsid w:val="00856C2E"/>
    <w:rsid w:val="00890588"/>
    <w:rsid w:val="008B7945"/>
    <w:rsid w:val="00945DAA"/>
    <w:rsid w:val="00952A3F"/>
    <w:rsid w:val="00970CB5"/>
    <w:rsid w:val="00970D58"/>
    <w:rsid w:val="00985744"/>
    <w:rsid w:val="0099316A"/>
    <w:rsid w:val="009A2EAE"/>
    <w:rsid w:val="009B2D59"/>
    <w:rsid w:val="009B3734"/>
    <w:rsid w:val="009B4BEC"/>
    <w:rsid w:val="009C2750"/>
    <w:rsid w:val="00A246F1"/>
    <w:rsid w:val="00A3312D"/>
    <w:rsid w:val="00A46432"/>
    <w:rsid w:val="00A57A42"/>
    <w:rsid w:val="00A70EB3"/>
    <w:rsid w:val="00A73D5E"/>
    <w:rsid w:val="00A86386"/>
    <w:rsid w:val="00AC666A"/>
    <w:rsid w:val="00AD7F56"/>
    <w:rsid w:val="00AE0FBE"/>
    <w:rsid w:val="00B032C1"/>
    <w:rsid w:val="00B21482"/>
    <w:rsid w:val="00B45137"/>
    <w:rsid w:val="00B5027C"/>
    <w:rsid w:val="00B55661"/>
    <w:rsid w:val="00B92DA9"/>
    <w:rsid w:val="00BF0380"/>
    <w:rsid w:val="00C35B33"/>
    <w:rsid w:val="00C43576"/>
    <w:rsid w:val="00C61DB4"/>
    <w:rsid w:val="00C85081"/>
    <w:rsid w:val="00C9217E"/>
    <w:rsid w:val="00CC5E6F"/>
    <w:rsid w:val="00D150EC"/>
    <w:rsid w:val="00D555A3"/>
    <w:rsid w:val="00DE28FE"/>
    <w:rsid w:val="00E63AED"/>
    <w:rsid w:val="00E63B0C"/>
    <w:rsid w:val="00E75109"/>
    <w:rsid w:val="00E80EF7"/>
    <w:rsid w:val="00EC1A0D"/>
    <w:rsid w:val="00EF1EEA"/>
    <w:rsid w:val="00F22670"/>
    <w:rsid w:val="00F53F62"/>
    <w:rsid w:val="00F57F10"/>
    <w:rsid w:val="00FB520B"/>
    <w:rsid w:val="00FC3B1E"/>
    <w:rsid w:val="00FC53CA"/>
    <w:rsid w:val="00FE185E"/>
    <w:rsid w:val="76A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Theme="minorEastAsia" w:hAnsiTheme="minorEastAsia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240" w:after="120"/>
      <w:jc w:val="center"/>
      <w:outlineLvl w:val="0"/>
    </w:pPr>
    <w:rPr>
      <w:rFonts w:ascii="Times New Roman" w:hAnsi="Times New Roman" w:eastAsia="黑体"/>
      <w:bCs/>
      <w:kern w:val="44"/>
      <w:sz w:val="32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40" w:after="120"/>
      <w:jc w:val="left"/>
      <w:outlineLvl w:val="1"/>
    </w:pPr>
    <w:rPr>
      <w:rFonts w:ascii="Times New Roman" w:hAnsi="Times New Roman" w:eastAsia="黑体" w:cstheme="majorBidi"/>
      <w:bCs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Lines="30" w:afterLines="30"/>
      <w:outlineLvl w:val="2"/>
    </w:pPr>
    <w:rPr>
      <w:rFonts w:ascii="黑体" w:hAnsi="黑体" w:eastAsia="黑体"/>
      <w:bCs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33"/>
    <w:semiHidden/>
    <w:unhideWhenUsed/>
    <w:qFormat/>
    <w:uiPriority w:val="99"/>
    <w:pPr>
      <w:spacing w:line="240" w:lineRule="auto"/>
    </w:pPr>
    <w:rPr>
      <w:rFonts w:ascii="宋体" w:eastAsia="宋体" w:hAnsiTheme="minorHAnsi"/>
      <w:sz w:val="18"/>
      <w:szCs w:val="18"/>
    </w:rPr>
  </w:style>
  <w:style w:type="paragraph" w:styleId="6">
    <w:name w:val="annotation text"/>
    <w:basedOn w:val="1"/>
    <w:link w:val="30"/>
    <w:semiHidden/>
    <w:unhideWhenUsed/>
    <w:qFormat/>
    <w:uiPriority w:val="99"/>
    <w:pPr>
      <w:spacing w:line="240" w:lineRule="auto"/>
      <w:jc w:val="left"/>
    </w:pPr>
    <w:rPr>
      <w:rFonts w:asciiTheme="minorHAnsi" w:hAnsiTheme="minorHAnsi"/>
      <w:sz w:val="21"/>
    </w:rPr>
  </w:style>
  <w:style w:type="paragraph" w:styleId="7">
    <w:name w:val="Date"/>
    <w:basedOn w:val="1"/>
    <w:next w:val="1"/>
    <w:link w:val="29"/>
    <w:semiHidden/>
    <w:unhideWhenUsed/>
    <w:qFormat/>
    <w:uiPriority w:val="99"/>
    <w:pPr>
      <w:spacing w:line="240" w:lineRule="auto"/>
      <w:ind w:left="100" w:leftChars="2500"/>
    </w:pPr>
    <w:rPr>
      <w:rFonts w:asciiTheme="minorHAnsi" w:hAnsiTheme="minorHAnsi"/>
      <w:sz w:val="21"/>
    </w:rPr>
  </w:style>
  <w:style w:type="paragraph" w:styleId="8">
    <w:name w:val="Balloon Text"/>
    <w:basedOn w:val="1"/>
    <w:link w:val="32"/>
    <w:semiHidden/>
    <w:unhideWhenUsed/>
    <w:qFormat/>
    <w:uiPriority w:val="99"/>
    <w:pPr>
      <w:spacing w:line="240" w:lineRule="auto"/>
    </w:pPr>
    <w:rPr>
      <w:rFonts w:asciiTheme="minorHAnsi" w:hAnsiTheme="minorHAnsi"/>
      <w:sz w:val="18"/>
      <w:szCs w:val="18"/>
    </w:rPr>
  </w:style>
  <w:style w:type="paragraph" w:styleId="9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6"/>
    <w:next w:val="6"/>
    <w:link w:val="31"/>
    <w:semiHidden/>
    <w:unhideWhenUsed/>
    <w:qFormat/>
    <w:uiPriority w:val="99"/>
    <w:rPr>
      <w:b/>
      <w:bCs/>
    </w:rPr>
  </w:style>
  <w:style w:type="table" w:styleId="13">
    <w:name w:val="Table Grid"/>
    <w:basedOn w:val="1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basedOn w:val="14"/>
    <w:unhideWhenUsed/>
    <w:uiPriority w:val="99"/>
    <w:rPr>
      <w:color w:val="0563C1" w:themeColor="hyperlink"/>
      <w:u w:val="single"/>
    </w:rPr>
  </w:style>
  <w:style w:type="character" w:styleId="16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7">
    <w:name w:val="页眉 Char"/>
    <w:basedOn w:val="14"/>
    <w:link w:val="10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9"/>
    <w:qFormat/>
    <w:uiPriority w:val="99"/>
    <w:rPr>
      <w:sz w:val="18"/>
      <w:szCs w:val="18"/>
    </w:rPr>
  </w:style>
  <w:style w:type="character" w:customStyle="1" w:styleId="19">
    <w:name w:val="标题 1 Char"/>
    <w:basedOn w:val="14"/>
    <w:link w:val="2"/>
    <w:qFormat/>
    <w:uiPriority w:val="9"/>
    <w:rPr>
      <w:rFonts w:ascii="Times New Roman" w:hAnsi="Times New Roman" w:eastAsia="黑体"/>
      <w:bCs/>
      <w:kern w:val="44"/>
      <w:sz w:val="32"/>
      <w:szCs w:val="44"/>
    </w:rPr>
  </w:style>
  <w:style w:type="character" w:customStyle="1" w:styleId="20">
    <w:name w:val="标题 2 Char"/>
    <w:basedOn w:val="14"/>
    <w:link w:val="3"/>
    <w:qFormat/>
    <w:uiPriority w:val="9"/>
    <w:rPr>
      <w:rFonts w:ascii="Times New Roman" w:hAnsi="Times New Roman" w:eastAsia="黑体" w:cstheme="majorBidi"/>
      <w:bCs/>
      <w:sz w:val="24"/>
      <w:szCs w:val="32"/>
    </w:rPr>
  </w:style>
  <w:style w:type="character" w:customStyle="1" w:styleId="21">
    <w:name w:val="标题 3 Char"/>
    <w:basedOn w:val="14"/>
    <w:link w:val="4"/>
    <w:qFormat/>
    <w:uiPriority w:val="9"/>
    <w:rPr>
      <w:rFonts w:ascii="黑体" w:hAnsi="黑体" w:eastAsia="黑体"/>
      <w:bCs/>
      <w:sz w:val="24"/>
      <w:szCs w:val="32"/>
    </w:rPr>
  </w:style>
  <w:style w:type="character" w:customStyle="1" w:styleId="22">
    <w:name w:val="fontstyle01"/>
    <w:basedOn w:val="14"/>
    <w:qFormat/>
    <w:uiPriority w:val="0"/>
    <w:rPr>
      <w:rFonts w:hint="default" w:ascii="FZHei-B01" w:hAnsi="FZHei-B01"/>
      <w:color w:val="000000"/>
      <w:sz w:val="22"/>
      <w:szCs w:val="22"/>
    </w:rPr>
  </w:style>
  <w:style w:type="character" w:customStyle="1" w:styleId="23">
    <w:name w:val="fontstyle21"/>
    <w:basedOn w:val="14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24">
    <w:name w:val="fontstyle31"/>
    <w:basedOn w:val="14"/>
    <w:qFormat/>
    <w:uiPriority w:val="0"/>
    <w:rPr>
      <w:rFonts w:hint="default" w:ascii="SSJ0+ZJZAhx-7" w:hAnsi="SSJ0+ZJZAhx-7"/>
      <w:color w:val="000000"/>
      <w:sz w:val="22"/>
      <w:szCs w:val="22"/>
    </w:rPr>
  </w:style>
  <w:style w:type="character" w:customStyle="1" w:styleId="25">
    <w:name w:val="fontstyle11"/>
    <w:basedOn w:val="14"/>
    <w:qFormat/>
    <w:uiPriority w:val="0"/>
    <w:rPr>
      <w:rFonts w:hint="default" w:ascii="SSJ0+ZJZAhx-6" w:hAnsi="SSJ0+ZJZAhx-6"/>
      <w:color w:val="000000"/>
      <w:sz w:val="22"/>
      <w:szCs w:val="22"/>
    </w:rPr>
  </w:style>
  <w:style w:type="character" w:customStyle="1" w:styleId="26">
    <w:name w:val="fontstyle41"/>
    <w:basedOn w:val="14"/>
    <w:uiPriority w:val="0"/>
    <w:rPr>
      <w:rFonts w:hint="default" w:ascii="E-BZ+ZJZAhx-3" w:hAnsi="E-BZ+ZJZAhx-3"/>
      <w:color w:val="000000"/>
      <w:sz w:val="22"/>
      <w:szCs w:val="22"/>
    </w:rPr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Calibri"/>
      <w:color w:val="000000"/>
      <w:kern w:val="0"/>
      <w:sz w:val="24"/>
      <w:szCs w:val="24"/>
      <w:lang w:val="en-US" w:eastAsia="zh-CN" w:bidi="ar-SA"/>
    </w:rPr>
  </w:style>
  <w:style w:type="character" w:styleId="28">
    <w:name w:val="Placeholder Text"/>
    <w:basedOn w:val="14"/>
    <w:semiHidden/>
    <w:qFormat/>
    <w:uiPriority w:val="99"/>
    <w:rPr>
      <w:color w:val="808080"/>
    </w:rPr>
  </w:style>
  <w:style w:type="character" w:customStyle="1" w:styleId="29">
    <w:name w:val="日期 Char"/>
    <w:basedOn w:val="14"/>
    <w:link w:val="7"/>
    <w:semiHidden/>
    <w:uiPriority w:val="99"/>
  </w:style>
  <w:style w:type="character" w:customStyle="1" w:styleId="30">
    <w:name w:val="批注文字 Char"/>
    <w:basedOn w:val="14"/>
    <w:link w:val="6"/>
    <w:semiHidden/>
    <w:qFormat/>
    <w:uiPriority w:val="99"/>
  </w:style>
  <w:style w:type="character" w:customStyle="1" w:styleId="31">
    <w:name w:val="批注主题 Char"/>
    <w:basedOn w:val="30"/>
    <w:link w:val="11"/>
    <w:semiHidden/>
    <w:qFormat/>
    <w:uiPriority w:val="99"/>
    <w:rPr>
      <w:b/>
      <w:bCs/>
    </w:rPr>
  </w:style>
  <w:style w:type="character" w:customStyle="1" w:styleId="32">
    <w:name w:val="批注框文本 Char"/>
    <w:basedOn w:val="14"/>
    <w:link w:val="8"/>
    <w:semiHidden/>
    <w:qFormat/>
    <w:uiPriority w:val="99"/>
    <w:rPr>
      <w:sz w:val="18"/>
      <w:szCs w:val="18"/>
    </w:rPr>
  </w:style>
  <w:style w:type="character" w:customStyle="1" w:styleId="33">
    <w:name w:val="文档结构图 Char"/>
    <w:basedOn w:val="14"/>
    <w:link w:val="5"/>
    <w:semiHidden/>
    <w:qFormat/>
    <w:uiPriority w:val="99"/>
    <w:rPr>
      <w:rFonts w:ascii="宋体" w:eastAsia="宋体"/>
      <w:sz w:val="18"/>
      <w:szCs w:val="18"/>
    </w:rPr>
  </w:style>
  <w:style w:type="paragraph" w:styleId="34">
    <w:name w:val="List Paragraph"/>
    <w:basedOn w:val="1"/>
    <w:qFormat/>
    <w:uiPriority w:val="34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08E754-674E-4F6C-8168-DCA658B781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15</Pages>
  <Words>1081</Words>
  <Characters>6163</Characters>
  <Lines>51</Lines>
  <Paragraphs>14</Paragraphs>
  <TotalTime>721</TotalTime>
  <ScaleCrop>false</ScaleCrop>
  <LinksUpToDate>false</LinksUpToDate>
  <CharactersWithSpaces>7230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2020-06-30T01:52:00Z</dcterms:created>
  <dc:creator>china</dc:creator>
  <cp:lastModifiedBy>苏玉斌</cp:lastModifiedBy>
  <cp:lastPrinted>2020-06-30T10:22:00Z</cp:lastPrinted>
  <dcterms:modified xsi:type="dcterms:W3CDTF">2021-03-13T00:49:01Z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