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9A4A1"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jc w:val="center"/>
        <w:outlineLvl w:val="0"/>
        <w:rPr>
          <w:rFonts w:asciiTheme="majorEastAsia" w:eastAsiaTheme="majorEastAsia" w:hAnsiTheme="majorEastAsia" w:cs="宋体"/>
          <w:b/>
          <w:color w:val="000000" w:themeColor="text1"/>
          <w:kern w:val="0"/>
          <w:sz w:val="27"/>
          <w:szCs w:val="27"/>
        </w:rPr>
      </w:pPr>
      <w:r w:rsidRPr="005E1543">
        <w:rPr>
          <w:rFonts w:asciiTheme="majorEastAsia" w:eastAsiaTheme="majorEastAsia" w:hAnsiTheme="majorEastAsia" w:cs="宋体" w:hint="eastAsia"/>
          <w:b/>
          <w:color w:val="000000" w:themeColor="text1"/>
          <w:kern w:val="0"/>
          <w:sz w:val="27"/>
          <w:szCs w:val="27"/>
        </w:rPr>
        <w:t>《厦门市海绵城市建设管理暂行办法》</w:t>
      </w:r>
    </w:p>
    <w:p w14:paraId="3DFDA136"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center"/>
        <w:rPr>
          <w:rFonts w:asciiTheme="majorEastAsia" w:eastAsiaTheme="majorEastAsia" w:hAnsiTheme="majorEastAsia" w:cs="宋体"/>
          <w:b/>
          <w:color w:val="000000" w:themeColor="text1"/>
          <w:kern w:val="0"/>
          <w:sz w:val="27"/>
          <w:szCs w:val="27"/>
        </w:rPr>
      </w:pPr>
      <w:r w:rsidRPr="005E1543">
        <w:rPr>
          <w:rFonts w:asciiTheme="majorEastAsia" w:eastAsiaTheme="majorEastAsia" w:hAnsiTheme="majorEastAsia" w:cs="宋体" w:hint="eastAsia"/>
          <w:b/>
          <w:color w:val="000000" w:themeColor="text1"/>
          <w:kern w:val="0"/>
          <w:sz w:val="24"/>
          <w:szCs w:val="24"/>
        </w:rPr>
        <w:t>第一章 总则</w:t>
      </w:r>
    </w:p>
    <w:p w14:paraId="461E5D99"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第一条 为加快推进</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，改善城市生态环境，提高抵御自然灾害的能力，促进城市经济社会和环境的协调发展，根据《</w:t>
      </w:r>
      <w:r w:rsidR="006C0143" w:rsidRPr="005E1543">
        <w:rPr>
          <w:rFonts w:asciiTheme="majorEastAsia" w:eastAsiaTheme="majorEastAsia" w:hAnsiTheme="majorEastAsia" w:cs="宋体"/>
          <w:color w:val="000000" w:themeColor="text1"/>
          <w:kern w:val="0"/>
          <w:sz w:val="24"/>
          <w:szCs w:val="24"/>
        </w:rPr>
        <w:t>中华人民</w:t>
      </w:r>
      <w:bookmarkStart w:id="0" w:name="_GoBack"/>
      <w:bookmarkEnd w:id="0"/>
      <w:r w:rsidR="006C0143" w:rsidRPr="005E1543">
        <w:rPr>
          <w:rFonts w:asciiTheme="majorEastAsia" w:eastAsiaTheme="majorEastAsia" w:hAnsiTheme="majorEastAsia" w:cs="宋体"/>
          <w:color w:val="000000" w:themeColor="text1"/>
          <w:kern w:val="0"/>
          <w:sz w:val="24"/>
          <w:szCs w:val="24"/>
        </w:rPr>
        <w:t>共和国城乡规划法</w:t>
      </w:r>
      <w:r w:rsidRPr="005E1543">
        <w:rPr>
          <w:rFonts w:asciiTheme="majorEastAsia" w:eastAsiaTheme="majorEastAsia" w:hAnsiTheme="majorEastAsia" w:cs="宋体" w:hint="eastAsia"/>
          <w:color w:val="000000" w:themeColor="text1"/>
          <w:kern w:val="0"/>
          <w:sz w:val="24"/>
          <w:szCs w:val="24"/>
        </w:rPr>
        <w:t>》、《</w:t>
      </w:r>
      <w:r w:rsidR="006C0143" w:rsidRPr="005E1543">
        <w:rPr>
          <w:rFonts w:asciiTheme="majorEastAsia" w:eastAsiaTheme="majorEastAsia" w:hAnsiTheme="majorEastAsia" w:cs="宋体"/>
          <w:color w:val="000000" w:themeColor="text1"/>
          <w:kern w:val="0"/>
          <w:sz w:val="24"/>
          <w:szCs w:val="24"/>
        </w:rPr>
        <w:t>中华人民共和国建筑法</w:t>
      </w:r>
      <w:r w:rsidRPr="005E1543">
        <w:rPr>
          <w:rFonts w:asciiTheme="majorEastAsia" w:eastAsiaTheme="majorEastAsia" w:hAnsiTheme="majorEastAsia" w:cs="宋体" w:hint="eastAsia"/>
          <w:color w:val="000000" w:themeColor="text1"/>
          <w:kern w:val="0"/>
          <w:sz w:val="24"/>
          <w:szCs w:val="24"/>
        </w:rPr>
        <w:t>》、《</w:t>
      </w:r>
      <w:r w:rsidR="006C0143" w:rsidRPr="005E1543">
        <w:rPr>
          <w:rFonts w:asciiTheme="majorEastAsia" w:eastAsiaTheme="majorEastAsia" w:hAnsiTheme="majorEastAsia" w:cs="宋体"/>
          <w:color w:val="000000" w:themeColor="text1"/>
          <w:kern w:val="0"/>
          <w:sz w:val="24"/>
          <w:szCs w:val="24"/>
        </w:rPr>
        <w:t>中华人民共和国水法</w:t>
      </w:r>
      <w:r w:rsidRPr="005E1543">
        <w:rPr>
          <w:rFonts w:asciiTheme="majorEastAsia" w:eastAsiaTheme="majorEastAsia" w:hAnsiTheme="majorEastAsia" w:cs="宋体" w:hint="eastAsia"/>
          <w:color w:val="000000" w:themeColor="text1"/>
          <w:kern w:val="0"/>
          <w:sz w:val="24"/>
          <w:szCs w:val="24"/>
        </w:rPr>
        <w:t>》等有关法律法规，以及国务院办公厅《</w:t>
      </w:r>
      <w:r w:rsidR="006C0143" w:rsidRPr="005E1543">
        <w:rPr>
          <w:rFonts w:asciiTheme="majorEastAsia" w:eastAsiaTheme="majorEastAsia" w:hAnsiTheme="majorEastAsia" w:cs="宋体"/>
          <w:color w:val="000000" w:themeColor="text1"/>
          <w:kern w:val="0"/>
          <w:sz w:val="24"/>
          <w:szCs w:val="24"/>
        </w:rPr>
        <w:t>关于推进海绵城市建设指导意见</w:t>
      </w:r>
      <w:r w:rsidRPr="005E1543">
        <w:rPr>
          <w:rFonts w:asciiTheme="majorEastAsia" w:eastAsiaTheme="majorEastAsia" w:hAnsiTheme="majorEastAsia" w:cs="宋体" w:hint="eastAsia"/>
          <w:color w:val="000000" w:themeColor="text1"/>
          <w:kern w:val="0"/>
          <w:sz w:val="24"/>
          <w:szCs w:val="24"/>
        </w:rPr>
        <w:t>》（国办发〔2015〕75 号），结合我市实际制定本办法。</w:t>
      </w:r>
    </w:p>
    <w:p w14:paraId="15F98D47"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第二条 </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是指通过加强城市规划建设管理，充分发挥建筑、道路和绿地、水系等生态系统对雨水的吸纳、蓄渗和缓释作用，有效控制</w:t>
      </w:r>
      <w:r w:rsidR="006C0143" w:rsidRPr="005E1543">
        <w:rPr>
          <w:rFonts w:asciiTheme="majorEastAsia" w:eastAsiaTheme="majorEastAsia" w:hAnsiTheme="majorEastAsia" w:cs="宋体"/>
          <w:color w:val="000000" w:themeColor="text1"/>
          <w:kern w:val="0"/>
          <w:sz w:val="24"/>
          <w:szCs w:val="24"/>
        </w:rPr>
        <w:t>雨水径流</w:t>
      </w:r>
      <w:r w:rsidRPr="005E1543">
        <w:rPr>
          <w:rFonts w:asciiTheme="majorEastAsia" w:eastAsiaTheme="majorEastAsia" w:hAnsiTheme="majorEastAsia" w:cs="宋体" w:hint="eastAsia"/>
          <w:color w:val="000000" w:themeColor="text1"/>
          <w:kern w:val="0"/>
          <w:sz w:val="24"/>
          <w:szCs w:val="24"/>
        </w:rPr>
        <w:t>，实现自然积存、自然渗透、自然净化的城市发展方式。</w:t>
      </w:r>
    </w:p>
    <w:p w14:paraId="21AD9657"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第三条 全市新、改、扩建建设项目均应遵守本办法。</w:t>
      </w:r>
    </w:p>
    <w:p w14:paraId="1B6D4E44"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第四条 遵循“规划引领、生态优先、安全为重、因地制宜、统筹建设”的基本原则，通过“</w:t>
      </w:r>
      <w:r w:rsidR="006C0143" w:rsidRPr="005E1543">
        <w:rPr>
          <w:rFonts w:asciiTheme="majorEastAsia" w:eastAsiaTheme="majorEastAsia" w:hAnsiTheme="majorEastAsia" w:cs="宋体"/>
          <w:color w:val="000000" w:themeColor="text1"/>
          <w:kern w:val="0"/>
          <w:sz w:val="24"/>
          <w:szCs w:val="24"/>
        </w:rPr>
        <w:t>渗、</w:t>
      </w:r>
      <w:r w:rsidR="006C0143" w:rsidRPr="005E1543">
        <w:rPr>
          <w:rFonts w:asciiTheme="majorEastAsia" w:eastAsiaTheme="majorEastAsia" w:hAnsiTheme="majorEastAsia" w:cs="宋体" w:hint="eastAsia"/>
          <w:color w:val="000000" w:themeColor="text1"/>
          <w:kern w:val="0"/>
          <w:sz w:val="24"/>
          <w:szCs w:val="24"/>
        </w:rPr>
        <w:t>滞、蓄、净、用</w:t>
      </w:r>
      <w:r w:rsidR="006C0143" w:rsidRPr="005E1543">
        <w:rPr>
          <w:rFonts w:asciiTheme="majorEastAsia" w:eastAsiaTheme="majorEastAsia" w:hAnsiTheme="majorEastAsia" w:cs="宋体"/>
          <w:color w:val="000000" w:themeColor="text1"/>
          <w:kern w:val="0"/>
          <w:sz w:val="24"/>
          <w:szCs w:val="24"/>
        </w:rPr>
        <w:t>、</w:t>
      </w:r>
      <w:r w:rsidR="006C0143" w:rsidRPr="005E1543">
        <w:rPr>
          <w:rFonts w:asciiTheme="majorEastAsia" w:eastAsiaTheme="majorEastAsia" w:hAnsiTheme="majorEastAsia" w:cs="宋体" w:hint="eastAsia"/>
          <w:color w:val="000000" w:themeColor="text1"/>
          <w:kern w:val="0"/>
          <w:sz w:val="24"/>
          <w:szCs w:val="24"/>
        </w:rPr>
        <w:t>排</w:t>
      </w:r>
      <w:r w:rsidRPr="005E1543">
        <w:rPr>
          <w:rFonts w:asciiTheme="majorEastAsia" w:eastAsiaTheme="majorEastAsia" w:hAnsiTheme="majorEastAsia" w:cs="宋体" w:hint="eastAsia"/>
          <w:color w:val="000000" w:themeColor="text1"/>
          <w:kern w:val="0"/>
          <w:sz w:val="24"/>
          <w:szCs w:val="24"/>
        </w:rPr>
        <w:t>”等措施，最大限度地减少城市开发建设对生态环境的影响，达到将70%的降雨就地消纳和利用的目标要求。到2020年，城市建成区20%以上的面积达到目标要求；到2030年，城市建成区80%以上的面积达到目标要求。</w:t>
      </w:r>
    </w:p>
    <w:p w14:paraId="4B604531"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第五条 规划行政主管部门负责</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总体规划和相关规划的编制、审查和监督管理工作，负责指导和监督项目设计方案落实</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要求；</w:t>
      </w:r>
    </w:p>
    <w:p w14:paraId="474B555F"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建设行政主管部门应根据</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相关技术规范、标准和要求，做好项目设计、施工等建设工程质量的监督管理工作；</w:t>
      </w:r>
    </w:p>
    <w:p w14:paraId="3016FEEB"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国土资源行政主管部门负责项目土地供给及相关地势、地形、地貌基础数据提供等工作；</w:t>
      </w:r>
    </w:p>
    <w:p w14:paraId="7D3E5C4D"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市政交通行政主管部门负责指导市政雨污水管网、道路透水铺装、道路雨水滞流等工作；</w:t>
      </w:r>
    </w:p>
    <w:p w14:paraId="5C67FB7E" w14:textId="77777777" w:rsidR="00AE199F" w:rsidRPr="005E1543" w:rsidRDefault="006C0143"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color w:val="000000" w:themeColor="text1"/>
          <w:kern w:val="0"/>
          <w:sz w:val="24"/>
          <w:szCs w:val="24"/>
        </w:rPr>
        <w:t>园林绿化</w:t>
      </w:r>
      <w:r w:rsidR="00AE199F" w:rsidRPr="005E1543">
        <w:rPr>
          <w:rFonts w:asciiTheme="majorEastAsia" w:eastAsiaTheme="majorEastAsia" w:hAnsiTheme="majorEastAsia" w:cs="宋体" w:hint="eastAsia"/>
          <w:color w:val="000000" w:themeColor="text1"/>
          <w:kern w:val="0"/>
          <w:sz w:val="24"/>
          <w:szCs w:val="24"/>
        </w:rPr>
        <w:t>、林业行政主管部门负责</w:t>
      </w:r>
      <w:r w:rsidRPr="005E1543">
        <w:rPr>
          <w:rFonts w:asciiTheme="majorEastAsia" w:eastAsiaTheme="majorEastAsia" w:hAnsiTheme="majorEastAsia" w:cs="宋体"/>
          <w:color w:val="000000" w:themeColor="text1"/>
          <w:kern w:val="0"/>
          <w:sz w:val="24"/>
          <w:szCs w:val="24"/>
        </w:rPr>
        <w:t>园林绿化</w:t>
      </w:r>
      <w:r w:rsidR="00AE199F" w:rsidRPr="005E1543">
        <w:rPr>
          <w:rFonts w:asciiTheme="majorEastAsia" w:eastAsiaTheme="majorEastAsia" w:hAnsiTheme="majorEastAsia" w:cs="宋体" w:hint="eastAsia"/>
          <w:color w:val="000000" w:themeColor="text1"/>
          <w:kern w:val="0"/>
          <w:sz w:val="24"/>
          <w:szCs w:val="24"/>
        </w:rPr>
        <w:t>等设施的建设运行维护，确保符合</w:t>
      </w:r>
      <w:r w:rsidRPr="005E1543">
        <w:rPr>
          <w:rFonts w:asciiTheme="majorEastAsia" w:eastAsiaTheme="majorEastAsia" w:hAnsiTheme="majorEastAsia" w:cs="宋体"/>
          <w:color w:val="000000" w:themeColor="text1"/>
          <w:kern w:val="0"/>
          <w:sz w:val="24"/>
          <w:szCs w:val="24"/>
        </w:rPr>
        <w:t>海绵城市建设</w:t>
      </w:r>
      <w:r w:rsidR="00AE199F" w:rsidRPr="005E1543">
        <w:rPr>
          <w:rFonts w:asciiTheme="majorEastAsia" w:eastAsiaTheme="majorEastAsia" w:hAnsiTheme="majorEastAsia" w:cs="宋体" w:hint="eastAsia"/>
          <w:color w:val="000000" w:themeColor="text1"/>
          <w:kern w:val="0"/>
          <w:sz w:val="24"/>
          <w:szCs w:val="24"/>
        </w:rPr>
        <w:t>要求；</w:t>
      </w:r>
    </w:p>
    <w:p w14:paraId="1C2804FD"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水利行政主管部门负责审核把关涉及河湖水系的项目建设并加强监督管理，确保符合</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要求；</w:t>
      </w:r>
    </w:p>
    <w:p w14:paraId="46542D2F"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lastRenderedPageBreak/>
        <w:t>市相关单位依据本办法有关规定，在各自的职责范围内负责海绵城市建设、管理和运营维护等相关工作。</w:t>
      </w:r>
    </w:p>
    <w:p w14:paraId="265644A9"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第六条 </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需规划、建设、园林、水务、水利等部门相互配合、相互协调，各系统建设指标应符合厦门市</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指标体系的相关规定，并应达到规划确定的</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标准。</w:t>
      </w:r>
    </w:p>
    <w:p w14:paraId="5694C00A"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center"/>
        <w:rPr>
          <w:rFonts w:asciiTheme="majorEastAsia" w:eastAsiaTheme="majorEastAsia" w:hAnsiTheme="majorEastAsia" w:cs="宋体"/>
          <w:b/>
          <w:color w:val="000000" w:themeColor="text1"/>
          <w:kern w:val="0"/>
          <w:sz w:val="27"/>
          <w:szCs w:val="27"/>
        </w:rPr>
      </w:pPr>
      <w:r w:rsidRPr="005E1543">
        <w:rPr>
          <w:rFonts w:asciiTheme="majorEastAsia" w:eastAsiaTheme="majorEastAsia" w:hAnsiTheme="majorEastAsia" w:cs="宋体" w:hint="eastAsia"/>
          <w:b/>
          <w:color w:val="000000" w:themeColor="text1"/>
          <w:kern w:val="0"/>
          <w:sz w:val="24"/>
          <w:szCs w:val="24"/>
        </w:rPr>
        <w:t>第二章 项目立项</w:t>
      </w:r>
    </w:p>
    <w:p w14:paraId="239825C3"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第七条 全市新、改、扩建建设项目应积极落实</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要求及其相关技术规范和标准。在项目可行性研究报告或初步设计阶段，根据规划的相关技术指标要求，明确</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工程的建设内容、规模、标准及技术参数等。</w:t>
      </w:r>
    </w:p>
    <w:p w14:paraId="1EED736C"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第八条 涉及</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的全市新、改、扩建建设项目，根据我市</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相关规划，分年度列入城市建设投资计划，应优先落实建设资金、项目业主、工作目标和考核办法。</w:t>
      </w:r>
    </w:p>
    <w:p w14:paraId="1671B7F3"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center"/>
        <w:rPr>
          <w:rFonts w:asciiTheme="majorEastAsia" w:eastAsiaTheme="majorEastAsia" w:hAnsiTheme="majorEastAsia" w:cs="宋体"/>
          <w:b/>
          <w:color w:val="000000" w:themeColor="text1"/>
          <w:kern w:val="0"/>
          <w:sz w:val="27"/>
          <w:szCs w:val="27"/>
        </w:rPr>
      </w:pPr>
      <w:r w:rsidRPr="005E1543">
        <w:rPr>
          <w:rFonts w:asciiTheme="majorEastAsia" w:eastAsiaTheme="majorEastAsia" w:hAnsiTheme="majorEastAsia" w:cs="宋体" w:hint="eastAsia"/>
          <w:b/>
          <w:color w:val="000000" w:themeColor="text1"/>
          <w:kern w:val="0"/>
          <w:sz w:val="24"/>
          <w:szCs w:val="24"/>
        </w:rPr>
        <w:t>第三章 规划管理</w:t>
      </w:r>
    </w:p>
    <w:p w14:paraId="23AAA438"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第九条 在编制城市总体规划和相关专项规划中，应全面、全域融入</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理念，要将雨水</w:t>
      </w:r>
      <w:r w:rsidR="006C0143" w:rsidRPr="005E1543">
        <w:rPr>
          <w:rFonts w:asciiTheme="majorEastAsia" w:eastAsiaTheme="majorEastAsia" w:hAnsiTheme="majorEastAsia" w:cs="宋体"/>
          <w:color w:val="000000" w:themeColor="text1"/>
          <w:kern w:val="0"/>
          <w:sz w:val="24"/>
          <w:szCs w:val="24"/>
        </w:rPr>
        <w:t>年净流总量</w:t>
      </w:r>
      <w:r w:rsidRPr="005E1543">
        <w:rPr>
          <w:rFonts w:asciiTheme="majorEastAsia" w:eastAsiaTheme="majorEastAsia" w:hAnsiTheme="majorEastAsia" w:cs="宋体" w:hint="eastAsia"/>
          <w:color w:val="000000" w:themeColor="text1"/>
          <w:kern w:val="0"/>
          <w:sz w:val="24"/>
          <w:szCs w:val="24"/>
        </w:rPr>
        <w:t>控制率作为其刚性控制指标，并将</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建设要求融入“多规合一”、生态保护、水资源、绿地系统、功能分区、环境保护、市政和交通基础设施等规划中统筹谋划、系统考虑。城市规划要充分考虑自然生态空间格局，应尊重自然地势地貌和天然沟渠湿地的走向，优先维持原自然河湖水系，保留自然蓄滞洪区。</w:t>
      </w:r>
    </w:p>
    <w:p w14:paraId="646AC1FF"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第十条 </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的理念、规划要求和相关措施应贯穿于城市总体规划、专项规划、控制性详细规划和修建性详细规划的全过程。应安排专门的</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相关研究。</w:t>
      </w:r>
    </w:p>
    <w:p w14:paraId="6EA142AE"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第十一条 规划行政主管部门应组织编制不同层级的海绵城市专项规划。总体层面应编制海绵城市建设总体规划，片区层面应编制</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专项规划，建设工程项目应编制雨水控制与利用方案。</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相关控制指标应通过不同层级的规划逐级落实。</w:t>
      </w:r>
    </w:p>
    <w:p w14:paraId="3B87EE65"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第十二条 已经出让或划拨但未建设的土地，鼓励通过设计变更、以奖代补等办法，落实</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相关内容和要求；尚未出让的地块，规划部门应</w:t>
      </w:r>
      <w:r w:rsidRPr="005E1543">
        <w:rPr>
          <w:rFonts w:asciiTheme="majorEastAsia" w:eastAsiaTheme="majorEastAsia" w:hAnsiTheme="majorEastAsia" w:cs="宋体" w:hint="eastAsia"/>
          <w:color w:val="000000" w:themeColor="text1"/>
          <w:kern w:val="0"/>
          <w:sz w:val="24"/>
          <w:szCs w:val="24"/>
        </w:rPr>
        <w:lastRenderedPageBreak/>
        <w:t>根据我市</w:t>
      </w:r>
      <w:r w:rsidR="006C0143" w:rsidRPr="005E1543">
        <w:rPr>
          <w:rFonts w:asciiTheme="majorEastAsia" w:eastAsiaTheme="majorEastAsia" w:hAnsiTheme="majorEastAsia" w:cs="宋体"/>
          <w:color w:val="000000" w:themeColor="text1"/>
          <w:kern w:val="0"/>
          <w:sz w:val="24"/>
          <w:szCs w:val="24"/>
        </w:rPr>
        <w:t>海绵城市</w:t>
      </w:r>
      <w:r w:rsidR="006C0143" w:rsidRPr="005E1543">
        <w:rPr>
          <w:rFonts w:asciiTheme="majorEastAsia" w:eastAsiaTheme="majorEastAsia" w:hAnsiTheme="majorEastAsia" w:cs="宋体" w:hint="eastAsia"/>
          <w:color w:val="000000" w:themeColor="text1"/>
          <w:kern w:val="0"/>
          <w:sz w:val="24"/>
          <w:szCs w:val="24"/>
        </w:rPr>
        <w:t>建设</w:t>
      </w:r>
      <w:r w:rsidRPr="005E1543">
        <w:rPr>
          <w:rFonts w:asciiTheme="majorEastAsia" w:eastAsiaTheme="majorEastAsia" w:hAnsiTheme="majorEastAsia" w:cs="宋体" w:hint="eastAsia"/>
          <w:color w:val="000000" w:themeColor="text1"/>
          <w:kern w:val="0"/>
          <w:sz w:val="24"/>
          <w:szCs w:val="24"/>
        </w:rPr>
        <w:t>相关指标体系，将相关刚性指标纳入地块规划建设指标一并考虑。</w:t>
      </w:r>
    </w:p>
    <w:p w14:paraId="68D162CB"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第十三条 全市财政性投融资项目及需落实</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要求的项目，建设单位应在项目设计阶段向厦门市</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工程技术研究中心报送项目相关设计文件，由厦门市</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工程技术研究中心对项目设计是否落实海绵城市建设要求进行评估，并出具评估意见。一般建设项目10 个工作日内出具评估意见，重大建设项目经市海绵办同意后可视具体情况适当延长。</w:t>
      </w:r>
    </w:p>
    <w:p w14:paraId="43C7F83D"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项目设计文件应包括</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工程要求、工程设计方案、</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计算书（雨污管道设计、年径流总量控制率计算、海绵城市设施计算等）和其他相关资料等具体设计内容。</w:t>
      </w:r>
    </w:p>
    <w:p w14:paraId="698B049D"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项目设计评估应通过数学模型模拟等先进技术手段，保证项目用地中的</w:t>
      </w:r>
      <w:r w:rsidR="006C0143" w:rsidRPr="005E1543">
        <w:rPr>
          <w:rFonts w:asciiTheme="majorEastAsia" w:eastAsiaTheme="majorEastAsia" w:hAnsiTheme="majorEastAsia" w:cs="宋体"/>
          <w:color w:val="000000" w:themeColor="text1"/>
          <w:kern w:val="0"/>
          <w:sz w:val="24"/>
          <w:szCs w:val="24"/>
        </w:rPr>
        <w:t>雨水调蓄</w:t>
      </w:r>
      <w:r w:rsidRPr="005E1543">
        <w:rPr>
          <w:rFonts w:asciiTheme="majorEastAsia" w:eastAsiaTheme="majorEastAsia" w:hAnsiTheme="majorEastAsia" w:cs="宋体" w:hint="eastAsia"/>
          <w:color w:val="000000" w:themeColor="text1"/>
          <w:kern w:val="0"/>
          <w:sz w:val="24"/>
          <w:szCs w:val="24"/>
        </w:rPr>
        <w:t>利用设施、</w:t>
      </w:r>
      <w:r w:rsidR="006C0143" w:rsidRPr="005E1543">
        <w:rPr>
          <w:rFonts w:asciiTheme="majorEastAsia" w:eastAsiaTheme="majorEastAsia" w:hAnsiTheme="majorEastAsia" w:cs="宋体"/>
          <w:color w:val="000000" w:themeColor="text1"/>
          <w:kern w:val="0"/>
          <w:sz w:val="24"/>
          <w:szCs w:val="24"/>
        </w:rPr>
        <w:t>绿色屋顶</w:t>
      </w:r>
      <w:r w:rsidRPr="005E1543">
        <w:rPr>
          <w:rFonts w:asciiTheme="majorEastAsia" w:eastAsiaTheme="majorEastAsia" w:hAnsiTheme="majorEastAsia" w:cs="宋体" w:hint="eastAsia"/>
          <w:color w:val="000000" w:themeColor="text1"/>
          <w:kern w:val="0"/>
          <w:sz w:val="24"/>
          <w:szCs w:val="24"/>
        </w:rPr>
        <w:t>、</w:t>
      </w:r>
      <w:r w:rsidR="006C0143" w:rsidRPr="005E1543">
        <w:rPr>
          <w:rFonts w:asciiTheme="majorEastAsia" w:eastAsiaTheme="majorEastAsia" w:hAnsiTheme="majorEastAsia" w:cs="宋体" w:hint="eastAsia"/>
          <w:color w:val="000000" w:themeColor="text1"/>
          <w:kern w:val="0"/>
          <w:sz w:val="24"/>
          <w:szCs w:val="24"/>
        </w:rPr>
        <w:t>下沉式</w:t>
      </w:r>
      <w:r w:rsidR="006C0143" w:rsidRPr="005E1543">
        <w:rPr>
          <w:rFonts w:asciiTheme="majorEastAsia" w:eastAsiaTheme="majorEastAsia" w:hAnsiTheme="majorEastAsia" w:cs="宋体"/>
          <w:color w:val="000000" w:themeColor="text1"/>
          <w:kern w:val="0"/>
          <w:sz w:val="24"/>
          <w:szCs w:val="24"/>
        </w:rPr>
        <w:t>绿地</w:t>
      </w:r>
      <w:r w:rsidRPr="005E1543">
        <w:rPr>
          <w:rFonts w:asciiTheme="majorEastAsia" w:eastAsiaTheme="majorEastAsia" w:hAnsiTheme="majorEastAsia" w:cs="宋体" w:hint="eastAsia"/>
          <w:color w:val="000000" w:themeColor="text1"/>
          <w:kern w:val="0"/>
          <w:sz w:val="24"/>
          <w:szCs w:val="24"/>
        </w:rPr>
        <w:t>、透水铺装、植草沟、雨水湿地、初期雨水弃流设施等</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设施符合地块规划设计条件规定的</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相关刚性指标要求。</w:t>
      </w:r>
    </w:p>
    <w:p w14:paraId="153CEDAE"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center"/>
        <w:rPr>
          <w:rFonts w:asciiTheme="majorEastAsia" w:eastAsiaTheme="majorEastAsia" w:hAnsiTheme="majorEastAsia" w:cs="宋体"/>
          <w:b/>
          <w:color w:val="000000" w:themeColor="text1"/>
          <w:kern w:val="0"/>
          <w:sz w:val="27"/>
          <w:szCs w:val="27"/>
        </w:rPr>
      </w:pPr>
      <w:r w:rsidRPr="005E1543">
        <w:rPr>
          <w:rFonts w:asciiTheme="majorEastAsia" w:eastAsiaTheme="majorEastAsia" w:hAnsiTheme="majorEastAsia" w:cs="宋体" w:hint="eastAsia"/>
          <w:b/>
          <w:color w:val="000000" w:themeColor="text1"/>
          <w:kern w:val="0"/>
          <w:sz w:val="24"/>
          <w:szCs w:val="24"/>
        </w:rPr>
        <w:t>第四章 土地开发利用管理</w:t>
      </w:r>
    </w:p>
    <w:p w14:paraId="5D76DC3D"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第十四条 建设用地供地前，市规划行政主管部门应首先确定</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相关刚性指标；规划和土地行政主管部门应监督土地使用权人在开发和利用土地的过程中落实相应指标要求。</w:t>
      </w:r>
    </w:p>
    <w:p w14:paraId="33EBFA8F"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第十五条 城市道路、水系、绿地与广场等基础设施用地选址时，应当节约用地、集约用地、兼顾其他用地、综合协调设施布局，优先考虑利用或保留原有绿地、河湖水系、自然坑塘、闲置土地等用地。</w:t>
      </w:r>
    </w:p>
    <w:p w14:paraId="7EF81716"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第十六条 公园、水系、绿地与广场等用地，未经批准，不得改变用途。加强对城市坑塘、河湖、湿地等水体自然形态的保护和恢复，禁止填湖造地、截弯取直、大规模河道硬化等破坏水生态环境的建设行为。恢复和保持河湖水系的自然连通，构建城市良性水循环系统，逐步改善</w:t>
      </w:r>
      <w:r w:rsidR="006C0143" w:rsidRPr="005E1543">
        <w:rPr>
          <w:rFonts w:asciiTheme="majorEastAsia" w:eastAsiaTheme="majorEastAsia" w:hAnsiTheme="majorEastAsia" w:cs="宋体"/>
          <w:color w:val="000000" w:themeColor="text1"/>
          <w:kern w:val="0"/>
          <w:sz w:val="24"/>
          <w:szCs w:val="24"/>
        </w:rPr>
        <w:t>水环境</w:t>
      </w:r>
      <w:r w:rsidRPr="005E1543">
        <w:rPr>
          <w:rFonts w:asciiTheme="majorEastAsia" w:eastAsiaTheme="majorEastAsia" w:hAnsiTheme="majorEastAsia" w:cs="宋体" w:hint="eastAsia"/>
          <w:color w:val="000000" w:themeColor="text1"/>
          <w:kern w:val="0"/>
          <w:sz w:val="24"/>
          <w:szCs w:val="24"/>
        </w:rPr>
        <w:t>质量。加强河道系统整治，因势利导改造渠化河道，重塑健康自然的弯曲河岸线，恢复自然深潭浅滩和泛洪漫滩，实施生态修复，营造多样性生物生存环境。</w:t>
      </w:r>
    </w:p>
    <w:p w14:paraId="0E9AB0B7"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第十七条 </w:t>
      </w:r>
      <w:r w:rsidR="006C0143" w:rsidRPr="005E1543">
        <w:rPr>
          <w:rFonts w:asciiTheme="majorEastAsia" w:eastAsiaTheme="majorEastAsia" w:hAnsiTheme="majorEastAsia" w:cs="宋体"/>
          <w:color w:val="000000" w:themeColor="text1"/>
          <w:kern w:val="0"/>
          <w:sz w:val="24"/>
          <w:szCs w:val="24"/>
        </w:rPr>
        <w:t>海沧马銮湾</w:t>
      </w:r>
      <w:r w:rsidRPr="005E1543">
        <w:rPr>
          <w:rFonts w:asciiTheme="majorEastAsia" w:eastAsiaTheme="majorEastAsia" w:hAnsiTheme="majorEastAsia" w:cs="宋体" w:hint="eastAsia"/>
          <w:color w:val="000000" w:themeColor="text1"/>
          <w:kern w:val="0"/>
          <w:sz w:val="24"/>
          <w:szCs w:val="24"/>
        </w:rPr>
        <w:t>和</w:t>
      </w:r>
      <w:r w:rsidR="006C0143" w:rsidRPr="005E1543">
        <w:rPr>
          <w:rFonts w:asciiTheme="majorEastAsia" w:eastAsiaTheme="majorEastAsia" w:hAnsiTheme="majorEastAsia" w:cs="宋体"/>
          <w:color w:val="000000" w:themeColor="text1"/>
          <w:kern w:val="0"/>
          <w:sz w:val="24"/>
          <w:szCs w:val="24"/>
        </w:rPr>
        <w:t>翔安新城海绵城市建设</w:t>
      </w:r>
      <w:r w:rsidRPr="005E1543">
        <w:rPr>
          <w:rFonts w:asciiTheme="majorEastAsia" w:eastAsiaTheme="majorEastAsia" w:hAnsiTheme="majorEastAsia" w:cs="宋体" w:hint="eastAsia"/>
          <w:color w:val="000000" w:themeColor="text1"/>
          <w:kern w:val="0"/>
          <w:sz w:val="24"/>
          <w:szCs w:val="24"/>
        </w:rPr>
        <w:t>试点区项目应优先列入城市建设项目投资计划和土地利用年度计划。</w:t>
      </w:r>
    </w:p>
    <w:p w14:paraId="5F7A0A8F"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center"/>
        <w:rPr>
          <w:rFonts w:asciiTheme="majorEastAsia" w:eastAsiaTheme="majorEastAsia" w:hAnsiTheme="majorEastAsia" w:cs="宋体"/>
          <w:b/>
          <w:color w:val="000000" w:themeColor="text1"/>
          <w:kern w:val="0"/>
          <w:sz w:val="27"/>
          <w:szCs w:val="27"/>
        </w:rPr>
      </w:pPr>
      <w:r w:rsidRPr="005E1543">
        <w:rPr>
          <w:rFonts w:asciiTheme="majorEastAsia" w:eastAsiaTheme="majorEastAsia" w:hAnsiTheme="majorEastAsia" w:cs="宋体" w:hint="eastAsia"/>
          <w:b/>
          <w:color w:val="000000" w:themeColor="text1"/>
          <w:kern w:val="0"/>
          <w:sz w:val="24"/>
          <w:szCs w:val="24"/>
        </w:rPr>
        <w:lastRenderedPageBreak/>
        <w:t>第五章 建设管理</w:t>
      </w:r>
    </w:p>
    <w:p w14:paraId="67F404FC"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第十八条 全市财政性投融资项目及需落实</w:t>
      </w:r>
      <w:r w:rsidR="006C0143" w:rsidRPr="005E1543">
        <w:rPr>
          <w:rFonts w:asciiTheme="majorEastAsia" w:eastAsiaTheme="majorEastAsia" w:hAnsiTheme="majorEastAsia" w:cs="宋体"/>
          <w:color w:val="000000" w:themeColor="text1"/>
          <w:kern w:val="0"/>
          <w:sz w:val="24"/>
          <w:szCs w:val="24"/>
        </w:rPr>
        <w:t>海绵城市</w:t>
      </w:r>
      <w:r w:rsidR="006C0143" w:rsidRPr="005E1543">
        <w:rPr>
          <w:rFonts w:asciiTheme="majorEastAsia" w:eastAsiaTheme="majorEastAsia" w:hAnsiTheme="majorEastAsia" w:cs="宋体" w:hint="eastAsia"/>
          <w:color w:val="000000" w:themeColor="text1"/>
          <w:kern w:val="0"/>
          <w:sz w:val="24"/>
          <w:szCs w:val="24"/>
        </w:rPr>
        <w:t>建设</w:t>
      </w:r>
      <w:r w:rsidRPr="005E1543">
        <w:rPr>
          <w:rFonts w:asciiTheme="majorEastAsia" w:eastAsiaTheme="majorEastAsia" w:hAnsiTheme="majorEastAsia" w:cs="宋体" w:hint="eastAsia"/>
          <w:color w:val="000000" w:themeColor="text1"/>
          <w:kern w:val="0"/>
          <w:sz w:val="24"/>
          <w:szCs w:val="24"/>
        </w:rPr>
        <w:t>要求的项目，应严格执行</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相关技术规范和标准。建设单位应确保项目的方案、设计和施工保持一致，设计单位应做好海绵城市建设同步或专项设计，审查机构应按照</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要求进行审查。</w:t>
      </w:r>
    </w:p>
    <w:p w14:paraId="17702D1D"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第十九条 城市绿地建设应注重利用适宜本地的生态化设施，如植草沟、</w:t>
      </w:r>
      <w:r w:rsidR="006C0143" w:rsidRPr="005E1543">
        <w:rPr>
          <w:rFonts w:asciiTheme="majorEastAsia" w:eastAsiaTheme="majorEastAsia" w:hAnsiTheme="majorEastAsia" w:cs="宋体"/>
          <w:color w:val="000000" w:themeColor="text1"/>
          <w:kern w:val="0"/>
          <w:sz w:val="24"/>
          <w:szCs w:val="24"/>
        </w:rPr>
        <w:t>雨水花园</w:t>
      </w:r>
      <w:r w:rsidRPr="005E1543">
        <w:rPr>
          <w:rFonts w:asciiTheme="majorEastAsia" w:eastAsiaTheme="majorEastAsia" w:hAnsiTheme="majorEastAsia" w:cs="宋体" w:hint="eastAsia"/>
          <w:color w:val="000000" w:themeColor="text1"/>
          <w:kern w:val="0"/>
          <w:sz w:val="24"/>
          <w:szCs w:val="24"/>
        </w:rPr>
        <w:t>、下沉式绿地、多功能调蓄水体等，并与</w:t>
      </w:r>
      <w:r w:rsidR="006C0143" w:rsidRPr="005E1543">
        <w:rPr>
          <w:rFonts w:asciiTheme="majorEastAsia" w:eastAsiaTheme="majorEastAsia" w:hAnsiTheme="majorEastAsia" w:cs="宋体"/>
          <w:color w:val="000000" w:themeColor="text1"/>
          <w:kern w:val="0"/>
          <w:sz w:val="24"/>
          <w:szCs w:val="24"/>
        </w:rPr>
        <w:t>园林景观</w:t>
      </w:r>
      <w:r w:rsidRPr="005E1543">
        <w:rPr>
          <w:rFonts w:asciiTheme="majorEastAsia" w:eastAsiaTheme="majorEastAsia" w:hAnsiTheme="majorEastAsia" w:cs="宋体" w:hint="eastAsia"/>
          <w:color w:val="000000" w:themeColor="text1"/>
          <w:kern w:val="0"/>
          <w:sz w:val="24"/>
          <w:szCs w:val="24"/>
        </w:rPr>
        <w:t>和</w:t>
      </w:r>
      <w:r w:rsidR="006C0143" w:rsidRPr="005E1543">
        <w:rPr>
          <w:rFonts w:asciiTheme="majorEastAsia" w:eastAsiaTheme="majorEastAsia" w:hAnsiTheme="majorEastAsia" w:cs="宋体"/>
          <w:color w:val="000000" w:themeColor="text1"/>
          <w:kern w:val="0"/>
          <w:sz w:val="24"/>
          <w:szCs w:val="24"/>
        </w:rPr>
        <w:t>水体景观</w:t>
      </w:r>
      <w:r w:rsidRPr="005E1543">
        <w:rPr>
          <w:rFonts w:asciiTheme="majorEastAsia" w:eastAsiaTheme="majorEastAsia" w:hAnsiTheme="majorEastAsia" w:cs="宋体" w:hint="eastAsia"/>
          <w:color w:val="000000" w:themeColor="text1"/>
          <w:kern w:val="0"/>
          <w:sz w:val="24"/>
          <w:szCs w:val="24"/>
        </w:rPr>
        <w:t>相结合。</w:t>
      </w:r>
    </w:p>
    <w:p w14:paraId="457F64C9"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第二十条 已建公共建筑应有计划地分年度进行</w:t>
      </w:r>
      <w:r w:rsidR="006C0143" w:rsidRPr="005E1543">
        <w:rPr>
          <w:rFonts w:asciiTheme="majorEastAsia" w:eastAsiaTheme="majorEastAsia" w:hAnsiTheme="majorEastAsia" w:cs="宋体"/>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改造。鼓励已建住宅小区、商业区、单位庭院开展</w:t>
      </w:r>
      <w:r w:rsidR="006C0143" w:rsidRPr="005E1543">
        <w:rPr>
          <w:rFonts w:asciiTheme="majorEastAsia" w:eastAsiaTheme="majorEastAsia" w:hAnsiTheme="majorEastAsia" w:cs="宋体"/>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改造；新建公共建筑应综合考虑并尽量融入</w:t>
      </w:r>
      <w:r w:rsidRPr="005E1543">
        <w:rPr>
          <w:rFonts w:asciiTheme="majorEastAsia" w:eastAsiaTheme="majorEastAsia" w:hAnsiTheme="majorEastAsia" w:cs="宋体" w:hint="eastAsia"/>
          <w:bCs/>
          <w:color w:val="000000" w:themeColor="text1"/>
          <w:kern w:val="0"/>
          <w:sz w:val="24"/>
          <w:szCs w:val="24"/>
        </w:rPr>
        <w:t>屋顶绿化</w:t>
      </w:r>
      <w:r w:rsidRPr="005E1543">
        <w:rPr>
          <w:rFonts w:asciiTheme="majorEastAsia" w:eastAsiaTheme="majorEastAsia" w:hAnsiTheme="majorEastAsia" w:cs="宋体" w:hint="eastAsia"/>
          <w:color w:val="000000" w:themeColor="text1"/>
          <w:kern w:val="0"/>
          <w:sz w:val="24"/>
          <w:szCs w:val="24"/>
        </w:rPr>
        <w:t>、</w:t>
      </w:r>
      <w:r w:rsidRPr="005E1543">
        <w:rPr>
          <w:rFonts w:asciiTheme="majorEastAsia" w:eastAsiaTheme="majorEastAsia" w:hAnsiTheme="majorEastAsia" w:cs="宋体" w:hint="eastAsia"/>
          <w:bCs/>
          <w:color w:val="000000" w:themeColor="text1"/>
          <w:kern w:val="0"/>
          <w:sz w:val="24"/>
          <w:szCs w:val="24"/>
        </w:rPr>
        <w:t>雨水花园</w:t>
      </w:r>
      <w:r w:rsidRPr="005E1543">
        <w:rPr>
          <w:rFonts w:asciiTheme="majorEastAsia" w:eastAsiaTheme="majorEastAsia" w:hAnsiTheme="majorEastAsia" w:cs="宋体" w:hint="eastAsia"/>
          <w:color w:val="000000" w:themeColor="text1"/>
          <w:kern w:val="0"/>
          <w:sz w:val="24"/>
          <w:szCs w:val="24"/>
        </w:rPr>
        <w:t>等</w:t>
      </w:r>
      <w:r w:rsidRPr="005E1543">
        <w:rPr>
          <w:rFonts w:asciiTheme="majorEastAsia" w:eastAsiaTheme="majorEastAsia" w:hAnsiTheme="majorEastAsia" w:cs="宋体" w:hint="eastAsia"/>
          <w:bCs/>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措施。</w:t>
      </w:r>
    </w:p>
    <w:p w14:paraId="434A5626" w14:textId="77777777" w:rsidR="00AE199F" w:rsidRPr="005E1543" w:rsidRDefault="00AE199F" w:rsidP="005E1543">
      <w:pPr>
        <w:widowControl/>
        <w:pBdr>
          <w:top w:val="single" w:sz="6" w:space="0" w:color="EEEEEE"/>
          <w:left w:val="single" w:sz="6" w:space="0" w:color="EEEEEE"/>
          <w:bottom w:val="single" w:sz="6" w:space="0" w:color="EEEEEE"/>
          <w:right w:val="single" w:sz="6" w:space="0" w:color="EEEEEE"/>
        </w:pBdr>
        <w:spacing w:line="360" w:lineRule="auto"/>
        <w:ind w:left="180" w:firstLine="480"/>
        <w:jc w:val="left"/>
        <w:rPr>
          <w:rFonts w:asciiTheme="majorEastAsia" w:eastAsiaTheme="majorEastAsia" w:hAnsiTheme="majorEastAsia" w:cs="宋体"/>
          <w:color w:val="000000" w:themeColor="text1"/>
          <w:kern w:val="0"/>
          <w:sz w:val="27"/>
          <w:szCs w:val="27"/>
        </w:rPr>
      </w:pPr>
      <w:r w:rsidRPr="005E1543">
        <w:rPr>
          <w:rFonts w:asciiTheme="majorEastAsia" w:eastAsiaTheme="majorEastAsia" w:hAnsiTheme="majorEastAsia" w:cs="宋体" w:hint="eastAsia"/>
          <w:color w:val="000000" w:themeColor="text1"/>
          <w:kern w:val="0"/>
          <w:sz w:val="24"/>
          <w:szCs w:val="24"/>
        </w:rPr>
        <w:t>第二十一条 老城区、城中村改造项目应按</w:t>
      </w:r>
      <w:r w:rsidRPr="005E1543">
        <w:rPr>
          <w:rFonts w:asciiTheme="majorEastAsia" w:eastAsiaTheme="majorEastAsia" w:hAnsiTheme="majorEastAsia" w:cs="宋体" w:hint="eastAsia"/>
          <w:bCs/>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标准进行建设。因项目实际情况不能完全按标准建设的，由市规划行政主管部门结合项目实际情况、区域平衡等在项目规划条件中按</w:t>
      </w:r>
      <w:r w:rsidRPr="005E1543">
        <w:rPr>
          <w:rFonts w:asciiTheme="majorEastAsia" w:eastAsiaTheme="majorEastAsia" w:hAnsiTheme="majorEastAsia" w:cs="宋体" w:hint="eastAsia"/>
          <w:bCs/>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最大化的原则明确具体的</w:t>
      </w:r>
    </w:p>
    <w:tbl>
      <w:tblPr>
        <w:tblW w:w="0" w:type="auto"/>
        <w:tblCellSpacing w:w="15" w:type="dxa"/>
        <w:tblInd w:w="180" w:type="dxa"/>
        <w:tblCellMar>
          <w:top w:w="15" w:type="dxa"/>
          <w:left w:w="15" w:type="dxa"/>
          <w:bottom w:w="15" w:type="dxa"/>
          <w:right w:w="15" w:type="dxa"/>
        </w:tblCellMar>
        <w:tblLook w:val="04A0" w:firstRow="1" w:lastRow="0" w:firstColumn="1" w:lastColumn="0" w:noHBand="0" w:noVBand="1"/>
      </w:tblPr>
      <w:tblGrid>
        <w:gridCol w:w="8216"/>
      </w:tblGrid>
      <w:tr w:rsidR="00F858DD" w:rsidRPr="005E1543" w14:paraId="3F8A0CCD" w14:textId="77777777" w:rsidTr="00AE199F">
        <w:trPr>
          <w:tblCellSpacing w:w="15" w:type="dxa"/>
        </w:trPr>
        <w:tc>
          <w:tcPr>
            <w:tcW w:w="0" w:type="auto"/>
            <w:vAlign w:val="center"/>
            <w:hideMark/>
          </w:tcPr>
          <w:p w14:paraId="15D7D58F"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第二十一条 老城区、城中村改造项目应按</w:t>
            </w:r>
            <w:r w:rsidRPr="005E1543">
              <w:rPr>
                <w:rFonts w:asciiTheme="majorEastAsia" w:eastAsiaTheme="majorEastAsia" w:hAnsiTheme="majorEastAsia" w:cs="宋体" w:hint="eastAsia"/>
                <w:bCs/>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标准进行建设。因项目实际情况不能完全按标准建设的，由市规划行政主管部门结合项目实际情况、区域平衡等在项目规划条件中按海绵城市建设最大化的原则明确具体的建设要求。</w:t>
            </w:r>
          </w:p>
          <w:p w14:paraId="14289C0E"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第二十二条 城市道路、立交、公园绿地、广场等基础设施的海绵城市理念，应因地制宜、经济实用、方便易行；道路绿化带和道路红线外绿地、下沉式绿地、生物滞留带、</w:t>
            </w:r>
            <w:r w:rsidRPr="005E1543">
              <w:rPr>
                <w:rFonts w:asciiTheme="majorEastAsia" w:eastAsiaTheme="majorEastAsia" w:hAnsiTheme="majorEastAsia" w:cs="宋体" w:hint="eastAsia"/>
                <w:bCs/>
                <w:color w:val="000000" w:themeColor="text1"/>
                <w:kern w:val="0"/>
                <w:sz w:val="24"/>
                <w:szCs w:val="24"/>
              </w:rPr>
              <w:t>雨水湿地</w:t>
            </w:r>
            <w:r w:rsidRPr="005E1543">
              <w:rPr>
                <w:rFonts w:asciiTheme="majorEastAsia" w:eastAsiaTheme="majorEastAsia" w:hAnsiTheme="majorEastAsia" w:cs="宋体" w:hint="eastAsia"/>
                <w:color w:val="000000" w:themeColor="text1"/>
                <w:kern w:val="0"/>
                <w:sz w:val="24"/>
                <w:szCs w:val="24"/>
              </w:rPr>
              <w:t>等应满足相关海绵城市技术指标要求。</w:t>
            </w:r>
          </w:p>
          <w:p w14:paraId="74F7750A"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道路人行道应采用</w:t>
            </w:r>
            <w:hyperlink r:id="rId4" w:tgtFrame="_blank" w:history="1">
              <w:r w:rsidRPr="005E1543">
                <w:rPr>
                  <w:rFonts w:asciiTheme="majorEastAsia" w:eastAsiaTheme="majorEastAsia" w:hAnsiTheme="majorEastAsia" w:cs="宋体" w:hint="eastAsia"/>
                  <w:bCs/>
                  <w:color w:val="000000" w:themeColor="text1"/>
                  <w:kern w:val="0"/>
                  <w:sz w:val="24"/>
                  <w:szCs w:val="24"/>
                </w:rPr>
                <w:t>透水铺装</w:t>
              </w:r>
            </w:hyperlink>
            <w:r w:rsidRPr="005E1543">
              <w:rPr>
                <w:rFonts w:asciiTheme="majorEastAsia" w:eastAsiaTheme="majorEastAsia" w:hAnsiTheme="majorEastAsia" w:cs="宋体" w:hint="eastAsia"/>
                <w:color w:val="000000" w:themeColor="text1"/>
                <w:kern w:val="0"/>
                <w:sz w:val="24"/>
                <w:szCs w:val="24"/>
              </w:rPr>
              <w:t>，非机动车道宜优先选择透水沥青路面或透水混凝土路面，透水铺装设计应满足国家有关标准规范的要求。规划作为超标雨水径流行泄通道的城市道路，其断面及竖向设计应满足相应的设计要求，并与区域整体内涝防治系统相衔接。</w:t>
            </w:r>
          </w:p>
          <w:p w14:paraId="5451E410"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城市道路绿化带内</w:t>
            </w:r>
            <w:r w:rsidRPr="005E1543">
              <w:rPr>
                <w:rFonts w:asciiTheme="majorEastAsia" w:eastAsiaTheme="majorEastAsia" w:hAnsiTheme="majorEastAsia" w:cs="宋体" w:hint="eastAsia"/>
                <w:bCs/>
                <w:color w:val="000000" w:themeColor="text1"/>
                <w:kern w:val="0"/>
                <w:sz w:val="24"/>
                <w:szCs w:val="24"/>
              </w:rPr>
              <w:t>海绵城市</w:t>
            </w:r>
            <w:r w:rsidRPr="005E1543">
              <w:rPr>
                <w:rFonts w:asciiTheme="majorEastAsia" w:eastAsiaTheme="majorEastAsia" w:hAnsiTheme="majorEastAsia" w:cs="宋体" w:hint="eastAsia"/>
                <w:color w:val="000000" w:themeColor="text1"/>
                <w:kern w:val="0"/>
                <w:sz w:val="24"/>
                <w:szCs w:val="24"/>
              </w:rPr>
              <w:t>设施应采取必要的防渗措施，防止</w:t>
            </w:r>
            <w:r w:rsidRPr="005E1543">
              <w:rPr>
                <w:rFonts w:asciiTheme="majorEastAsia" w:eastAsiaTheme="majorEastAsia" w:hAnsiTheme="majorEastAsia" w:cs="宋体" w:hint="eastAsia"/>
                <w:bCs/>
                <w:color w:val="000000" w:themeColor="text1"/>
                <w:kern w:val="0"/>
                <w:sz w:val="24"/>
                <w:szCs w:val="24"/>
              </w:rPr>
              <w:t>径流雨水</w:t>
            </w:r>
            <w:r w:rsidRPr="005E1543">
              <w:rPr>
                <w:rFonts w:asciiTheme="majorEastAsia" w:eastAsiaTheme="majorEastAsia" w:hAnsiTheme="majorEastAsia" w:cs="宋体" w:hint="eastAsia"/>
                <w:color w:val="000000" w:themeColor="text1"/>
                <w:kern w:val="0"/>
                <w:sz w:val="24"/>
                <w:szCs w:val="24"/>
              </w:rPr>
              <w:t>下渗对道路路面及路基的强度和稳定性造成破坏。</w:t>
            </w:r>
          </w:p>
          <w:p w14:paraId="64A71526"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第二十三条 城市径流雨水行泄通道及易发生内涝的路段、下沉式立交桥区，以及城市绿地中湿塘、雨水湿地等采用海绵城市设施的区域，应配建必要的警示标志标识和预警系统，确保暴雨期间人员的安全，避免对公共安全造成危害。</w:t>
            </w:r>
          </w:p>
          <w:p w14:paraId="78E33CC0"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lastRenderedPageBreak/>
              <w:t>第二十四条 城市道路路面排水要尽量采用生态排水的方式，也可利用道路及周边公共用地的地下空间设置调蓄设施。城市道路海绵城市设施应建设有效的溢流排放设施并与城市雨水管渠系统和超标雨水径流排放系统有效衔接。</w:t>
            </w:r>
          </w:p>
          <w:p w14:paraId="409E8BCF"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第二十五条 加快对使用年限超过30 年和材质落后给水排水管网的更新改造，确保市政给水排水管网漏损率达到国家标准要求。</w:t>
            </w:r>
          </w:p>
          <w:p w14:paraId="1D6659FF"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道路雨水管道应采用具有拦污截污功能的雨水口，接入河道前宜设置调控排放设施。雨污合流管应在适当位置布设雨洪调蓄池和流量控制井，接入河道前应设置截污设施分离污染物，减少污染物排放。</w:t>
            </w:r>
          </w:p>
          <w:p w14:paraId="7A973E49"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第二十六条 公共建筑及住宅小区应采用节水设施，使污水减量化。有条件的建设项目鼓励配套建设再生水回收利用设施。鼓励采用雨水、再生水收集利用新技术、新材料、新工艺。</w:t>
            </w:r>
          </w:p>
          <w:p w14:paraId="173D6EA2"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第二十七条 对实施雨水收集利用设施的建设单位，由区财政采用以奖代补的方式给予一定的资金支持。</w:t>
            </w:r>
          </w:p>
          <w:p w14:paraId="2AC9F6EC"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第二十八条 规划、国土资源、建设、交通、水利、市政园林等行政主管部门在项目工程验收过程中，应按照各自职责对项目是否按照设计方案进行建设及是否落实海绵城市相关技术规范、标准等方面内容进行重点验收，经验收不符合海绵城市建设要求的，应要求项目建设单位按有关规定限期整改。</w:t>
            </w:r>
          </w:p>
          <w:p w14:paraId="21128CCF"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海绵城市设施的竣工验收，应按照相关施工验收规范和标准执行，由建设单位组织设计、施工、工程监理等单位验收，合格后方可交付使用。</w:t>
            </w:r>
          </w:p>
          <w:p w14:paraId="5FB0A934"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第二十九条 对于享受海绵城市建设相关财政补贴或政策鼓励的建设项目，经工程验收合格后，由建设单位申请规划、建设、市政园林等部门进行核验，出具核验报告，作为享受财政补贴或鼓励政策的依据。</w:t>
            </w:r>
          </w:p>
          <w:p w14:paraId="17581F16"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第三十条 海绵城市设施竣工验收后应随主体工程移交。</w:t>
            </w:r>
          </w:p>
          <w:p w14:paraId="2AAD57C0" w14:textId="77777777" w:rsidR="00AE199F" w:rsidRPr="005E1543" w:rsidRDefault="00AE199F" w:rsidP="005E1543">
            <w:pPr>
              <w:widowControl/>
              <w:spacing w:line="360" w:lineRule="auto"/>
              <w:jc w:val="center"/>
              <w:rPr>
                <w:rFonts w:asciiTheme="majorEastAsia" w:eastAsiaTheme="majorEastAsia" w:hAnsiTheme="majorEastAsia" w:cs="宋体"/>
                <w:b/>
                <w:color w:val="000000" w:themeColor="text1"/>
                <w:kern w:val="0"/>
                <w:sz w:val="24"/>
                <w:szCs w:val="24"/>
              </w:rPr>
            </w:pPr>
            <w:r w:rsidRPr="005E1543">
              <w:rPr>
                <w:rFonts w:asciiTheme="majorEastAsia" w:eastAsiaTheme="majorEastAsia" w:hAnsiTheme="majorEastAsia" w:cs="宋体" w:hint="eastAsia"/>
                <w:b/>
                <w:color w:val="000000" w:themeColor="text1"/>
                <w:kern w:val="0"/>
                <w:sz w:val="24"/>
                <w:szCs w:val="24"/>
              </w:rPr>
              <w:t>第六章 运营管理</w:t>
            </w:r>
          </w:p>
          <w:p w14:paraId="570C2289"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第三十一条 海绵城市设施主管部门制定长效化的管理办法报政府批准。</w:t>
            </w:r>
          </w:p>
          <w:p w14:paraId="0795CE0B"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第三十二条 城市道路、立交、公园绿地、广场等公共项目的海绵城市设施，由各项目管理单位负责维护管理或由政府组织成立统一的海绵城市设施管理单位对海绵城市项目进行日常维护管理；公共建筑与住宅小区等其他类型项目海绵城市设施，由该设施的所有者或其委托方负责维护管理。</w:t>
            </w:r>
          </w:p>
          <w:p w14:paraId="190E4188"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lastRenderedPageBreak/>
              <w:t>第三十三条 海绵城市设施的建设或运行管理单位应当加强设施维护和管理，确保设施正常运行。</w:t>
            </w:r>
          </w:p>
          <w:p w14:paraId="52F4C776"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第三十四条 海绵城市设施维护管理单位应按相关规定建立健全海绵城市设施的维护管理制度和操作规程，利用先进的技术、监测手段，配备专人管理。</w:t>
            </w:r>
          </w:p>
          <w:p w14:paraId="1394D788"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第三十五条 海绵城市设施的维护管理单位应定期对设施进行监测评估，确保设施的功能正常发挥、安全运行。同时，加强海绵城市设施数据库的建立与信息技术应用，通过数字化信息技术手段，进行科学规划、设计，并为海绵城市设施建设与运行提供科学支撑。</w:t>
            </w:r>
          </w:p>
          <w:p w14:paraId="501D31D4"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第三十六条 海绵城市设施主管部门对海绵城市建设内容的市场化管理效果进行监督，制订服务标准，由第三方机构考核评价，按效付费，充分调动管养单位积极性，提高项目运行经济效益。</w:t>
            </w:r>
          </w:p>
          <w:p w14:paraId="0B0D7F6A"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第三十七条 积极推广运用政府和社会资本合作（PPP）模式，鼓励社会资本多渠道、多形式参与海绵城市项目建设及运营维护管理，通过政府购买服务等方式，引入社会资本，提高运营质量和效率，提升服务水平。鼓励有实力的科研设计单位、施工企业、制造企业与金融资本相结合，组建具备综合业务能力的企业集团或联合体，采用总承包等方式统筹组织实施海绵城市建设相关项目，发挥整体效益。</w:t>
            </w:r>
          </w:p>
          <w:p w14:paraId="1FDDC07B" w14:textId="77777777" w:rsidR="00AE199F" w:rsidRPr="005E1543" w:rsidRDefault="00AE199F" w:rsidP="005E1543">
            <w:pPr>
              <w:widowControl/>
              <w:spacing w:line="360" w:lineRule="auto"/>
              <w:jc w:val="center"/>
              <w:rPr>
                <w:rFonts w:asciiTheme="majorEastAsia" w:eastAsiaTheme="majorEastAsia" w:hAnsiTheme="majorEastAsia" w:cs="宋体"/>
                <w:b/>
                <w:color w:val="000000" w:themeColor="text1"/>
                <w:kern w:val="0"/>
                <w:sz w:val="24"/>
                <w:szCs w:val="24"/>
              </w:rPr>
            </w:pPr>
            <w:r w:rsidRPr="005E1543">
              <w:rPr>
                <w:rFonts w:asciiTheme="majorEastAsia" w:eastAsiaTheme="majorEastAsia" w:hAnsiTheme="majorEastAsia" w:cs="宋体" w:hint="eastAsia"/>
                <w:b/>
                <w:color w:val="000000" w:themeColor="text1"/>
                <w:kern w:val="0"/>
                <w:sz w:val="24"/>
                <w:szCs w:val="24"/>
              </w:rPr>
              <w:t>第七章 附则</w:t>
            </w:r>
          </w:p>
          <w:p w14:paraId="192DE04A"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第三十八条 本办法的具体应用问题，由厦门市</w:t>
            </w:r>
            <w:r w:rsidRPr="005E1543">
              <w:rPr>
                <w:rFonts w:asciiTheme="majorEastAsia" w:eastAsiaTheme="majorEastAsia" w:hAnsiTheme="majorEastAsia" w:cs="宋体" w:hint="eastAsia"/>
                <w:bCs/>
                <w:color w:val="000000" w:themeColor="text1"/>
                <w:kern w:val="0"/>
                <w:sz w:val="24"/>
                <w:szCs w:val="24"/>
              </w:rPr>
              <w:t>海绵城市建设</w:t>
            </w:r>
            <w:r w:rsidRPr="005E1543">
              <w:rPr>
                <w:rFonts w:asciiTheme="majorEastAsia" w:eastAsiaTheme="majorEastAsia" w:hAnsiTheme="majorEastAsia" w:cs="宋体" w:hint="eastAsia"/>
                <w:color w:val="000000" w:themeColor="text1"/>
                <w:kern w:val="0"/>
                <w:sz w:val="24"/>
                <w:szCs w:val="24"/>
              </w:rPr>
              <w:t>工作领导小组办公室负责解释。</w:t>
            </w:r>
          </w:p>
          <w:p w14:paraId="100233CE" w14:textId="77777777" w:rsidR="00AE199F" w:rsidRPr="005E1543" w:rsidRDefault="00AE199F" w:rsidP="005E1543">
            <w:pPr>
              <w:widowControl/>
              <w:spacing w:line="360" w:lineRule="auto"/>
              <w:jc w:val="left"/>
              <w:rPr>
                <w:rFonts w:asciiTheme="majorEastAsia" w:eastAsiaTheme="majorEastAsia" w:hAnsiTheme="majorEastAsia" w:cs="宋体"/>
                <w:color w:val="000000" w:themeColor="text1"/>
                <w:kern w:val="0"/>
                <w:sz w:val="24"/>
                <w:szCs w:val="24"/>
              </w:rPr>
            </w:pPr>
            <w:r w:rsidRPr="005E1543">
              <w:rPr>
                <w:rFonts w:asciiTheme="majorEastAsia" w:eastAsiaTheme="majorEastAsia" w:hAnsiTheme="majorEastAsia" w:cs="宋体" w:hint="eastAsia"/>
                <w:color w:val="000000" w:themeColor="text1"/>
                <w:kern w:val="0"/>
                <w:sz w:val="24"/>
                <w:szCs w:val="24"/>
              </w:rPr>
              <w:t>第三十九条 本办法自下发之日起执行，有效期至2017年12月31日。</w:t>
            </w:r>
          </w:p>
        </w:tc>
      </w:tr>
    </w:tbl>
    <w:p w14:paraId="2E19D955" w14:textId="77777777" w:rsidR="00206D69" w:rsidRPr="005E1543" w:rsidRDefault="00206D69" w:rsidP="005E1543">
      <w:pPr>
        <w:spacing w:line="360" w:lineRule="auto"/>
        <w:rPr>
          <w:rFonts w:asciiTheme="majorEastAsia" w:eastAsiaTheme="majorEastAsia" w:hAnsiTheme="majorEastAsia"/>
          <w:color w:val="000000" w:themeColor="text1"/>
        </w:rPr>
      </w:pPr>
    </w:p>
    <w:sectPr w:rsidR="00206D69" w:rsidRPr="005E154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99F"/>
    <w:rsid w:val="00206D69"/>
    <w:rsid w:val="002B7A1B"/>
    <w:rsid w:val="00497B36"/>
    <w:rsid w:val="005E1543"/>
    <w:rsid w:val="006C0143"/>
    <w:rsid w:val="006D1E44"/>
    <w:rsid w:val="00AE199F"/>
    <w:rsid w:val="00BA09FB"/>
    <w:rsid w:val="00F85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43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标题1"/>
    <w:basedOn w:val="a"/>
    <w:rsid w:val="00AE199F"/>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unhideWhenUsed/>
    <w:rsid w:val="00AE199F"/>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AE199F"/>
    <w:rPr>
      <w:color w:val="0000FF"/>
      <w:u w:val="single"/>
    </w:rPr>
  </w:style>
  <w:style w:type="character" w:styleId="a5">
    <w:name w:val="Strong"/>
    <w:basedOn w:val="a0"/>
    <w:uiPriority w:val="22"/>
    <w:qFormat/>
    <w:rsid w:val="00AE199F"/>
    <w:rPr>
      <w:b/>
      <w:bCs/>
    </w:rPr>
  </w:style>
  <w:style w:type="character" w:customStyle="1" w:styleId="apple-converted-space">
    <w:name w:val="apple-converted-space"/>
    <w:basedOn w:val="a0"/>
    <w:rsid w:val="00AE199F"/>
  </w:style>
  <w:style w:type="paragraph" w:styleId="a6">
    <w:name w:val="Balloon Text"/>
    <w:basedOn w:val="a"/>
    <w:link w:val="a7"/>
    <w:uiPriority w:val="99"/>
    <w:semiHidden/>
    <w:unhideWhenUsed/>
    <w:rsid w:val="00AE199F"/>
    <w:rPr>
      <w:sz w:val="18"/>
      <w:szCs w:val="18"/>
    </w:rPr>
  </w:style>
  <w:style w:type="character" w:customStyle="1" w:styleId="a7">
    <w:name w:val="批注框文本字符"/>
    <w:basedOn w:val="a0"/>
    <w:link w:val="a6"/>
    <w:uiPriority w:val="99"/>
    <w:semiHidden/>
    <w:rsid w:val="00AE199F"/>
    <w:rPr>
      <w:sz w:val="18"/>
      <w:szCs w:val="18"/>
    </w:rPr>
  </w:style>
  <w:style w:type="paragraph" w:styleId="a8">
    <w:name w:val="Document Map"/>
    <w:basedOn w:val="a"/>
    <w:link w:val="a9"/>
    <w:uiPriority w:val="99"/>
    <w:semiHidden/>
    <w:unhideWhenUsed/>
    <w:rsid w:val="006C0143"/>
    <w:rPr>
      <w:rFonts w:ascii="宋体" w:eastAsia="宋体"/>
      <w:sz w:val="24"/>
      <w:szCs w:val="24"/>
    </w:rPr>
  </w:style>
  <w:style w:type="character" w:customStyle="1" w:styleId="a9">
    <w:name w:val="文档结构图字符"/>
    <w:basedOn w:val="a0"/>
    <w:link w:val="a8"/>
    <w:uiPriority w:val="99"/>
    <w:semiHidden/>
    <w:rsid w:val="006C0143"/>
    <w:rPr>
      <w:rFonts w:ascii="宋体" w:eastAsia="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37734">
      <w:bodyDiv w:val="1"/>
      <w:marLeft w:val="0"/>
      <w:marRight w:val="0"/>
      <w:marTop w:val="0"/>
      <w:marBottom w:val="0"/>
      <w:divBdr>
        <w:top w:val="none" w:sz="0" w:space="0" w:color="auto"/>
        <w:left w:val="none" w:sz="0" w:space="0" w:color="auto"/>
        <w:bottom w:val="none" w:sz="0" w:space="0" w:color="auto"/>
        <w:right w:val="none" w:sz="0" w:space="0" w:color="auto"/>
      </w:divBdr>
      <w:divsChild>
        <w:div w:id="26639448">
          <w:marLeft w:val="0"/>
          <w:marRight w:val="0"/>
          <w:marTop w:val="0"/>
          <w:marBottom w:val="0"/>
          <w:divBdr>
            <w:top w:val="none" w:sz="0" w:space="0" w:color="auto"/>
            <w:left w:val="none" w:sz="0" w:space="0" w:color="auto"/>
            <w:bottom w:val="none" w:sz="0" w:space="0" w:color="auto"/>
            <w:right w:val="none" w:sz="0" w:space="0" w:color="auto"/>
          </w:divBdr>
        </w:div>
        <w:div w:id="2003970574">
          <w:marLeft w:val="0"/>
          <w:marRight w:val="0"/>
          <w:marTop w:val="0"/>
          <w:marBottom w:val="0"/>
          <w:divBdr>
            <w:top w:val="none" w:sz="0" w:space="0" w:color="auto"/>
            <w:left w:val="none" w:sz="0" w:space="0" w:color="auto"/>
            <w:bottom w:val="none" w:sz="0" w:space="0" w:color="auto"/>
            <w:right w:val="none" w:sz="0" w:space="0" w:color="auto"/>
          </w:divBdr>
        </w:div>
        <w:div w:id="1044526991">
          <w:marLeft w:val="0"/>
          <w:marRight w:val="0"/>
          <w:marTop w:val="0"/>
          <w:marBottom w:val="0"/>
          <w:divBdr>
            <w:top w:val="none" w:sz="0" w:space="0" w:color="auto"/>
            <w:left w:val="none" w:sz="0" w:space="0" w:color="auto"/>
            <w:bottom w:val="none" w:sz="0" w:space="0" w:color="auto"/>
            <w:right w:val="none" w:sz="0" w:space="0" w:color="auto"/>
          </w:divBdr>
          <w:divsChild>
            <w:div w:id="1968971770">
              <w:marLeft w:val="0"/>
              <w:marRight w:val="0"/>
              <w:marTop w:val="0"/>
              <w:marBottom w:val="0"/>
              <w:divBdr>
                <w:top w:val="none" w:sz="0" w:space="0" w:color="auto"/>
                <w:left w:val="none" w:sz="0" w:space="0" w:color="auto"/>
                <w:bottom w:val="none" w:sz="0" w:space="0" w:color="auto"/>
                <w:right w:val="none" w:sz="0" w:space="0" w:color="auto"/>
              </w:divBdr>
            </w:div>
            <w:div w:id="150674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nlid.net/nw-lts-f1-2-p-2.html"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704</Words>
  <Characters>4013</Characters>
  <Application>Microsoft Macintosh Word</Application>
  <DocSecurity>0</DocSecurity>
  <Lines>33</Lines>
  <Paragraphs>9</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桉木</dc:creator>
  <cp:lastModifiedBy>邵建蔚</cp:lastModifiedBy>
  <cp:revision>3</cp:revision>
  <dcterms:created xsi:type="dcterms:W3CDTF">2016-06-02T06:38:00Z</dcterms:created>
  <dcterms:modified xsi:type="dcterms:W3CDTF">2016-12-22T06:42:00Z</dcterms:modified>
</cp:coreProperties>
</file>