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rPr>
          <w:rFonts w:ascii="Times New Roman"/>
          <w:sz w:val="20"/>
        </w:rPr>
      </w:pPr>
      <w:bookmarkStart w:id="39" w:name="_GoBack"/>
      <w:bookmarkEnd w:id="39"/>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rPr>
          <w:rFonts w:ascii="Times New Roman"/>
          <w:sz w:val="20"/>
        </w:rPr>
      </w:pPr>
    </w:p>
    <w:p>
      <w:pPr>
        <w:pStyle w:val="3"/>
        <w:spacing w:before="11"/>
        <w:rPr>
          <w:rFonts w:ascii="Times New Roman"/>
          <w:sz w:val="17"/>
        </w:rPr>
      </w:pPr>
    </w:p>
    <w:p>
      <w:pPr>
        <w:spacing w:before="28"/>
        <w:ind w:left="1048" w:right="0" w:firstLine="0"/>
        <w:jc w:val="left"/>
        <w:rPr>
          <w:rFonts w:hint="eastAsia" w:ascii="黑体" w:eastAsia="黑体"/>
          <w:sz w:val="52"/>
        </w:rPr>
      </w:pPr>
      <w:r>
        <w:rPr>
          <w:rFonts w:hint="eastAsia" w:ascii="黑体" w:eastAsia="黑体"/>
          <w:sz w:val="52"/>
        </w:rPr>
        <w:t>黑龙江省绿色建筑施工图审查要点</w:t>
      </w:r>
    </w:p>
    <w:p>
      <w:pPr>
        <w:pStyle w:val="3"/>
        <w:spacing w:before="9"/>
        <w:rPr>
          <w:rFonts w:ascii="黑体"/>
          <w:sz w:val="44"/>
        </w:rPr>
      </w:pPr>
    </w:p>
    <w:p>
      <w:pPr>
        <w:pStyle w:val="2"/>
        <w:ind w:right="2952"/>
        <w:jc w:val="center"/>
      </w:pPr>
      <w:r>
        <w:t>（2019</w:t>
      </w:r>
      <w:r>
        <w:rPr>
          <w:spacing w:val="-18"/>
        </w:rPr>
        <w:t xml:space="preserve"> 试行版</w:t>
      </w:r>
      <w:r>
        <w:t>）</w:t>
      </w: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rPr>
          <w:rFonts w:ascii="黑体"/>
          <w:sz w:val="28"/>
        </w:rPr>
      </w:pPr>
    </w:p>
    <w:p>
      <w:pPr>
        <w:pStyle w:val="3"/>
        <w:spacing w:before="3"/>
        <w:rPr>
          <w:rFonts w:ascii="黑体"/>
          <w:sz w:val="31"/>
        </w:rPr>
      </w:pPr>
    </w:p>
    <w:p>
      <w:pPr>
        <w:spacing w:before="0" w:line="336" w:lineRule="auto"/>
        <w:ind w:left="2990" w:right="2952" w:firstLine="0"/>
        <w:jc w:val="center"/>
        <w:rPr>
          <w:rFonts w:hint="eastAsia" w:ascii="黑体" w:eastAsia="黑体"/>
          <w:sz w:val="28"/>
        </w:rPr>
      </w:pPr>
      <w:r>
        <w:rPr>
          <w:rFonts w:hint="eastAsia" w:ascii="黑体" w:eastAsia="黑体"/>
          <w:spacing w:val="-4"/>
          <w:sz w:val="28"/>
        </w:rPr>
        <w:t>黑龙江省住房和城乡建设厅发布</w:t>
      </w:r>
      <w:r>
        <w:rPr>
          <w:rFonts w:hint="eastAsia" w:ascii="黑体" w:eastAsia="黑体"/>
          <w:spacing w:val="-1"/>
          <w:sz w:val="28"/>
        </w:rPr>
        <w:t>二〇一九年十月</w:t>
      </w:r>
    </w:p>
    <w:p>
      <w:pPr>
        <w:spacing w:after="0" w:line="336" w:lineRule="auto"/>
        <w:jc w:val="center"/>
        <w:rPr>
          <w:rFonts w:hint="eastAsia" w:ascii="黑体" w:eastAsia="黑体"/>
          <w:sz w:val="28"/>
        </w:rPr>
        <w:sectPr>
          <w:type w:val="continuous"/>
          <w:pgSz w:w="11910" w:h="16850"/>
          <w:pgMar w:top="1600" w:right="1020" w:bottom="280" w:left="1020" w:header="720" w:footer="720" w:gutter="0"/>
        </w:sectPr>
      </w:pPr>
    </w:p>
    <w:p>
      <w:pPr>
        <w:spacing w:before="44"/>
        <w:ind w:left="4795" w:right="0" w:firstLine="0"/>
        <w:jc w:val="left"/>
        <w:rPr>
          <w:rFonts w:hint="eastAsia" w:ascii="黑体" w:eastAsia="黑体"/>
          <w:sz w:val="28"/>
        </w:rPr>
      </w:pPr>
      <w:bookmarkStart w:id="0" w:name="前言"/>
      <w:bookmarkEnd w:id="0"/>
      <w:r>
        <w:rPr>
          <w:rFonts w:hint="eastAsia" w:ascii="黑体" w:eastAsia="黑体"/>
          <w:sz w:val="28"/>
        </w:rPr>
        <w:t>前言</w:t>
      </w:r>
    </w:p>
    <w:p>
      <w:pPr>
        <w:pStyle w:val="3"/>
        <w:spacing w:before="3"/>
        <w:rPr>
          <w:rFonts w:ascii="黑体"/>
          <w:sz w:val="25"/>
        </w:rPr>
      </w:pPr>
    </w:p>
    <w:p>
      <w:pPr>
        <w:pStyle w:val="3"/>
        <w:ind w:left="818"/>
      </w:pPr>
      <w:r>
        <w:t>《绿色建筑评价标准》</w:t>
      </w:r>
      <w:r>
        <w:rPr>
          <w:rFonts w:ascii="Times New Roman" w:eastAsia="Times New Roman"/>
        </w:rPr>
        <w:t xml:space="preserve">GB/T 50378-2019 </w:t>
      </w:r>
      <w:r>
        <w:t xml:space="preserve">于 </w:t>
      </w:r>
      <w:r>
        <w:rPr>
          <w:rFonts w:ascii="Times New Roman" w:eastAsia="Times New Roman"/>
        </w:rPr>
        <w:t xml:space="preserve">2019 </w:t>
      </w:r>
      <w:r>
        <w:t xml:space="preserve">年 </w:t>
      </w:r>
      <w:r>
        <w:rPr>
          <w:rFonts w:ascii="Times New Roman" w:eastAsia="Times New Roman"/>
        </w:rPr>
        <w:t xml:space="preserve">8 </w:t>
      </w:r>
      <w:r>
        <w:t xml:space="preserve">月 </w:t>
      </w:r>
      <w:r>
        <w:rPr>
          <w:rFonts w:ascii="Times New Roman" w:eastAsia="Times New Roman"/>
        </w:rPr>
        <w:t xml:space="preserve">1 </w:t>
      </w:r>
      <w:r>
        <w:t>日正式实施，新修订标准较原标准有较</w:t>
      </w:r>
    </w:p>
    <w:p>
      <w:pPr>
        <w:pStyle w:val="3"/>
        <w:spacing w:before="2"/>
        <w:rPr>
          <w:sz w:val="18"/>
        </w:rPr>
      </w:pPr>
    </w:p>
    <w:p>
      <w:pPr>
        <w:pStyle w:val="3"/>
        <w:spacing w:line="446" w:lineRule="auto"/>
        <w:ind w:left="398" w:right="110" w:hanging="1"/>
        <w:jc w:val="both"/>
      </w:pPr>
      <w:r>
        <w:rPr>
          <w:spacing w:val="-10"/>
        </w:rPr>
        <w:t xml:space="preserve">大改动，评价指标体系由安全耐久、健康舒适、生活便利、资源节约、环境宜居 </w:t>
      </w:r>
      <w:r>
        <w:t>5</w:t>
      </w:r>
      <w:r>
        <w:rPr>
          <w:spacing w:val="-9"/>
        </w:rPr>
        <w:t xml:space="preserve"> 类指标组成，且每类</w:t>
      </w:r>
      <w:r>
        <w:rPr>
          <w:spacing w:val="-11"/>
        </w:rPr>
        <w:t>指标均包括控制项和评分项。为贯彻实施新修订标准，做好绿色建筑施工图审查工作，编制组根据黑龙</w:t>
      </w:r>
      <w:r>
        <w:rPr>
          <w:spacing w:val="-3"/>
        </w:rPr>
        <w:t>江省地域特点及实践经验，依据新标准的基本要求控制项编制本要点。</w:t>
      </w:r>
    </w:p>
    <w:p>
      <w:pPr>
        <w:pStyle w:val="3"/>
        <w:spacing w:line="446" w:lineRule="auto"/>
        <w:ind w:left="398" w:right="105" w:firstLine="420"/>
        <w:jc w:val="both"/>
      </w:pPr>
      <w:r>
        <w:rPr>
          <w:spacing w:val="-7"/>
        </w:rPr>
        <w:t xml:space="preserve">本要点共分 </w:t>
      </w:r>
      <w:r>
        <w:rPr>
          <w:rFonts w:ascii="Times New Roman" w:eastAsia="Times New Roman"/>
        </w:rPr>
        <w:t xml:space="preserve">8 </w:t>
      </w:r>
      <w:r>
        <w:rPr>
          <w:spacing w:val="-12"/>
        </w:rPr>
        <w:t>章，主要内容是：总则、基本规定、绿色建筑施工图审查集成表、安全耐久、健康舒适、生活便利、资源节约、环境宜居。为方便审图机构工作，本要点在章节编排上尽量做到与国家标准</w:t>
      </w:r>
      <w:r>
        <w:rPr>
          <w:spacing w:val="-2"/>
        </w:rPr>
        <w:t>条文相对应。</w:t>
      </w:r>
    </w:p>
    <w:p>
      <w:pPr>
        <w:pStyle w:val="3"/>
        <w:spacing w:line="446" w:lineRule="auto"/>
        <w:ind w:left="398" w:right="105" w:firstLine="420"/>
        <w:jc w:val="both"/>
      </w:pPr>
      <w:r>
        <w:rPr>
          <w:spacing w:val="-8"/>
        </w:rPr>
        <w:t>本要点由黑龙江省住房和城乡建设厅负责管理，由黑龙江省寒地建筑科学研究院负责具体技术内容</w:t>
      </w:r>
      <w:r>
        <w:rPr>
          <w:spacing w:val="-11"/>
        </w:rPr>
        <w:t>的解释。请各单位在执行过程中，总结实践经验，提出意见和建议反馈给本要点编制组</w:t>
      </w:r>
      <w:r>
        <w:t>（</w:t>
      </w:r>
      <w:r>
        <w:rPr>
          <w:spacing w:val="-6"/>
        </w:rPr>
        <w:t>地址：哈尔滨</w:t>
      </w:r>
      <w:r>
        <w:rPr>
          <w:spacing w:val="-11"/>
        </w:rPr>
        <w:t xml:space="preserve">市南岗区清滨路 </w:t>
      </w:r>
      <w:r>
        <w:rPr>
          <w:rFonts w:ascii="Times New Roman" w:eastAsia="Times New Roman"/>
        </w:rPr>
        <w:t xml:space="preserve">60 </w:t>
      </w:r>
      <w:r>
        <w:rPr>
          <w:spacing w:val="-3"/>
        </w:rPr>
        <w:t>号；邮政编码：</w:t>
      </w:r>
      <w:r>
        <w:rPr>
          <w:rFonts w:ascii="Times New Roman" w:eastAsia="Times New Roman"/>
        </w:rPr>
        <w:t>150080</w:t>
      </w:r>
      <w:r>
        <w:rPr>
          <w:spacing w:val="-2"/>
        </w:rPr>
        <w:t>；邮箱：</w:t>
      </w:r>
      <w:r>
        <w:fldChar w:fldCharType="begin"/>
      </w:r>
      <w:r>
        <w:instrText xml:space="preserve"> HYPERLINK "mailto:hljjy01@163.com" \h </w:instrText>
      </w:r>
      <w:r>
        <w:fldChar w:fldCharType="separate"/>
      </w:r>
      <w:r>
        <w:rPr>
          <w:rFonts w:ascii="Times New Roman" w:eastAsia="Times New Roman"/>
        </w:rPr>
        <w:t>hljjy01@163.com</w:t>
      </w:r>
      <w:r>
        <w:rPr>
          <w:rFonts w:ascii="Times New Roman" w:eastAsia="Times New Roman"/>
        </w:rPr>
        <w:fldChar w:fldCharType="end"/>
      </w:r>
      <w:r>
        <w:t>）。</w:t>
      </w:r>
    </w:p>
    <w:p>
      <w:pPr>
        <w:pStyle w:val="3"/>
        <w:spacing w:line="268" w:lineRule="exact"/>
        <w:ind w:left="818"/>
      </w:pPr>
      <w:r>
        <w:t>本 要 点 主 编 单 位：黑龙江省寒地建筑科学研究院</w:t>
      </w:r>
    </w:p>
    <w:p>
      <w:pPr>
        <w:pStyle w:val="3"/>
        <w:spacing w:before="10"/>
        <w:rPr>
          <w:sz w:val="17"/>
        </w:rPr>
      </w:pPr>
    </w:p>
    <w:p>
      <w:pPr>
        <w:pStyle w:val="3"/>
        <w:ind w:left="3129"/>
      </w:pPr>
      <w:r>
        <w:t>哈尔滨工业大学</w:t>
      </w:r>
    </w:p>
    <w:p>
      <w:pPr>
        <w:pStyle w:val="3"/>
        <w:rPr>
          <w:sz w:val="18"/>
        </w:rPr>
      </w:pPr>
    </w:p>
    <w:p>
      <w:pPr>
        <w:pStyle w:val="3"/>
        <w:ind w:left="818"/>
      </w:pPr>
      <w:r>
        <w:t>本 要 点 参 编 单 位：黑龙江省建筑设计研究院</w:t>
      </w:r>
    </w:p>
    <w:p>
      <w:pPr>
        <w:pStyle w:val="3"/>
        <w:spacing w:before="2"/>
        <w:rPr>
          <w:sz w:val="18"/>
        </w:rPr>
      </w:pPr>
    </w:p>
    <w:p>
      <w:pPr>
        <w:pStyle w:val="3"/>
        <w:spacing w:line="446" w:lineRule="auto"/>
        <w:ind w:left="3130" w:right="3789"/>
      </w:pPr>
      <w:r>
        <w:t>哈尔滨工业大学建筑设计研究院哈尔滨市建筑设计院</w:t>
      </w:r>
    </w:p>
    <w:p>
      <w:pPr>
        <w:pStyle w:val="3"/>
        <w:spacing w:line="446" w:lineRule="auto"/>
        <w:ind w:left="3130" w:right="3580"/>
      </w:pPr>
      <w:r>
        <w:rPr>
          <w:spacing w:val="-4"/>
        </w:rPr>
        <w:t>黑龙江寒地建筑勘察设计有限公司</w:t>
      </w:r>
      <w:r>
        <w:rPr>
          <w:spacing w:val="-3"/>
        </w:rPr>
        <w:t>黑龙江省建研建筑能耗检测中心 黑龙江斯维尔科技发展有限公司 中建二局第四建筑工程有限公司</w:t>
      </w:r>
    </w:p>
    <w:p>
      <w:pPr>
        <w:pStyle w:val="3"/>
        <w:tabs>
          <w:tab w:val="left" w:pos="4287"/>
          <w:tab w:val="left" w:pos="5758"/>
        </w:tabs>
        <w:ind w:left="862"/>
      </w:pPr>
      <w:r>
        <w:rPr>
          <w:spacing w:val="21"/>
        </w:rPr>
        <w:t>本要点</w:t>
      </w:r>
      <w:r>
        <w:rPr>
          <w:spacing w:val="19"/>
        </w:rPr>
        <w:t>主</w:t>
      </w:r>
      <w:r>
        <w:rPr>
          <w:spacing w:val="21"/>
        </w:rPr>
        <w:t>要起</w:t>
      </w:r>
      <w:r>
        <w:rPr>
          <w:spacing w:val="19"/>
        </w:rPr>
        <w:t>草</w:t>
      </w:r>
      <w:r>
        <w:rPr>
          <w:spacing w:val="24"/>
        </w:rPr>
        <w:t>人</w:t>
      </w:r>
      <w:r>
        <w:rPr>
          <w:spacing w:val="-13"/>
        </w:rPr>
        <w:t>员</w:t>
      </w:r>
      <w:r>
        <w:t>：李</w:t>
      </w:r>
      <w:r>
        <w:rPr>
          <w:spacing w:val="-3"/>
        </w:rPr>
        <w:t>若</w:t>
      </w:r>
      <w:r>
        <w:t>冰</w:t>
      </w:r>
      <w:r>
        <w:rPr>
          <w:spacing w:val="5"/>
        </w:rPr>
        <w:t xml:space="preserve"> </w:t>
      </w:r>
      <w:r>
        <w:t>夏</w:t>
      </w:r>
      <w:r>
        <w:tab/>
      </w:r>
      <w:r>
        <w:t>赟</w:t>
      </w:r>
      <w:r>
        <w:rPr>
          <w:spacing w:val="2"/>
        </w:rPr>
        <w:t xml:space="preserve"> </w:t>
      </w:r>
      <w:r>
        <w:rPr>
          <w:spacing w:val="-3"/>
        </w:rPr>
        <w:t>张</w:t>
      </w:r>
      <w:r>
        <w:t>国祥</w:t>
      </w:r>
      <w:r>
        <w:rPr>
          <w:spacing w:val="-4"/>
        </w:rPr>
        <w:t xml:space="preserve"> </w:t>
      </w:r>
      <w:r>
        <w:t>董</w:t>
      </w:r>
      <w:r>
        <w:tab/>
      </w:r>
      <w:r>
        <w:t>琪</w:t>
      </w:r>
      <w:r>
        <w:rPr>
          <w:spacing w:val="-1"/>
        </w:rPr>
        <w:t xml:space="preserve"> </w:t>
      </w:r>
      <w:r>
        <w:rPr>
          <w:spacing w:val="-3"/>
        </w:rPr>
        <w:t>姜</w:t>
      </w:r>
      <w:r>
        <w:t>国建</w:t>
      </w:r>
      <w:r>
        <w:rPr>
          <w:spacing w:val="-1"/>
        </w:rPr>
        <w:t xml:space="preserve"> </w:t>
      </w:r>
      <w:r>
        <w:t>李</w:t>
      </w:r>
      <w:r>
        <w:rPr>
          <w:spacing w:val="-3"/>
        </w:rPr>
        <w:t>晓</w:t>
      </w:r>
      <w:r>
        <w:t>东</w:t>
      </w:r>
      <w:r>
        <w:rPr>
          <w:spacing w:val="-2"/>
        </w:rPr>
        <w:t xml:space="preserve"> </w:t>
      </w:r>
      <w:r>
        <w:rPr>
          <w:spacing w:val="-3"/>
        </w:rPr>
        <w:t>孔</w:t>
      </w:r>
      <w:r>
        <w:t>德骞</w:t>
      </w:r>
    </w:p>
    <w:p>
      <w:pPr>
        <w:pStyle w:val="3"/>
        <w:spacing w:before="10"/>
        <w:rPr>
          <w:sz w:val="17"/>
        </w:rPr>
      </w:pPr>
    </w:p>
    <w:p>
      <w:pPr>
        <w:pStyle w:val="3"/>
        <w:tabs>
          <w:tab w:val="left" w:pos="3552"/>
          <w:tab w:val="left" w:pos="4286"/>
          <w:tab w:val="left" w:pos="5755"/>
          <w:tab w:val="left" w:pos="7648"/>
          <w:tab w:val="left" w:pos="8066"/>
        </w:tabs>
        <w:spacing w:line="446" w:lineRule="auto"/>
        <w:ind w:left="3129" w:right="1587" w:firstLine="1"/>
      </w:pPr>
      <w:r>
        <w:t>张云英</w:t>
      </w:r>
      <w:r>
        <w:rPr>
          <w:spacing w:val="2"/>
        </w:rPr>
        <w:t xml:space="preserve"> </w:t>
      </w:r>
      <w:r>
        <w:t>岂</w:t>
      </w:r>
      <w:r>
        <w:tab/>
      </w:r>
      <w:r>
        <w:t>野 韩</w:t>
      </w:r>
      <w:r>
        <w:rPr>
          <w:spacing w:val="-3"/>
        </w:rPr>
        <w:t>昀</w:t>
      </w:r>
      <w:r>
        <w:t>松 闫</w:t>
      </w:r>
      <w:r>
        <w:tab/>
      </w:r>
      <w:r>
        <w:t>峰 李</w:t>
      </w:r>
      <w:r>
        <w:rPr>
          <w:spacing w:val="-3"/>
        </w:rPr>
        <w:t>弘</w:t>
      </w:r>
      <w:r>
        <w:t>范</w:t>
      </w:r>
      <w:r>
        <w:rPr>
          <w:spacing w:val="3"/>
        </w:rPr>
        <w:t xml:space="preserve"> </w:t>
      </w:r>
      <w:r>
        <w:rPr>
          <w:spacing w:val="-3"/>
        </w:rPr>
        <w:t>叶</w:t>
      </w:r>
      <w:r>
        <w:t>德强</w:t>
      </w:r>
      <w:r>
        <w:tab/>
      </w:r>
      <w:r>
        <w:t>李</w:t>
      </w:r>
      <w:r>
        <w:tab/>
      </w:r>
      <w:r>
        <w:rPr>
          <w:spacing w:val="-18"/>
        </w:rPr>
        <w:t>毅</w:t>
      </w:r>
      <w:r>
        <w:t>王</w:t>
      </w:r>
      <w:r>
        <w:tab/>
      </w:r>
      <w:r>
        <w:t>健</w:t>
      </w:r>
      <w:r>
        <w:rPr>
          <w:spacing w:val="1"/>
        </w:rPr>
        <w:t xml:space="preserve"> </w:t>
      </w:r>
      <w:r>
        <w:rPr>
          <w:spacing w:val="-3"/>
        </w:rPr>
        <w:t>陈</w:t>
      </w:r>
      <w:r>
        <w:t>建华</w:t>
      </w:r>
      <w:r>
        <w:rPr>
          <w:spacing w:val="1"/>
        </w:rPr>
        <w:t xml:space="preserve"> </w:t>
      </w:r>
      <w:r>
        <w:t>孙</w:t>
      </w:r>
      <w:r>
        <w:rPr>
          <w:spacing w:val="-3"/>
        </w:rPr>
        <w:t>世</w:t>
      </w:r>
      <w:r>
        <w:t>钧</w:t>
      </w:r>
      <w:r>
        <w:rPr>
          <w:spacing w:val="1"/>
        </w:rPr>
        <w:t xml:space="preserve"> </w:t>
      </w:r>
      <w:r>
        <w:rPr>
          <w:spacing w:val="-3"/>
        </w:rPr>
        <w:t>阴</w:t>
      </w:r>
      <w:r>
        <w:t>雨夫</w:t>
      </w:r>
      <w:r>
        <w:rPr>
          <w:spacing w:val="1"/>
        </w:rPr>
        <w:t xml:space="preserve"> </w:t>
      </w:r>
      <w:r>
        <w:t>戴</w:t>
      </w:r>
      <w:r>
        <w:rPr>
          <w:spacing w:val="-3"/>
        </w:rPr>
        <w:t>瑛</w:t>
      </w:r>
      <w:r>
        <w:t xml:space="preserve">东 </w:t>
      </w:r>
      <w:r>
        <w:rPr>
          <w:spacing w:val="-3"/>
        </w:rPr>
        <w:t>王</w:t>
      </w:r>
      <w:r>
        <w:t>玉银</w:t>
      </w:r>
      <w:r>
        <w:rPr>
          <w:spacing w:val="1"/>
        </w:rPr>
        <w:t xml:space="preserve"> </w:t>
      </w:r>
      <w:r>
        <w:rPr>
          <w:spacing w:val="-3"/>
        </w:rPr>
        <w:t>单星本</w:t>
      </w:r>
      <w:r>
        <w:t>金皓爽</w:t>
      </w:r>
      <w:r>
        <w:rPr>
          <w:spacing w:val="2"/>
        </w:rPr>
        <w:t xml:space="preserve"> </w:t>
      </w:r>
      <w:r>
        <w:t>周</w:t>
      </w:r>
      <w:r>
        <w:tab/>
      </w:r>
      <w:r>
        <w:t>坤 牛</w:t>
      </w:r>
      <w:r>
        <w:rPr>
          <w:spacing w:val="-3"/>
        </w:rPr>
        <w:t>建</w:t>
      </w:r>
      <w:r>
        <w:t>国 张</w:t>
      </w:r>
      <w:r>
        <w:tab/>
      </w:r>
      <w:r>
        <w:t>运</w:t>
      </w:r>
      <w:r>
        <w:rPr>
          <w:spacing w:val="-1"/>
        </w:rPr>
        <w:t xml:space="preserve"> </w:t>
      </w:r>
      <w:r>
        <w:t>王</w:t>
      </w:r>
      <w:r>
        <w:rPr>
          <w:spacing w:val="-3"/>
        </w:rPr>
        <w:t>淑</w:t>
      </w:r>
      <w:r>
        <w:t>玲</w:t>
      </w:r>
      <w:r>
        <w:rPr>
          <w:spacing w:val="1"/>
        </w:rPr>
        <w:t xml:space="preserve"> </w:t>
      </w:r>
      <w:r>
        <w:rPr>
          <w:spacing w:val="-3"/>
        </w:rPr>
        <w:t>于</w:t>
      </w:r>
      <w:r>
        <w:t>志伟</w:t>
      </w:r>
    </w:p>
    <w:p>
      <w:pPr>
        <w:spacing w:after="0" w:line="446" w:lineRule="auto"/>
        <w:sectPr>
          <w:pgSz w:w="11910" w:h="16850"/>
          <w:pgMar w:top="1220" w:right="1020" w:bottom="280" w:left="1020" w:header="720" w:footer="720" w:gutter="0"/>
        </w:sectPr>
      </w:pPr>
    </w:p>
    <w:p>
      <w:pPr>
        <w:pStyle w:val="2"/>
        <w:tabs>
          <w:tab w:val="left" w:pos="874"/>
        </w:tabs>
        <w:spacing w:before="44"/>
        <w:ind w:left="34"/>
        <w:jc w:val="center"/>
      </w:pPr>
      <w:bookmarkStart w:id="1" w:name="目    次"/>
      <w:bookmarkEnd w:id="1"/>
      <w:r>
        <w:t>目</w:t>
      </w:r>
      <w:r>
        <w:tab/>
      </w:r>
      <w:r>
        <w:t>次</w:t>
      </w:r>
    </w:p>
    <w:sdt>
      <w:sdtPr>
        <w:id w:val="0"/>
        <w:docPartObj>
          <w:docPartGallery w:val="Table of Contents"/>
          <w:docPartUnique/>
        </w:docPartObj>
      </w:sdtPr>
      <w:sdtContent>
        <w:p>
          <w:pPr>
            <w:pStyle w:val="4"/>
            <w:numPr>
              <w:ilvl w:val="0"/>
              <w:numId w:val="1"/>
            </w:numPr>
            <w:tabs>
              <w:tab w:val="left" w:pos="814"/>
              <w:tab w:val="right" w:leader="dot" w:pos="9290"/>
            </w:tabs>
            <w:spacing w:before="156" w:after="0" w:line="240" w:lineRule="auto"/>
            <w:ind w:left="813" w:right="0" w:hanging="211"/>
            <w:jc w:val="left"/>
            <w:rPr>
              <w:rFonts w:ascii="Times New Roman" w:eastAsia="Times New Roman"/>
            </w:rPr>
          </w:pPr>
          <w:r>
            <w:fldChar w:fldCharType="begin"/>
          </w:r>
          <w:r>
            <w:instrText xml:space="preserve"> HYPERLINK \l "_bookmark0" </w:instrText>
          </w:r>
          <w:r>
            <w:fldChar w:fldCharType="separate"/>
          </w:r>
          <w:r>
            <w:t>总则</w:t>
          </w:r>
          <w:r>
            <w:tab/>
          </w:r>
          <w:r>
            <w:rPr>
              <w:rFonts w:ascii="Times New Roman" w:eastAsia="Times New Roman"/>
            </w:rPr>
            <w:t>1</w:t>
          </w:r>
          <w:r>
            <w:rPr>
              <w:rFonts w:ascii="Times New Roman" w:eastAsia="Times New Roman"/>
            </w:rPr>
            <w:fldChar w:fldCharType="end"/>
          </w:r>
        </w:p>
        <w:p>
          <w:pPr>
            <w:pStyle w:val="4"/>
            <w:numPr>
              <w:ilvl w:val="0"/>
              <w:numId w:val="1"/>
            </w:numPr>
            <w:tabs>
              <w:tab w:val="left" w:pos="814"/>
              <w:tab w:val="right" w:leader="dot" w:pos="9290"/>
            </w:tabs>
            <w:spacing w:before="43" w:after="0" w:line="240" w:lineRule="auto"/>
            <w:ind w:left="813" w:right="0" w:hanging="211"/>
            <w:jc w:val="left"/>
            <w:rPr>
              <w:rFonts w:ascii="Times New Roman" w:eastAsia="Times New Roman"/>
            </w:rPr>
          </w:pPr>
          <w:r>
            <w:fldChar w:fldCharType="begin"/>
          </w:r>
          <w:r>
            <w:instrText xml:space="preserve"> HYPERLINK \l "_bookmark1" </w:instrText>
          </w:r>
          <w:r>
            <w:fldChar w:fldCharType="separate"/>
          </w:r>
          <w:r>
            <w:t>基</w:t>
          </w:r>
          <w:r>
            <w:rPr>
              <w:spacing w:val="-3"/>
            </w:rPr>
            <w:t>本</w:t>
          </w:r>
          <w:r>
            <w:t>规定</w:t>
          </w:r>
          <w:r>
            <w:tab/>
          </w:r>
          <w:r>
            <w:rPr>
              <w:rFonts w:ascii="Times New Roman" w:eastAsia="Times New Roman"/>
            </w:rPr>
            <w:t>2</w:t>
          </w:r>
          <w:r>
            <w:rPr>
              <w:rFonts w:ascii="Times New Roman" w:eastAsia="Times New Roman"/>
            </w:rPr>
            <w:fldChar w:fldCharType="end"/>
          </w:r>
        </w:p>
        <w:p>
          <w:pPr>
            <w:pStyle w:val="5"/>
            <w:numPr>
              <w:ilvl w:val="1"/>
              <w:numId w:val="1"/>
            </w:numPr>
            <w:tabs>
              <w:tab w:val="left" w:pos="1393"/>
              <w:tab w:val="right" w:leader="dot" w:pos="9290"/>
            </w:tabs>
            <w:spacing w:before="43" w:after="0" w:line="240" w:lineRule="auto"/>
            <w:ind w:left="1392" w:right="0" w:hanging="370"/>
            <w:jc w:val="left"/>
            <w:rPr>
              <w:rFonts w:ascii="Times New Roman" w:eastAsia="Times New Roman"/>
            </w:rPr>
          </w:pPr>
          <w:r>
            <w:fldChar w:fldCharType="begin"/>
          </w:r>
          <w:r>
            <w:instrText xml:space="preserve"> HYPERLINK \l "_bookmark2" </w:instrText>
          </w:r>
          <w:r>
            <w:fldChar w:fldCharType="separate"/>
          </w:r>
          <w:r>
            <w:rPr>
              <w:spacing w:val="-3"/>
            </w:rPr>
            <w:t>基</w:t>
          </w:r>
          <w:r>
            <w:t>本</w:t>
          </w:r>
          <w:r>
            <w:rPr>
              <w:spacing w:val="-3"/>
            </w:rPr>
            <w:t>要求</w:t>
          </w:r>
          <w:r>
            <w:rPr>
              <w:spacing w:val="-3"/>
            </w:rPr>
            <w:tab/>
          </w:r>
          <w:r>
            <w:rPr>
              <w:rFonts w:ascii="Times New Roman" w:eastAsia="Times New Roman"/>
            </w:rPr>
            <w:t>2</w:t>
          </w:r>
          <w:r>
            <w:rPr>
              <w:rFonts w:ascii="Times New Roman" w:eastAsia="Times New Roman"/>
            </w:rPr>
            <w:fldChar w:fldCharType="end"/>
          </w:r>
        </w:p>
        <w:p>
          <w:pPr>
            <w:pStyle w:val="4"/>
            <w:numPr>
              <w:ilvl w:val="0"/>
              <w:numId w:val="1"/>
            </w:numPr>
            <w:tabs>
              <w:tab w:val="left" w:pos="814"/>
              <w:tab w:val="right" w:leader="dot" w:pos="9290"/>
            </w:tabs>
            <w:spacing w:before="42" w:after="0" w:line="240" w:lineRule="auto"/>
            <w:ind w:left="813" w:right="0" w:hanging="211"/>
            <w:jc w:val="left"/>
            <w:rPr>
              <w:rFonts w:ascii="Times New Roman" w:eastAsia="Times New Roman"/>
            </w:rPr>
          </w:pPr>
          <w:r>
            <w:fldChar w:fldCharType="begin"/>
          </w:r>
          <w:r>
            <w:instrText xml:space="preserve"> HYPERLINK \l "_bookmark3" </w:instrText>
          </w:r>
          <w:r>
            <w:fldChar w:fldCharType="separate"/>
          </w:r>
          <w:r>
            <w:t>绿</w:t>
          </w:r>
          <w:r>
            <w:rPr>
              <w:spacing w:val="-3"/>
            </w:rPr>
            <w:t>色</w:t>
          </w:r>
          <w:r>
            <w:t>建</w:t>
          </w:r>
          <w:r>
            <w:rPr>
              <w:spacing w:val="-3"/>
            </w:rPr>
            <w:t>筑</w:t>
          </w:r>
          <w:r>
            <w:t>施</w:t>
          </w:r>
          <w:r>
            <w:rPr>
              <w:spacing w:val="-3"/>
            </w:rPr>
            <w:t>工</w:t>
          </w:r>
          <w:r>
            <w:t>图</w:t>
          </w:r>
          <w:r>
            <w:rPr>
              <w:spacing w:val="-3"/>
            </w:rPr>
            <w:t>审</w:t>
          </w:r>
          <w:r>
            <w:t>查</w:t>
          </w:r>
          <w:r>
            <w:rPr>
              <w:spacing w:val="-3"/>
            </w:rPr>
            <w:t>集</w:t>
          </w:r>
          <w:r>
            <w:t>成表</w:t>
          </w:r>
          <w:r>
            <w:tab/>
          </w:r>
          <w:r>
            <w:rPr>
              <w:rFonts w:ascii="Times New Roman" w:eastAsia="Times New Roman"/>
            </w:rPr>
            <w:t>3</w:t>
          </w:r>
          <w:r>
            <w:rPr>
              <w:rFonts w:ascii="Times New Roman" w:eastAsia="Times New Roman"/>
            </w:rPr>
            <w:fldChar w:fldCharType="end"/>
          </w:r>
        </w:p>
        <w:p>
          <w:pPr>
            <w:pStyle w:val="5"/>
            <w:numPr>
              <w:ilvl w:val="1"/>
              <w:numId w:val="1"/>
            </w:numPr>
            <w:tabs>
              <w:tab w:val="left" w:pos="1393"/>
              <w:tab w:val="right" w:leader="dot" w:pos="9290"/>
            </w:tabs>
            <w:spacing w:before="43" w:after="0" w:line="240" w:lineRule="auto"/>
            <w:ind w:left="1392" w:right="0" w:hanging="370"/>
            <w:jc w:val="left"/>
            <w:rPr>
              <w:rFonts w:ascii="Times New Roman" w:eastAsia="Times New Roman"/>
            </w:rPr>
          </w:pPr>
          <w:r>
            <w:fldChar w:fldCharType="begin"/>
          </w:r>
          <w:r>
            <w:instrText xml:space="preserve"> HYPERLINK \l "_bookmark4" </w:instrText>
          </w:r>
          <w:r>
            <w:fldChar w:fldCharType="separate"/>
          </w:r>
          <w:r>
            <w:rPr>
              <w:spacing w:val="-3"/>
            </w:rPr>
            <w:t>绿</w:t>
          </w:r>
          <w:r>
            <w:t>色</w:t>
          </w:r>
          <w:r>
            <w:rPr>
              <w:spacing w:val="-3"/>
            </w:rPr>
            <w:t>建</w:t>
          </w:r>
          <w:r>
            <w:t>筑</w:t>
          </w:r>
          <w:r>
            <w:rPr>
              <w:spacing w:val="-3"/>
            </w:rPr>
            <w:t>施</w:t>
          </w:r>
          <w:r>
            <w:t>工</w:t>
          </w:r>
          <w:r>
            <w:rPr>
              <w:spacing w:val="-3"/>
            </w:rPr>
            <w:t>图</w:t>
          </w:r>
          <w:r>
            <w:t>审</w:t>
          </w:r>
          <w:r>
            <w:rPr>
              <w:spacing w:val="-3"/>
            </w:rPr>
            <w:t>查</w:t>
          </w:r>
          <w:r>
            <w:t>自审</w:t>
          </w:r>
          <w:r>
            <w:rPr>
              <w:spacing w:val="-3"/>
            </w:rPr>
            <w:t>集</w:t>
          </w:r>
          <w:r>
            <w:t>成表</w:t>
          </w:r>
          <w:r>
            <w:tab/>
          </w:r>
          <w:r>
            <w:rPr>
              <w:rFonts w:ascii="Times New Roman" w:eastAsia="Times New Roman"/>
            </w:rPr>
            <w:t>3</w:t>
          </w:r>
          <w:r>
            <w:rPr>
              <w:rFonts w:ascii="Times New Roman" w:eastAsia="Times New Roman"/>
            </w:rPr>
            <w:fldChar w:fldCharType="end"/>
          </w:r>
        </w:p>
        <w:p>
          <w:pPr>
            <w:pStyle w:val="5"/>
            <w:numPr>
              <w:ilvl w:val="1"/>
              <w:numId w:val="1"/>
            </w:numPr>
            <w:tabs>
              <w:tab w:val="left" w:pos="1392"/>
              <w:tab w:val="right" w:leader="dot" w:pos="9290"/>
            </w:tabs>
            <w:spacing w:before="43" w:after="0" w:line="240" w:lineRule="auto"/>
            <w:ind w:left="1391" w:right="0" w:hanging="369"/>
            <w:jc w:val="left"/>
            <w:rPr>
              <w:rFonts w:ascii="Times New Roman" w:eastAsia="Times New Roman"/>
            </w:rPr>
          </w:pPr>
          <w:r>
            <w:fldChar w:fldCharType="begin"/>
          </w:r>
          <w:r>
            <w:instrText xml:space="preserve"> HYPERLINK \l "_bookmark5" </w:instrText>
          </w:r>
          <w:r>
            <w:fldChar w:fldCharType="separate"/>
          </w:r>
          <w:r>
            <w:rPr>
              <w:spacing w:val="-3"/>
            </w:rPr>
            <w:t>绿</w:t>
          </w:r>
          <w:r>
            <w:t>色</w:t>
          </w:r>
          <w:r>
            <w:rPr>
              <w:spacing w:val="-3"/>
            </w:rPr>
            <w:t>建</w:t>
          </w:r>
          <w:r>
            <w:t>筑</w:t>
          </w:r>
          <w:r>
            <w:rPr>
              <w:spacing w:val="-3"/>
            </w:rPr>
            <w:t>施</w:t>
          </w:r>
          <w:r>
            <w:t>工</w:t>
          </w:r>
          <w:r>
            <w:rPr>
              <w:spacing w:val="-3"/>
            </w:rPr>
            <w:t>图</w:t>
          </w:r>
          <w:r>
            <w:t>审</w:t>
          </w:r>
          <w:r>
            <w:rPr>
              <w:spacing w:val="-3"/>
            </w:rPr>
            <w:t>查</w:t>
          </w:r>
          <w:r>
            <w:t>集成表</w:t>
          </w:r>
          <w:r>
            <w:tab/>
          </w:r>
          <w:r>
            <w:rPr>
              <w:rFonts w:ascii="Times New Roman" w:eastAsia="Times New Roman"/>
            </w:rPr>
            <w:t>4</w:t>
          </w:r>
          <w:r>
            <w:rPr>
              <w:rFonts w:ascii="Times New Roman" w:eastAsia="Times New Roman"/>
            </w:rPr>
            <w:fldChar w:fldCharType="end"/>
          </w:r>
        </w:p>
        <w:p>
          <w:pPr>
            <w:pStyle w:val="4"/>
            <w:numPr>
              <w:ilvl w:val="0"/>
              <w:numId w:val="1"/>
            </w:numPr>
            <w:tabs>
              <w:tab w:val="left" w:pos="814"/>
              <w:tab w:val="right" w:leader="dot" w:pos="9290"/>
            </w:tabs>
            <w:spacing w:before="43" w:after="0" w:line="240" w:lineRule="auto"/>
            <w:ind w:left="813" w:right="0" w:hanging="211"/>
            <w:jc w:val="left"/>
            <w:rPr>
              <w:rFonts w:ascii="Times New Roman" w:eastAsia="Times New Roman"/>
            </w:rPr>
          </w:pPr>
          <w:r>
            <w:fldChar w:fldCharType="begin"/>
          </w:r>
          <w:r>
            <w:instrText xml:space="preserve"> HYPERLINK \l "_bookmark6" </w:instrText>
          </w:r>
          <w:r>
            <w:fldChar w:fldCharType="separate"/>
          </w:r>
          <w:r>
            <w:t>安</w:t>
          </w:r>
          <w:r>
            <w:rPr>
              <w:spacing w:val="-3"/>
            </w:rPr>
            <w:t>全</w:t>
          </w:r>
          <w:r>
            <w:t>耐久</w:t>
          </w:r>
          <w:r>
            <w:tab/>
          </w:r>
          <w:r>
            <w:rPr>
              <w:rFonts w:ascii="Times New Roman" w:eastAsia="Times New Roman"/>
            </w:rPr>
            <w:t>5</w:t>
          </w:r>
          <w:r>
            <w:rPr>
              <w:rFonts w:ascii="Times New Roman" w:eastAsia="Times New Roman"/>
            </w:rPr>
            <w:fldChar w:fldCharType="end"/>
          </w:r>
        </w:p>
        <w:p>
          <w:pPr>
            <w:pStyle w:val="5"/>
            <w:numPr>
              <w:ilvl w:val="1"/>
              <w:numId w:val="1"/>
            </w:numPr>
            <w:tabs>
              <w:tab w:val="left" w:pos="1392"/>
              <w:tab w:val="right" w:leader="dot" w:pos="9290"/>
            </w:tabs>
            <w:spacing w:before="43" w:after="0" w:line="240" w:lineRule="auto"/>
            <w:ind w:left="1391" w:right="0" w:hanging="369"/>
            <w:jc w:val="left"/>
            <w:rPr>
              <w:rFonts w:ascii="Times New Roman" w:eastAsia="Times New Roman"/>
            </w:rPr>
          </w:pPr>
          <w:r>
            <w:fldChar w:fldCharType="begin"/>
          </w:r>
          <w:r>
            <w:instrText xml:space="preserve"> HYPERLINK \l "_bookmark7" </w:instrText>
          </w:r>
          <w:r>
            <w:fldChar w:fldCharType="separate"/>
          </w:r>
          <w:r>
            <w:rPr>
              <w:spacing w:val="-3"/>
            </w:rPr>
            <w:t>控</w:t>
          </w:r>
          <w:r>
            <w:t>制项</w:t>
          </w:r>
          <w:r>
            <w:tab/>
          </w:r>
          <w:r>
            <w:rPr>
              <w:rFonts w:ascii="Times New Roman" w:eastAsia="Times New Roman"/>
            </w:rPr>
            <w:t>5</w:t>
          </w:r>
          <w:r>
            <w:rPr>
              <w:rFonts w:ascii="Times New Roman" w:eastAsia="Times New Roman"/>
            </w:rPr>
            <w:fldChar w:fldCharType="end"/>
          </w:r>
        </w:p>
        <w:p>
          <w:pPr>
            <w:pStyle w:val="4"/>
            <w:numPr>
              <w:ilvl w:val="0"/>
              <w:numId w:val="1"/>
            </w:numPr>
            <w:tabs>
              <w:tab w:val="left" w:pos="814"/>
              <w:tab w:val="right" w:leader="dot" w:pos="9290"/>
            </w:tabs>
            <w:spacing w:before="43" w:after="0" w:line="240" w:lineRule="auto"/>
            <w:ind w:left="813" w:right="0" w:hanging="211"/>
            <w:jc w:val="left"/>
            <w:rPr>
              <w:rFonts w:ascii="Times New Roman" w:eastAsia="Times New Roman"/>
            </w:rPr>
          </w:pPr>
          <w:r>
            <w:fldChar w:fldCharType="begin"/>
          </w:r>
          <w:r>
            <w:instrText xml:space="preserve"> HYPERLINK \l "_bookmark8" </w:instrText>
          </w:r>
          <w:r>
            <w:fldChar w:fldCharType="separate"/>
          </w:r>
          <w:r>
            <w:t>健</w:t>
          </w:r>
          <w:r>
            <w:rPr>
              <w:spacing w:val="-3"/>
            </w:rPr>
            <w:t>康</w:t>
          </w:r>
          <w:r>
            <w:t>舒适</w:t>
          </w:r>
          <w:r>
            <w:tab/>
          </w:r>
          <w:r>
            <w:rPr>
              <w:rFonts w:ascii="Times New Roman" w:eastAsia="Times New Roman"/>
            </w:rPr>
            <w:t>9</w:t>
          </w:r>
          <w:r>
            <w:rPr>
              <w:rFonts w:ascii="Times New Roman" w:eastAsia="Times New Roman"/>
            </w:rPr>
            <w:fldChar w:fldCharType="end"/>
          </w:r>
        </w:p>
        <w:p>
          <w:pPr>
            <w:pStyle w:val="5"/>
            <w:numPr>
              <w:ilvl w:val="1"/>
              <w:numId w:val="1"/>
            </w:numPr>
            <w:tabs>
              <w:tab w:val="left" w:pos="1392"/>
              <w:tab w:val="right" w:leader="dot" w:pos="9290"/>
            </w:tabs>
            <w:spacing w:before="43" w:after="0" w:line="240" w:lineRule="auto"/>
            <w:ind w:left="1391" w:right="0" w:hanging="369"/>
            <w:jc w:val="left"/>
            <w:rPr>
              <w:rFonts w:ascii="Times New Roman" w:eastAsia="Times New Roman"/>
            </w:rPr>
          </w:pPr>
          <w:r>
            <w:fldChar w:fldCharType="begin"/>
          </w:r>
          <w:r>
            <w:instrText xml:space="preserve"> HYPERLINK \l "_bookmark9" </w:instrText>
          </w:r>
          <w:r>
            <w:fldChar w:fldCharType="separate"/>
          </w:r>
          <w:r>
            <w:rPr>
              <w:spacing w:val="-3"/>
            </w:rPr>
            <w:t>控</w:t>
          </w:r>
          <w:r>
            <w:t>制项</w:t>
          </w:r>
          <w:r>
            <w:tab/>
          </w:r>
          <w:r>
            <w:rPr>
              <w:rFonts w:ascii="Times New Roman" w:eastAsia="Times New Roman"/>
            </w:rPr>
            <w:t>9</w:t>
          </w:r>
          <w:r>
            <w:rPr>
              <w:rFonts w:ascii="Times New Roman" w:eastAsia="Times New Roman"/>
            </w:rPr>
            <w:fldChar w:fldCharType="end"/>
          </w:r>
        </w:p>
        <w:p>
          <w:pPr>
            <w:pStyle w:val="4"/>
            <w:numPr>
              <w:ilvl w:val="0"/>
              <w:numId w:val="1"/>
            </w:numPr>
            <w:tabs>
              <w:tab w:val="left" w:pos="814"/>
              <w:tab w:val="right" w:leader="dot" w:pos="9290"/>
            </w:tabs>
            <w:spacing w:before="43" w:after="0" w:line="240" w:lineRule="auto"/>
            <w:ind w:left="813" w:right="0" w:hanging="211"/>
            <w:jc w:val="left"/>
            <w:rPr>
              <w:rFonts w:ascii="Times New Roman" w:eastAsia="Times New Roman"/>
            </w:rPr>
          </w:pPr>
          <w:r>
            <w:fldChar w:fldCharType="begin"/>
          </w:r>
          <w:r>
            <w:instrText xml:space="preserve"> HYPERLINK \l "_bookmark10" </w:instrText>
          </w:r>
          <w:r>
            <w:fldChar w:fldCharType="separate"/>
          </w:r>
          <w:r>
            <w:t>生</w:t>
          </w:r>
          <w:r>
            <w:rPr>
              <w:spacing w:val="-3"/>
            </w:rPr>
            <w:t>活</w:t>
          </w:r>
          <w:r>
            <w:t>便利</w:t>
          </w:r>
          <w:r>
            <w:tab/>
          </w:r>
          <w:r>
            <w:rPr>
              <w:rFonts w:ascii="Times New Roman" w:eastAsia="Times New Roman"/>
            </w:rPr>
            <w:t>13</w:t>
          </w:r>
          <w:r>
            <w:rPr>
              <w:rFonts w:ascii="Times New Roman" w:eastAsia="Times New Roman"/>
            </w:rPr>
            <w:fldChar w:fldCharType="end"/>
          </w:r>
        </w:p>
        <w:p>
          <w:pPr>
            <w:pStyle w:val="5"/>
            <w:numPr>
              <w:ilvl w:val="1"/>
              <w:numId w:val="1"/>
            </w:numPr>
            <w:tabs>
              <w:tab w:val="left" w:pos="1392"/>
              <w:tab w:val="right" w:leader="dot" w:pos="9290"/>
            </w:tabs>
            <w:spacing w:before="42" w:after="0" w:line="240" w:lineRule="auto"/>
            <w:ind w:left="1391" w:right="0" w:hanging="369"/>
            <w:jc w:val="left"/>
            <w:rPr>
              <w:rFonts w:ascii="Times New Roman" w:eastAsia="Times New Roman"/>
            </w:rPr>
          </w:pPr>
          <w:r>
            <w:fldChar w:fldCharType="begin"/>
          </w:r>
          <w:r>
            <w:instrText xml:space="preserve"> HYPERLINK \l "_bookmark11" </w:instrText>
          </w:r>
          <w:r>
            <w:fldChar w:fldCharType="separate"/>
          </w:r>
          <w:r>
            <w:rPr>
              <w:spacing w:val="-3"/>
            </w:rPr>
            <w:t>控</w:t>
          </w:r>
          <w:r>
            <w:t>制项</w:t>
          </w:r>
          <w:r>
            <w:tab/>
          </w:r>
          <w:r>
            <w:rPr>
              <w:rFonts w:ascii="Times New Roman" w:eastAsia="Times New Roman"/>
            </w:rPr>
            <w:t>13</w:t>
          </w:r>
          <w:r>
            <w:rPr>
              <w:rFonts w:ascii="Times New Roman" w:eastAsia="Times New Roman"/>
            </w:rPr>
            <w:fldChar w:fldCharType="end"/>
          </w:r>
        </w:p>
        <w:p>
          <w:pPr>
            <w:pStyle w:val="4"/>
            <w:numPr>
              <w:ilvl w:val="0"/>
              <w:numId w:val="1"/>
            </w:numPr>
            <w:tabs>
              <w:tab w:val="left" w:pos="814"/>
              <w:tab w:val="right" w:leader="dot" w:pos="9290"/>
            </w:tabs>
            <w:spacing w:before="43" w:after="0" w:line="240" w:lineRule="auto"/>
            <w:ind w:left="813" w:right="0" w:hanging="211"/>
            <w:jc w:val="left"/>
            <w:rPr>
              <w:rFonts w:ascii="Times New Roman" w:eastAsia="Times New Roman"/>
            </w:rPr>
          </w:pPr>
          <w:r>
            <w:fldChar w:fldCharType="begin"/>
          </w:r>
          <w:r>
            <w:instrText xml:space="preserve"> HYPERLINK \l "_bookmark12" </w:instrText>
          </w:r>
          <w:r>
            <w:fldChar w:fldCharType="separate"/>
          </w:r>
          <w:r>
            <w:t>资</w:t>
          </w:r>
          <w:r>
            <w:rPr>
              <w:spacing w:val="-3"/>
            </w:rPr>
            <w:t>源</w:t>
          </w:r>
          <w:r>
            <w:t>节约</w:t>
          </w:r>
          <w:r>
            <w:tab/>
          </w:r>
          <w:r>
            <w:rPr>
              <w:rFonts w:ascii="Times New Roman" w:eastAsia="Times New Roman"/>
            </w:rPr>
            <w:t>15</w:t>
          </w:r>
          <w:r>
            <w:rPr>
              <w:rFonts w:ascii="Times New Roman" w:eastAsia="Times New Roman"/>
            </w:rPr>
            <w:fldChar w:fldCharType="end"/>
          </w:r>
        </w:p>
        <w:p>
          <w:pPr>
            <w:pStyle w:val="5"/>
            <w:numPr>
              <w:ilvl w:val="1"/>
              <w:numId w:val="1"/>
            </w:numPr>
            <w:tabs>
              <w:tab w:val="left" w:pos="1392"/>
              <w:tab w:val="right" w:leader="dot" w:pos="9290"/>
            </w:tabs>
            <w:spacing w:before="43" w:after="0" w:line="240" w:lineRule="auto"/>
            <w:ind w:left="1391" w:right="0" w:hanging="369"/>
            <w:jc w:val="left"/>
            <w:rPr>
              <w:rFonts w:ascii="Times New Roman" w:eastAsia="Times New Roman"/>
            </w:rPr>
          </w:pPr>
          <w:r>
            <w:fldChar w:fldCharType="begin"/>
          </w:r>
          <w:r>
            <w:instrText xml:space="preserve"> HYPERLINK \l "_bookmark13" </w:instrText>
          </w:r>
          <w:r>
            <w:fldChar w:fldCharType="separate"/>
          </w:r>
          <w:r>
            <w:rPr>
              <w:spacing w:val="-3"/>
            </w:rPr>
            <w:t>控</w:t>
          </w:r>
          <w:r>
            <w:t>制项</w:t>
          </w:r>
          <w:r>
            <w:tab/>
          </w:r>
          <w:r>
            <w:rPr>
              <w:rFonts w:ascii="Times New Roman" w:eastAsia="Times New Roman"/>
            </w:rPr>
            <w:t>15</w:t>
          </w:r>
          <w:r>
            <w:rPr>
              <w:rFonts w:ascii="Times New Roman" w:eastAsia="Times New Roman"/>
            </w:rPr>
            <w:fldChar w:fldCharType="end"/>
          </w:r>
        </w:p>
        <w:p>
          <w:pPr>
            <w:pStyle w:val="4"/>
            <w:numPr>
              <w:ilvl w:val="0"/>
              <w:numId w:val="1"/>
            </w:numPr>
            <w:tabs>
              <w:tab w:val="left" w:pos="814"/>
              <w:tab w:val="right" w:leader="dot" w:pos="9290"/>
            </w:tabs>
            <w:spacing w:before="43" w:after="0" w:line="240" w:lineRule="auto"/>
            <w:ind w:left="813" w:right="0" w:hanging="211"/>
            <w:jc w:val="left"/>
            <w:rPr>
              <w:rFonts w:ascii="Times New Roman" w:eastAsia="Times New Roman"/>
            </w:rPr>
          </w:pPr>
          <w:r>
            <w:fldChar w:fldCharType="begin"/>
          </w:r>
          <w:r>
            <w:instrText xml:space="preserve"> HYPERLINK \l "_bookmark14" </w:instrText>
          </w:r>
          <w:r>
            <w:fldChar w:fldCharType="separate"/>
          </w:r>
          <w:r>
            <w:t>环</w:t>
          </w:r>
          <w:r>
            <w:rPr>
              <w:spacing w:val="-3"/>
            </w:rPr>
            <w:t>境</w:t>
          </w:r>
          <w:r>
            <w:t>宜居</w:t>
          </w:r>
          <w:r>
            <w:tab/>
          </w:r>
          <w:r>
            <w:rPr>
              <w:rFonts w:ascii="Times New Roman" w:eastAsia="Times New Roman"/>
            </w:rPr>
            <w:t>19</w:t>
          </w:r>
          <w:r>
            <w:rPr>
              <w:rFonts w:ascii="Times New Roman" w:eastAsia="Times New Roman"/>
            </w:rPr>
            <w:fldChar w:fldCharType="end"/>
          </w:r>
        </w:p>
        <w:p>
          <w:pPr>
            <w:pStyle w:val="5"/>
            <w:numPr>
              <w:ilvl w:val="1"/>
              <w:numId w:val="1"/>
            </w:numPr>
            <w:tabs>
              <w:tab w:val="left" w:pos="1392"/>
              <w:tab w:val="right" w:leader="dot" w:pos="9290"/>
            </w:tabs>
            <w:spacing w:before="43" w:after="0" w:line="240" w:lineRule="auto"/>
            <w:ind w:left="1391" w:right="0" w:hanging="369"/>
            <w:jc w:val="left"/>
            <w:rPr>
              <w:rFonts w:ascii="Times New Roman" w:eastAsia="Times New Roman"/>
            </w:rPr>
          </w:pPr>
          <w:r>
            <w:fldChar w:fldCharType="begin"/>
          </w:r>
          <w:r>
            <w:instrText xml:space="preserve"> HYPERLINK \l "_bookmark15" </w:instrText>
          </w:r>
          <w:r>
            <w:fldChar w:fldCharType="separate"/>
          </w:r>
          <w:r>
            <w:rPr>
              <w:spacing w:val="-3"/>
            </w:rPr>
            <w:t>控</w:t>
          </w:r>
          <w:r>
            <w:t>制项</w:t>
          </w:r>
          <w:r>
            <w:tab/>
          </w:r>
          <w:r>
            <w:rPr>
              <w:rFonts w:ascii="Times New Roman" w:eastAsia="Times New Roman"/>
            </w:rPr>
            <w:t>19</w:t>
          </w:r>
          <w:r>
            <w:rPr>
              <w:rFonts w:ascii="Times New Roman" w:eastAsia="Times New Roman"/>
            </w:rPr>
            <w:fldChar w:fldCharType="end"/>
          </w:r>
        </w:p>
      </w:sdtContent>
    </w:sdt>
    <w:p>
      <w:pPr>
        <w:spacing w:after="0" w:line="240" w:lineRule="auto"/>
        <w:jc w:val="left"/>
        <w:rPr>
          <w:rFonts w:ascii="Times New Roman" w:eastAsia="Times New Roman"/>
        </w:rPr>
        <w:sectPr>
          <w:pgSz w:w="11910" w:h="16850"/>
          <w:pgMar w:top="1220" w:right="1020" w:bottom="280" w:left="1020" w:header="720" w:footer="720" w:gutter="0"/>
        </w:sectPr>
      </w:pPr>
    </w:p>
    <w:p>
      <w:pPr>
        <w:tabs>
          <w:tab w:val="left" w:pos="5299"/>
        </w:tabs>
        <w:spacing w:before="44"/>
        <w:ind w:left="4320" w:right="0" w:firstLine="0"/>
        <w:jc w:val="left"/>
        <w:rPr>
          <w:rFonts w:hint="eastAsia" w:ascii="黑体" w:eastAsia="黑体"/>
          <w:sz w:val="28"/>
        </w:rPr>
      </w:pPr>
      <w:bookmarkStart w:id="2" w:name="1 总   则"/>
      <w:bookmarkEnd w:id="2"/>
      <w:bookmarkStart w:id="3" w:name="_bookmark0"/>
      <w:bookmarkEnd w:id="3"/>
      <w:r>
        <w:rPr>
          <w:rFonts w:ascii="Times New Roman" w:eastAsia="Times New Roman"/>
          <w:b/>
          <w:sz w:val="28"/>
        </w:rPr>
        <w:t>1</w:t>
      </w:r>
      <w:r>
        <w:rPr>
          <w:rFonts w:ascii="Times New Roman" w:eastAsia="Times New Roman"/>
          <w:b/>
          <w:spacing w:val="67"/>
          <w:sz w:val="28"/>
        </w:rPr>
        <w:t xml:space="preserve"> </w:t>
      </w:r>
      <w:r>
        <w:rPr>
          <w:rFonts w:hint="eastAsia" w:ascii="黑体" w:eastAsia="黑体"/>
          <w:sz w:val="28"/>
        </w:rPr>
        <w:t>总</w:t>
      </w:r>
      <w:r>
        <w:rPr>
          <w:rFonts w:hint="eastAsia" w:ascii="黑体" w:eastAsia="黑体"/>
          <w:sz w:val="28"/>
        </w:rPr>
        <w:tab/>
      </w:r>
      <w:r>
        <w:rPr>
          <w:rFonts w:hint="eastAsia" w:ascii="黑体" w:eastAsia="黑体"/>
          <w:sz w:val="28"/>
        </w:rPr>
        <w:t>则</w:t>
      </w:r>
    </w:p>
    <w:p>
      <w:pPr>
        <w:pStyle w:val="3"/>
        <w:spacing w:before="3"/>
        <w:rPr>
          <w:rFonts w:ascii="黑体"/>
          <w:sz w:val="25"/>
        </w:rPr>
      </w:pPr>
    </w:p>
    <w:p>
      <w:pPr>
        <w:pStyle w:val="9"/>
        <w:numPr>
          <w:ilvl w:val="2"/>
          <w:numId w:val="2"/>
        </w:numPr>
        <w:tabs>
          <w:tab w:val="left" w:pos="1234"/>
        </w:tabs>
        <w:spacing w:before="0" w:after="0" w:line="446" w:lineRule="auto"/>
        <w:ind w:left="602" w:right="645" w:firstLine="0"/>
        <w:jc w:val="both"/>
        <w:rPr>
          <w:sz w:val="21"/>
        </w:rPr>
      </w:pPr>
      <w:r>
        <w:rPr>
          <w:spacing w:val="-3"/>
          <w:sz w:val="21"/>
        </w:rPr>
        <w:t>为贯彻落实绿色发展理念，推进黑龙江省绿色建筑高质量发展，统一绿色建筑设计与施工图审查要求，制定本要点。</w:t>
      </w:r>
    </w:p>
    <w:p>
      <w:pPr>
        <w:pStyle w:val="9"/>
        <w:numPr>
          <w:ilvl w:val="2"/>
          <w:numId w:val="2"/>
        </w:numPr>
        <w:tabs>
          <w:tab w:val="left" w:pos="1234"/>
        </w:tabs>
        <w:spacing w:before="0" w:after="0" w:line="446" w:lineRule="auto"/>
        <w:ind w:left="602" w:right="647" w:firstLine="0"/>
        <w:jc w:val="both"/>
        <w:rPr>
          <w:sz w:val="21"/>
        </w:rPr>
      </w:pPr>
      <w:r>
        <w:rPr>
          <w:spacing w:val="-3"/>
          <w:sz w:val="21"/>
        </w:rPr>
        <w:t>本要点适用于黑龙江省民用建筑工程的绿色建筑施工图审查。除本审查要点规定的可不参评条款外，如有其他条款不适用于所审查的建筑工程，需经建设项目所在地市（</w:t>
      </w:r>
      <w:r>
        <w:rPr>
          <w:sz w:val="21"/>
        </w:rPr>
        <w:t>地</w:t>
      </w:r>
      <w:r>
        <w:rPr>
          <w:spacing w:val="-3"/>
          <w:sz w:val="21"/>
        </w:rPr>
        <w:t>）级建设主管部门批准后可不参评。</w:t>
      </w:r>
    </w:p>
    <w:p>
      <w:pPr>
        <w:pStyle w:val="9"/>
        <w:numPr>
          <w:ilvl w:val="2"/>
          <w:numId w:val="2"/>
        </w:numPr>
        <w:tabs>
          <w:tab w:val="left" w:pos="1234"/>
        </w:tabs>
        <w:spacing w:before="0" w:after="0" w:line="268" w:lineRule="exact"/>
        <w:ind w:left="1233" w:right="0" w:hanging="631"/>
        <w:jc w:val="both"/>
        <w:rPr>
          <w:sz w:val="21"/>
        </w:rPr>
      </w:pPr>
      <w:r>
        <w:rPr>
          <w:spacing w:val="-3"/>
          <w:sz w:val="21"/>
        </w:rPr>
        <w:t>本要点的编制依据为现行国家标准《绿色建筑评价标准》</w:t>
      </w:r>
      <w:r>
        <w:rPr>
          <w:rFonts w:ascii="Times New Roman" w:eastAsia="Times New Roman"/>
          <w:sz w:val="21"/>
        </w:rPr>
        <w:t>GB/T</w:t>
      </w:r>
      <w:r>
        <w:rPr>
          <w:rFonts w:ascii="Times New Roman" w:eastAsia="Times New Roman"/>
          <w:spacing w:val="-7"/>
          <w:sz w:val="21"/>
        </w:rPr>
        <w:t xml:space="preserve"> </w:t>
      </w:r>
      <w:r>
        <w:rPr>
          <w:rFonts w:ascii="Times New Roman" w:eastAsia="Times New Roman"/>
          <w:sz w:val="21"/>
        </w:rPr>
        <w:t>50378-2019</w:t>
      </w:r>
      <w:r>
        <w:rPr>
          <w:sz w:val="21"/>
        </w:rPr>
        <w:t>。</w:t>
      </w:r>
    </w:p>
    <w:p>
      <w:pPr>
        <w:pStyle w:val="3"/>
        <w:rPr>
          <w:sz w:val="18"/>
        </w:rPr>
      </w:pPr>
    </w:p>
    <w:p>
      <w:pPr>
        <w:pStyle w:val="9"/>
        <w:numPr>
          <w:ilvl w:val="2"/>
          <w:numId w:val="2"/>
        </w:numPr>
        <w:tabs>
          <w:tab w:val="left" w:pos="1235"/>
        </w:tabs>
        <w:spacing w:before="0" w:after="0" w:line="240" w:lineRule="auto"/>
        <w:ind w:left="1234" w:right="0" w:hanging="632"/>
        <w:jc w:val="both"/>
        <w:rPr>
          <w:sz w:val="21"/>
        </w:rPr>
      </w:pPr>
      <w:r>
        <w:rPr>
          <w:spacing w:val="-3"/>
          <w:sz w:val="21"/>
        </w:rPr>
        <w:t>施工图除符合本审查要点外，尚应符合国家及黑龙江省现行相关标准的规定。</w:t>
      </w: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rPr>
          <w:sz w:val="20"/>
        </w:rPr>
      </w:pPr>
    </w:p>
    <w:p>
      <w:pPr>
        <w:pStyle w:val="3"/>
        <w:spacing w:before="11"/>
        <w:rPr>
          <w:sz w:val="29"/>
        </w:rPr>
      </w:pPr>
    </w:p>
    <w:p>
      <w:pPr>
        <w:spacing w:before="93"/>
        <w:ind w:left="0" w:right="565" w:firstLine="0"/>
        <w:jc w:val="right"/>
        <w:rPr>
          <w:rFonts w:ascii="Times New Roman"/>
          <w:sz w:val="18"/>
        </w:rPr>
      </w:pPr>
      <w:r>
        <w:rPr>
          <w:rFonts w:ascii="Times New Roman"/>
          <w:sz w:val="18"/>
        </w:rPr>
        <w:t>1</w:t>
      </w:r>
    </w:p>
    <w:p>
      <w:pPr>
        <w:spacing w:after="0"/>
        <w:jc w:val="right"/>
        <w:rPr>
          <w:rFonts w:ascii="Times New Roman"/>
          <w:sz w:val="18"/>
        </w:rPr>
        <w:sectPr>
          <w:pgSz w:w="11910" w:h="16850"/>
          <w:pgMar w:top="1220" w:right="1020" w:bottom="280" w:left="1020" w:header="720" w:footer="720" w:gutter="0"/>
        </w:sectPr>
      </w:pPr>
    </w:p>
    <w:p>
      <w:pPr>
        <w:pStyle w:val="3"/>
        <w:spacing w:before="2"/>
        <w:rPr>
          <w:rFonts w:ascii="Times New Roman"/>
          <w:sz w:val="14"/>
        </w:rPr>
      </w:pPr>
    </w:p>
    <w:p>
      <w:pPr>
        <w:spacing w:before="70"/>
        <w:ind w:left="3928" w:right="0" w:firstLine="0"/>
        <w:jc w:val="left"/>
        <w:rPr>
          <w:rFonts w:hint="eastAsia" w:ascii="黑体" w:eastAsia="黑体"/>
          <w:sz w:val="28"/>
        </w:rPr>
      </w:pPr>
      <w:bookmarkStart w:id="4" w:name="2 基 本 规 定"/>
      <w:bookmarkEnd w:id="4"/>
      <w:bookmarkStart w:id="5" w:name="_bookmark1"/>
      <w:bookmarkEnd w:id="5"/>
      <w:r>
        <w:rPr>
          <w:rFonts w:ascii="Times New Roman" w:eastAsia="Times New Roman"/>
          <w:b/>
          <w:sz w:val="28"/>
        </w:rPr>
        <w:t xml:space="preserve">2 </w:t>
      </w:r>
      <w:r>
        <w:rPr>
          <w:rFonts w:hint="eastAsia" w:ascii="黑体" w:eastAsia="黑体"/>
          <w:sz w:val="28"/>
        </w:rPr>
        <w:t>基 本 规 定</w:t>
      </w:r>
    </w:p>
    <w:p>
      <w:pPr>
        <w:spacing w:before="232"/>
        <w:ind w:left="4077" w:right="0" w:firstLine="0"/>
        <w:jc w:val="left"/>
        <w:rPr>
          <w:rFonts w:hint="eastAsia" w:ascii="黑体" w:eastAsia="黑体"/>
          <w:sz w:val="21"/>
        </w:rPr>
      </w:pPr>
      <w:bookmarkStart w:id="6" w:name="_bookmark2"/>
      <w:bookmarkEnd w:id="6"/>
      <w:bookmarkStart w:id="7" w:name="2.1 基 本 要 求"/>
      <w:bookmarkEnd w:id="7"/>
      <w:r>
        <w:rPr>
          <w:rFonts w:ascii="Times New Roman" w:eastAsia="Times New Roman"/>
          <w:b/>
          <w:sz w:val="21"/>
        </w:rPr>
        <w:t xml:space="preserve">2.1 </w:t>
      </w:r>
      <w:r>
        <w:rPr>
          <w:rFonts w:hint="eastAsia" w:ascii="黑体" w:eastAsia="黑体"/>
          <w:sz w:val="21"/>
        </w:rPr>
        <w:t>基 本 要 求</w:t>
      </w:r>
    </w:p>
    <w:p>
      <w:pPr>
        <w:pStyle w:val="3"/>
        <w:spacing w:before="8"/>
        <w:rPr>
          <w:rFonts w:ascii="黑体"/>
          <w:sz w:val="22"/>
        </w:rPr>
      </w:pPr>
    </w:p>
    <w:p>
      <w:pPr>
        <w:pStyle w:val="9"/>
        <w:numPr>
          <w:ilvl w:val="2"/>
          <w:numId w:val="3"/>
        </w:numPr>
        <w:tabs>
          <w:tab w:val="left" w:pos="745"/>
        </w:tabs>
        <w:spacing w:before="1" w:after="0" w:line="446" w:lineRule="auto"/>
        <w:ind w:left="113" w:right="297" w:firstLine="0"/>
        <w:jc w:val="both"/>
        <w:rPr>
          <w:sz w:val="21"/>
        </w:rPr>
      </w:pPr>
      <w:r>
        <w:rPr>
          <w:spacing w:val="-3"/>
          <w:sz w:val="21"/>
        </w:rPr>
        <w:t>绿色建筑施工图的审查应以单栋建筑或建筑群为审查对象。审查对象应落实并深化上位法定规划及相关专项规划提出的绿色发展要求；审查单栋建筑时，凡涉及系统性、整体性的指标，应基于该栋建筑所属工程项目的总体进行审查。</w:t>
      </w:r>
    </w:p>
    <w:p>
      <w:pPr>
        <w:pStyle w:val="9"/>
        <w:numPr>
          <w:ilvl w:val="2"/>
          <w:numId w:val="3"/>
        </w:numPr>
        <w:tabs>
          <w:tab w:val="left" w:pos="745"/>
        </w:tabs>
        <w:spacing w:before="0" w:after="0" w:line="446" w:lineRule="auto"/>
        <w:ind w:left="113" w:right="297" w:firstLine="0"/>
        <w:jc w:val="both"/>
        <w:rPr>
          <w:sz w:val="21"/>
        </w:rPr>
      </w:pPr>
      <w:r>
        <w:rPr>
          <w:spacing w:val="-3"/>
          <w:sz w:val="21"/>
        </w:rPr>
        <w:t>申请审查方需提交完整的绿色建筑设计阶段审查材料，审查材料主要包括《绿色建筑施工图审查</w:t>
      </w:r>
      <w:r>
        <w:rPr>
          <w:spacing w:val="-8"/>
          <w:sz w:val="21"/>
        </w:rPr>
        <w:t>自审集成表》</w:t>
      </w:r>
      <w:r>
        <w:rPr>
          <w:sz w:val="21"/>
        </w:rPr>
        <w:t>（</w:t>
      </w:r>
      <w:r>
        <w:rPr>
          <w:spacing w:val="-10"/>
          <w:sz w:val="21"/>
        </w:rPr>
        <w:t xml:space="preserve">见 </w:t>
      </w:r>
      <w:r>
        <w:rPr>
          <w:rFonts w:ascii="Times New Roman" w:eastAsia="Times New Roman"/>
          <w:spacing w:val="-5"/>
          <w:sz w:val="21"/>
        </w:rPr>
        <w:t>3.1</w:t>
      </w:r>
      <w:r>
        <w:rPr>
          <w:spacing w:val="-5"/>
          <w:sz w:val="21"/>
        </w:rPr>
        <w:t>）</w:t>
      </w:r>
      <w:r>
        <w:rPr>
          <w:spacing w:val="-9"/>
          <w:sz w:val="21"/>
        </w:rPr>
        <w:t>、分析报告和相关文件；采用四新技术时，需提供佐证材料。申请审查方应对所</w:t>
      </w:r>
      <w:r>
        <w:rPr>
          <w:spacing w:val="-3"/>
          <w:sz w:val="21"/>
        </w:rPr>
        <w:t>提交资料的真实性和完整性负责。</w:t>
      </w:r>
    </w:p>
    <w:p>
      <w:pPr>
        <w:pStyle w:val="9"/>
        <w:numPr>
          <w:ilvl w:val="2"/>
          <w:numId w:val="3"/>
        </w:numPr>
        <w:tabs>
          <w:tab w:val="left" w:pos="744"/>
          <w:tab w:val="left" w:pos="745"/>
        </w:tabs>
        <w:spacing w:before="0" w:after="0" w:line="268" w:lineRule="exact"/>
        <w:ind w:left="744" w:right="0" w:hanging="631"/>
        <w:jc w:val="left"/>
        <w:rPr>
          <w:sz w:val="21"/>
        </w:rPr>
      </w:pPr>
      <w:r>
        <w:rPr>
          <w:spacing w:val="-3"/>
          <w:sz w:val="21"/>
        </w:rPr>
        <w:t>绿色建筑施工图审查应与常规施工图审查同时进行。</w:t>
      </w:r>
    </w:p>
    <w:p>
      <w:pPr>
        <w:pStyle w:val="3"/>
        <w:spacing w:before="11"/>
        <w:rPr>
          <w:sz w:val="17"/>
        </w:rPr>
      </w:pPr>
    </w:p>
    <w:p>
      <w:pPr>
        <w:pStyle w:val="9"/>
        <w:numPr>
          <w:ilvl w:val="2"/>
          <w:numId w:val="3"/>
        </w:numPr>
        <w:tabs>
          <w:tab w:val="left" w:pos="745"/>
        </w:tabs>
        <w:spacing w:before="0" w:after="0" w:line="446" w:lineRule="auto"/>
        <w:ind w:left="113" w:right="297" w:firstLine="0"/>
        <w:jc w:val="both"/>
        <w:rPr>
          <w:sz w:val="21"/>
        </w:rPr>
      </w:pPr>
      <w:r>
        <w:rPr>
          <w:spacing w:val="-3"/>
          <w:sz w:val="21"/>
        </w:rPr>
        <w:t>审查机构应按本要点的相关规定，对申请审查方提交的资料进行审查，出具《绿色建筑施工图审查集成表》（</w:t>
      </w:r>
      <w:r>
        <w:rPr>
          <w:spacing w:val="-27"/>
          <w:sz w:val="21"/>
        </w:rPr>
        <w:t xml:space="preserve">见 </w:t>
      </w:r>
      <w:r>
        <w:rPr>
          <w:rFonts w:ascii="Times New Roman" w:eastAsia="Times New Roman"/>
          <w:sz w:val="21"/>
        </w:rPr>
        <w:t>3.2</w:t>
      </w:r>
      <w:r>
        <w:rPr>
          <w:sz w:val="21"/>
        </w:rPr>
        <w:t>）</w:t>
      </w:r>
      <w:r>
        <w:rPr>
          <w:spacing w:val="-3"/>
          <w:sz w:val="21"/>
        </w:rPr>
        <w:t>，确定审查结论。</w:t>
      </w:r>
    </w:p>
    <w:p>
      <w:pPr>
        <w:spacing w:after="0" w:line="446" w:lineRule="auto"/>
        <w:jc w:val="both"/>
        <w:rPr>
          <w:sz w:val="21"/>
        </w:rPr>
        <w:sectPr>
          <w:footerReference r:id="rId3" w:type="default"/>
          <w:pgSz w:w="11910" w:h="16850"/>
          <w:pgMar w:top="1600" w:right="1020" w:bottom="1180" w:left="1020" w:header="0" w:footer="997" w:gutter="0"/>
        </w:sectPr>
      </w:pPr>
    </w:p>
    <w:p>
      <w:pPr>
        <w:pStyle w:val="2"/>
        <w:numPr>
          <w:ilvl w:val="0"/>
          <w:numId w:val="4"/>
        </w:numPr>
        <w:tabs>
          <w:tab w:val="left" w:pos="5521"/>
        </w:tabs>
        <w:spacing w:before="159" w:after="0" w:line="240" w:lineRule="auto"/>
        <w:ind w:left="5520" w:right="1133" w:hanging="278"/>
        <w:jc w:val="left"/>
      </w:pPr>
      <w:bookmarkStart w:id="8" w:name="3 绿色建筑施工图审查集成表"/>
      <w:bookmarkEnd w:id="8"/>
      <w:bookmarkStart w:id="9" w:name="_bookmark3"/>
      <w:bookmarkEnd w:id="9"/>
      <w:bookmarkStart w:id="10" w:name="_bookmark3"/>
      <w:bookmarkEnd w:id="10"/>
      <w:r>
        <w:rPr>
          <w:spacing w:val="-3"/>
        </w:rPr>
        <w:t>绿色建筑施工图审查集成表</w:t>
      </w:r>
    </w:p>
    <w:p>
      <w:pPr>
        <w:pStyle w:val="9"/>
        <w:numPr>
          <w:ilvl w:val="1"/>
          <w:numId w:val="4"/>
        </w:numPr>
        <w:tabs>
          <w:tab w:val="left" w:pos="5778"/>
        </w:tabs>
        <w:spacing w:before="232" w:after="0" w:line="240" w:lineRule="auto"/>
        <w:ind w:left="5777" w:right="0" w:hanging="369"/>
        <w:jc w:val="left"/>
        <w:rPr>
          <w:rFonts w:hint="eastAsia" w:ascii="黑体" w:eastAsia="黑体"/>
          <w:sz w:val="21"/>
        </w:rPr>
      </w:pPr>
      <w:bookmarkStart w:id="11" w:name="_bookmark4"/>
      <w:bookmarkEnd w:id="11"/>
      <w:bookmarkStart w:id="12" w:name="_bookmark4"/>
      <w:bookmarkEnd w:id="12"/>
      <w:bookmarkStart w:id="13" w:name="3.1 绿色建筑施工图审查自审集成表"/>
      <w:bookmarkEnd w:id="13"/>
      <w:r>
        <w:rPr>
          <w:rFonts w:hint="eastAsia" w:ascii="黑体" w:eastAsia="黑体"/>
          <w:spacing w:val="-3"/>
          <w:sz w:val="21"/>
        </w:rPr>
        <w:t>绿色建筑施工图审查自审集成表</w:t>
      </w:r>
    </w:p>
    <w:p>
      <w:pPr>
        <w:pStyle w:val="3"/>
        <w:spacing w:before="9"/>
        <w:rPr>
          <w:rFonts w:ascii="黑体"/>
          <w:sz w:val="7"/>
        </w:rPr>
      </w:pPr>
    </w:p>
    <w:tbl>
      <w:tblPr>
        <w:tblStyle w:val="6"/>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39"/>
        <w:gridCol w:w="1109"/>
        <w:gridCol w:w="898"/>
        <w:gridCol w:w="1109"/>
        <w:gridCol w:w="898"/>
        <w:gridCol w:w="1107"/>
        <w:gridCol w:w="1061"/>
        <w:gridCol w:w="1111"/>
        <w:gridCol w:w="439"/>
        <w:gridCol w:w="461"/>
        <w:gridCol w:w="533"/>
        <w:gridCol w:w="555"/>
        <w:gridCol w:w="1004"/>
        <w:gridCol w:w="994"/>
        <w:gridCol w:w="148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1639" w:type="dxa"/>
          </w:tcPr>
          <w:p>
            <w:pPr>
              <w:pStyle w:val="10"/>
              <w:spacing w:before="40"/>
              <w:ind w:left="167" w:right="160"/>
              <w:jc w:val="center"/>
              <w:rPr>
                <w:sz w:val="18"/>
              </w:rPr>
            </w:pPr>
            <w:r>
              <w:rPr>
                <w:sz w:val="18"/>
              </w:rPr>
              <w:t>建设单位</w:t>
            </w:r>
          </w:p>
        </w:tc>
        <w:tc>
          <w:tcPr>
            <w:tcW w:w="5121" w:type="dxa"/>
            <w:gridSpan w:val="5"/>
          </w:tcPr>
          <w:p>
            <w:pPr>
              <w:pStyle w:val="10"/>
              <w:rPr>
                <w:rFonts w:ascii="Times New Roman"/>
                <w:sz w:val="18"/>
              </w:rPr>
            </w:pPr>
          </w:p>
        </w:tc>
        <w:tc>
          <w:tcPr>
            <w:tcW w:w="1061" w:type="dxa"/>
          </w:tcPr>
          <w:p>
            <w:pPr>
              <w:pStyle w:val="10"/>
              <w:spacing w:before="40"/>
              <w:ind w:left="151" w:right="140"/>
              <w:jc w:val="center"/>
              <w:rPr>
                <w:sz w:val="18"/>
              </w:rPr>
            </w:pPr>
            <w:r>
              <w:rPr>
                <w:sz w:val="18"/>
              </w:rPr>
              <w:t>设计单位</w:t>
            </w:r>
          </w:p>
        </w:tc>
        <w:tc>
          <w:tcPr>
            <w:tcW w:w="4103" w:type="dxa"/>
            <w:gridSpan w:val="6"/>
          </w:tcPr>
          <w:p>
            <w:pPr>
              <w:pStyle w:val="10"/>
              <w:rPr>
                <w:rFonts w:ascii="Times New Roman"/>
                <w:sz w:val="18"/>
              </w:rPr>
            </w:pPr>
          </w:p>
        </w:tc>
        <w:tc>
          <w:tcPr>
            <w:tcW w:w="994" w:type="dxa"/>
          </w:tcPr>
          <w:p>
            <w:pPr>
              <w:pStyle w:val="10"/>
              <w:spacing w:before="40"/>
              <w:ind w:right="126"/>
              <w:jc w:val="right"/>
              <w:rPr>
                <w:sz w:val="18"/>
              </w:rPr>
            </w:pPr>
            <w:r>
              <w:rPr>
                <w:sz w:val="18"/>
              </w:rPr>
              <w:t>报审时间</w:t>
            </w:r>
          </w:p>
        </w:tc>
        <w:tc>
          <w:tcPr>
            <w:tcW w:w="1488"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tcPr>
          <w:p>
            <w:pPr>
              <w:pStyle w:val="10"/>
              <w:spacing w:before="38"/>
              <w:ind w:left="167" w:right="160"/>
              <w:jc w:val="center"/>
              <w:rPr>
                <w:sz w:val="18"/>
              </w:rPr>
            </w:pPr>
            <w:r>
              <w:rPr>
                <w:sz w:val="18"/>
              </w:rPr>
              <w:t>项目名称</w:t>
            </w:r>
          </w:p>
        </w:tc>
        <w:tc>
          <w:tcPr>
            <w:tcW w:w="5121" w:type="dxa"/>
            <w:gridSpan w:val="5"/>
          </w:tcPr>
          <w:p>
            <w:pPr>
              <w:pStyle w:val="10"/>
              <w:rPr>
                <w:rFonts w:ascii="Times New Roman"/>
                <w:sz w:val="18"/>
              </w:rPr>
            </w:pPr>
          </w:p>
        </w:tc>
        <w:tc>
          <w:tcPr>
            <w:tcW w:w="1061" w:type="dxa"/>
          </w:tcPr>
          <w:p>
            <w:pPr>
              <w:pStyle w:val="10"/>
              <w:spacing w:before="38"/>
              <w:ind w:left="151" w:right="140"/>
              <w:jc w:val="center"/>
              <w:rPr>
                <w:sz w:val="18"/>
              </w:rPr>
            </w:pPr>
            <w:r>
              <w:rPr>
                <w:sz w:val="18"/>
              </w:rPr>
              <w:t>用地面积</w:t>
            </w:r>
          </w:p>
        </w:tc>
        <w:tc>
          <w:tcPr>
            <w:tcW w:w="1550" w:type="dxa"/>
            <w:gridSpan w:val="2"/>
          </w:tcPr>
          <w:p>
            <w:pPr>
              <w:pStyle w:val="10"/>
              <w:rPr>
                <w:rFonts w:ascii="Times New Roman"/>
                <w:sz w:val="18"/>
              </w:rPr>
            </w:pPr>
          </w:p>
        </w:tc>
        <w:tc>
          <w:tcPr>
            <w:tcW w:w="994" w:type="dxa"/>
            <w:gridSpan w:val="2"/>
          </w:tcPr>
          <w:p>
            <w:pPr>
              <w:pStyle w:val="10"/>
              <w:spacing w:before="38"/>
              <w:ind w:left="135"/>
              <w:rPr>
                <w:sz w:val="18"/>
              </w:rPr>
            </w:pPr>
            <w:r>
              <w:rPr>
                <w:sz w:val="18"/>
              </w:rPr>
              <w:t>建筑面积</w:t>
            </w:r>
          </w:p>
        </w:tc>
        <w:tc>
          <w:tcPr>
            <w:tcW w:w="1559" w:type="dxa"/>
            <w:gridSpan w:val="2"/>
          </w:tcPr>
          <w:p>
            <w:pPr>
              <w:pStyle w:val="10"/>
              <w:rPr>
                <w:rFonts w:ascii="Times New Roman"/>
                <w:sz w:val="18"/>
              </w:rPr>
            </w:pPr>
          </w:p>
        </w:tc>
        <w:tc>
          <w:tcPr>
            <w:tcW w:w="994" w:type="dxa"/>
          </w:tcPr>
          <w:p>
            <w:pPr>
              <w:pStyle w:val="10"/>
              <w:spacing w:before="38"/>
              <w:ind w:right="126"/>
              <w:jc w:val="right"/>
              <w:rPr>
                <w:sz w:val="18"/>
              </w:rPr>
            </w:pPr>
            <w:r>
              <w:rPr>
                <w:sz w:val="18"/>
              </w:rPr>
              <w:t>建筑性质</w:t>
            </w:r>
          </w:p>
        </w:tc>
        <w:tc>
          <w:tcPr>
            <w:tcW w:w="1488"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tcPr>
          <w:p>
            <w:pPr>
              <w:pStyle w:val="10"/>
              <w:spacing w:before="38"/>
              <w:ind w:left="167" w:right="160"/>
              <w:jc w:val="center"/>
              <w:rPr>
                <w:sz w:val="18"/>
              </w:rPr>
            </w:pPr>
            <w:r>
              <w:rPr>
                <w:sz w:val="18"/>
              </w:rPr>
              <w:t>建筑层数</w:t>
            </w:r>
          </w:p>
        </w:tc>
        <w:tc>
          <w:tcPr>
            <w:tcW w:w="5121" w:type="dxa"/>
            <w:gridSpan w:val="5"/>
          </w:tcPr>
          <w:p>
            <w:pPr>
              <w:pStyle w:val="10"/>
              <w:rPr>
                <w:rFonts w:ascii="Times New Roman"/>
                <w:sz w:val="18"/>
              </w:rPr>
            </w:pPr>
          </w:p>
        </w:tc>
        <w:tc>
          <w:tcPr>
            <w:tcW w:w="1061" w:type="dxa"/>
          </w:tcPr>
          <w:p>
            <w:pPr>
              <w:pStyle w:val="10"/>
              <w:spacing w:before="38"/>
              <w:ind w:left="151" w:right="140"/>
              <w:jc w:val="center"/>
              <w:rPr>
                <w:sz w:val="18"/>
              </w:rPr>
            </w:pPr>
            <w:r>
              <w:rPr>
                <w:sz w:val="18"/>
              </w:rPr>
              <w:t>建筑地点</w:t>
            </w:r>
          </w:p>
        </w:tc>
        <w:tc>
          <w:tcPr>
            <w:tcW w:w="6585" w:type="dxa"/>
            <w:gridSpan w:val="8"/>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tcPr>
          <w:p>
            <w:pPr>
              <w:pStyle w:val="10"/>
              <w:spacing w:before="38"/>
              <w:ind w:left="167" w:right="160"/>
              <w:jc w:val="center"/>
              <w:rPr>
                <w:sz w:val="18"/>
              </w:rPr>
            </w:pPr>
            <w:r>
              <w:rPr>
                <w:sz w:val="18"/>
              </w:rPr>
              <w:t>指标体系</w:t>
            </w:r>
          </w:p>
        </w:tc>
        <w:tc>
          <w:tcPr>
            <w:tcW w:w="2007" w:type="dxa"/>
            <w:gridSpan w:val="2"/>
          </w:tcPr>
          <w:p>
            <w:pPr>
              <w:pStyle w:val="10"/>
              <w:spacing w:before="38"/>
              <w:ind w:left="645"/>
              <w:rPr>
                <w:sz w:val="18"/>
              </w:rPr>
            </w:pPr>
            <w:r>
              <w:rPr>
                <w:sz w:val="18"/>
              </w:rPr>
              <w:t>安全耐久</w:t>
            </w:r>
          </w:p>
        </w:tc>
        <w:tc>
          <w:tcPr>
            <w:tcW w:w="2007" w:type="dxa"/>
            <w:gridSpan w:val="2"/>
          </w:tcPr>
          <w:p>
            <w:pPr>
              <w:pStyle w:val="10"/>
              <w:spacing w:before="38"/>
              <w:ind w:left="642"/>
              <w:rPr>
                <w:sz w:val="18"/>
              </w:rPr>
            </w:pPr>
            <w:r>
              <w:rPr>
                <w:sz w:val="18"/>
              </w:rPr>
              <w:t>健康舒适</w:t>
            </w:r>
          </w:p>
        </w:tc>
        <w:tc>
          <w:tcPr>
            <w:tcW w:w="2168" w:type="dxa"/>
            <w:gridSpan w:val="2"/>
          </w:tcPr>
          <w:p>
            <w:pPr>
              <w:pStyle w:val="10"/>
              <w:spacing w:before="38"/>
              <w:ind w:left="721"/>
              <w:rPr>
                <w:sz w:val="18"/>
              </w:rPr>
            </w:pPr>
            <w:r>
              <w:rPr>
                <w:sz w:val="18"/>
              </w:rPr>
              <w:t>生活便利</w:t>
            </w:r>
          </w:p>
        </w:tc>
        <w:tc>
          <w:tcPr>
            <w:tcW w:w="2011" w:type="dxa"/>
            <w:gridSpan w:val="3"/>
          </w:tcPr>
          <w:p>
            <w:pPr>
              <w:pStyle w:val="10"/>
              <w:spacing w:before="38"/>
              <w:ind w:left="643"/>
              <w:rPr>
                <w:sz w:val="18"/>
              </w:rPr>
            </w:pPr>
            <w:r>
              <w:rPr>
                <w:sz w:val="18"/>
              </w:rPr>
              <w:t>资源节约</w:t>
            </w:r>
          </w:p>
        </w:tc>
        <w:tc>
          <w:tcPr>
            <w:tcW w:w="2092" w:type="dxa"/>
            <w:gridSpan w:val="3"/>
          </w:tcPr>
          <w:p>
            <w:pPr>
              <w:pStyle w:val="10"/>
              <w:spacing w:before="38"/>
              <w:ind w:left="684"/>
              <w:rPr>
                <w:sz w:val="18"/>
              </w:rPr>
            </w:pPr>
            <w:r>
              <w:rPr>
                <w:sz w:val="18"/>
              </w:rPr>
              <w:t>环境宜居</w:t>
            </w:r>
          </w:p>
        </w:tc>
        <w:tc>
          <w:tcPr>
            <w:tcW w:w="2482" w:type="dxa"/>
            <w:gridSpan w:val="2"/>
          </w:tcPr>
          <w:p>
            <w:pPr>
              <w:pStyle w:val="10"/>
              <w:spacing w:before="38"/>
              <w:ind w:left="428"/>
              <w:rPr>
                <w:sz w:val="18"/>
              </w:rPr>
            </w:pPr>
            <w:r>
              <w:rPr>
                <w:sz w:val="18"/>
              </w:rPr>
              <w:t>列出不参评项条款号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tcPr>
          <w:p>
            <w:pPr>
              <w:pStyle w:val="10"/>
              <w:spacing w:before="38"/>
              <w:ind w:left="169" w:right="160"/>
              <w:jc w:val="center"/>
              <w:rPr>
                <w:sz w:val="18"/>
              </w:rPr>
            </w:pPr>
            <w:r>
              <w:rPr>
                <w:sz w:val="18"/>
              </w:rPr>
              <w:t>控制项项数</w:t>
            </w:r>
          </w:p>
        </w:tc>
        <w:tc>
          <w:tcPr>
            <w:tcW w:w="2007" w:type="dxa"/>
            <w:gridSpan w:val="2"/>
          </w:tcPr>
          <w:p>
            <w:pPr>
              <w:pStyle w:val="10"/>
              <w:spacing w:before="38"/>
              <w:ind w:left="285"/>
              <w:rPr>
                <w:sz w:val="18"/>
              </w:rPr>
            </w:pPr>
            <w:r>
              <w:rPr>
                <w:sz w:val="18"/>
              </w:rPr>
              <w:t>(设计阶段共 8 项)</w:t>
            </w:r>
          </w:p>
        </w:tc>
        <w:tc>
          <w:tcPr>
            <w:tcW w:w="2007" w:type="dxa"/>
            <w:gridSpan w:val="2"/>
          </w:tcPr>
          <w:p>
            <w:pPr>
              <w:pStyle w:val="10"/>
              <w:spacing w:before="38"/>
              <w:ind w:left="282"/>
              <w:rPr>
                <w:sz w:val="18"/>
              </w:rPr>
            </w:pPr>
            <w:r>
              <w:rPr>
                <w:sz w:val="18"/>
              </w:rPr>
              <w:t>(设计阶段共 9 项)</w:t>
            </w:r>
          </w:p>
        </w:tc>
        <w:tc>
          <w:tcPr>
            <w:tcW w:w="2168" w:type="dxa"/>
            <w:gridSpan w:val="2"/>
          </w:tcPr>
          <w:p>
            <w:pPr>
              <w:pStyle w:val="10"/>
              <w:spacing w:before="38"/>
              <w:ind w:left="361"/>
              <w:rPr>
                <w:sz w:val="18"/>
              </w:rPr>
            </w:pPr>
            <w:r>
              <w:rPr>
                <w:sz w:val="18"/>
              </w:rPr>
              <w:t>(设计阶段共 6 项)</w:t>
            </w:r>
          </w:p>
        </w:tc>
        <w:tc>
          <w:tcPr>
            <w:tcW w:w="2011" w:type="dxa"/>
            <w:gridSpan w:val="3"/>
          </w:tcPr>
          <w:p>
            <w:pPr>
              <w:pStyle w:val="10"/>
              <w:spacing w:before="38"/>
              <w:ind w:left="237"/>
              <w:rPr>
                <w:sz w:val="18"/>
              </w:rPr>
            </w:pPr>
            <w:r>
              <w:rPr>
                <w:sz w:val="18"/>
              </w:rPr>
              <w:t>(设计阶段共 10 项)</w:t>
            </w:r>
          </w:p>
        </w:tc>
        <w:tc>
          <w:tcPr>
            <w:tcW w:w="2092" w:type="dxa"/>
            <w:gridSpan w:val="3"/>
          </w:tcPr>
          <w:p>
            <w:pPr>
              <w:pStyle w:val="10"/>
              <w:spacing w:before="38"/>
              <w:ind w:left="324"/>
              <w:rPr>
                <w:sz w:val="18"/>
              </w:rPr>
            </w:pPr>
            <w:r>
              <w:rPr>
                <w:sz w:val="18"/>
              </w:rPr>
              <w:t>(设计阶段共 7 项)</w:t>
            </w:r>
          </w:p>
        </w:tc>
        <w:tc>
          <w:tcPr>
            <w:tcW w:w="2482" w:type="dxa"/>
            <w:gridSpan w:val="2"/>
          </w:tcPr>
          <w:p>
            <w:pPr>
              <w:pStyle w:val="10"/>
              <w:spacing w:before="38"/>
              <w:ind w:left="428"/>
              <w:rPr>
                <w:sz w:val="18"/>
              </w:rPr>
            </w:pPr>
            <w:r>
              <w:rPr>
                <w:sz w:val="18"/>
              </w:rPr>
              <w:t>（写明不参评理由）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tcPr>
          <w:p>
            <w:pPr>
              <w:pStyle w:val="10"/>
              <w:spacing w:before="38"/>
              <w:ind w:left="167" w:right="160"/>
              <w:jc w:val="center"/>
              <w:rPr>
                <w:sz w:val="18"/>
              </w:rPr>
            </w:pPr>
            <w:r>
              <w:rPr>
                <w:sz w:val="18"/>
              </w:rPr>
              <w:t>涉及条约</w:t>
            </w:r>
          </w:p>
        </w:tc>
        <w:tc>
          <w:tcPr>
            <w:tcW w:w="1109" w:type="dxa"/>
          </w:tcPr>
          <w:p>
            <w:pPr>
              <w:pStyle w:val="10"/>
              <w:spacing w:before="38"/>
              <w:ind w:right="360"/>
              <w:jc w:val="right"/>
              <w:rPr>
                <w:sz w:val="18"/>
              </w:rPr>
            </w:pPr>
            <w:r>
              <w:rPr>
                <w:sz w:val="18"/>
              </w:rPr>
              <w:t>条款</w:t>
            </w:r>
          </w:p>
        </w:tc>
        <w:tc>
          <w:tcPr>
            <w:tcW w:w="898" w:type="dxa"/>
          </w:tcPr>
          <w:p>
            <w:pPr>
              <w:pStyle w:val="10"/>
              <w:spacing w:before="38"/>
              <w:ind w:left="247" w:right="238"/>
              <w:jc w:val="center"/>
              <w:rPr>
                <w:sz w:val="18"/>
              </w:rPr>
            </w:pPr>
            <w:r>
              <w:rPr>
                <w:sz w:val="18"/>
              </w:rPr>
              <w:t>达标</w:t>
            </w:r>
          </w:p>
        </w:tc>
        <w:tc>
          <w:tcPr>
            <w:tcW w:w="1109" w:type="dxa"/>
          </w:tcPr>
          <w:p>
            <w:pPr>
              <w:pStyle w:val="10"/>
              <w:spacing w:before="38"/>
              <w:ind w:left="307" w:right="299"/>
              <w:jc w:val="center"/>
              <w:rPr>
                <w:sz w:val="18"/>
              </w:rPr>
            </w:pPr>
            <w:r>
              <w:rPr>
                <w:sz w:val="18"/>
              </w:rPr>
              <w:t>条款</w:t>
            </w:r>
          </w:p>
        </w:tc>
        <w:tc>
          <w:tcPr>
            <w:tcW w:w="898" w:type="dxa"/>
          </w:tcPr>
          <w:p>
            <w:pPr>
              <w:pStyle w:val="10"/>
              <w:spacing w:before="38"/>
              <w:ind w:left="246" w:right="239"/>
              <w:jc w:val="center"/>
              <w:rPr>
                <w:sz w:val="18"/>
              </w:rPr>
            </w:pPr>
            <w:r>
              <w:rPr>
                <w:sz w:val="18"/>
              </w:rPr>
              <w:t>达标</w:t>
            </w:r>
          </w:p>
        </w:tc>
        <w:tc>
          <w:tcPr>
            <w:tcW w:w="1107" w:type="dxa"/>
          </w:tcPr>
          <w:p>
            <w:pPr>
              <w:pStyle w:val="10"/>
              <w:spacing w:before="38"/>
              <w:ind w:left="305" w:right="297"/>
              <w:jc w:val="center"/>
              <w:rPr>
                <w:sz w:val="18"/>
              </w:rPr>
            </w:pPr>
            <w:r>
              <w:rPr>
                <w:sz w:val="18"/>
              </w:rPr>
              <w:t>条款</w:t>
            </w:r>
          </w:p>
        </w:tc>
        <w:tc>
          <w:tcPr>
            <w:tcW w:w="1061" w:type="dxa"/>
          </w:tcPr>
          <w:p>
            <w:pPr>
              <w:pStyle w:val="10"/>
              <w:spacing w:before="38"/>
              <w:ind w:left="150" w:right="140"/>
              <w:jc w:val="center"/>
              <w:rPr>
                <w:sz w:val="18"/>
              </w:rPr>
            </w:pPr>
            <w:r>
              <w:rPr>
                <w:sz w:val="18"/>
              </w:rPr>
              <w:t>达标</w:t>
            </w:r>
          </w:p>
        </w:tc>
        <w:tc>
          <w:tcPr>
            <w:tcW w:w="1111" w:type="dxa"/>
          </w:tcPr>
          <w:p>
            <w:pPr>
              <w:pStyle w:val="10"/>
              <w:spacing w:before="38"/>
              <w:ind w:left="374"/>
              <w:rPr>
                <w:sz w:val="18"/>
              </w:rPr>
            </w:pPr>
            <w:r>
              <w:rPr>
                <w:sz w:val="18"/>
              </w:rPr>
              <w:t>条款</w:t>
            </w:r>
          </w:p>
        </w:tc>
        <w:tc>
          <w:tcPr>
            <w:tcW w:w="900" w:type="dxa"/>
            <w:gridSpan w:val="2"/>
          </w:tcPr>
          <w:p>
            <w:pPr>
              <w:pStyle w:val="10"/>
              <w:spacing w:before="38"/>
              <w:ind w:left="266"/>
              <w:rPr>
                <w:sz w:val="18"/>
              </w:rPr>
            </w:pPr>
            <w:r>
              <w:rPr>
                <w:sz w:val="18"/>
              </w:rPr>
              <w:t>达标</w:t>
            </w:r>
          </w:p>
        </w:tc>
        <w:tc>
          <w:tcPr>
            <w:tcW w:w="1088" w:type="dxa"/>
            <w:gridSpan w:val="2"/>
          </w:tcPr>
          <w:p>
            <w:pPr>
              <w:pStyle w:val="10"/>
              <w:spacing w:before="38"/>
              <w:ind w:left="360"/>
              <w:rPr>
                <w:sz w:val="18"/>
              </w:rPr>
            </w:pPr>
            <w:r>
              <w:rPr>
                <w:sz w:val="18"/>
              </w:rPr>
              <w:t>条款</w:t>
            </w:r>
          </w:p>
        </w:tc>
        <w:tc>
          <w:tcPr>
            <w:tcW w:w="1004" w:type="dxa"/>
          </w:tcPr>
          <w:p>
            <w:pPr>
              <w:pStyle w:val="10"/>
              <w:spacing w:before="38"/>
              <w:ind w:left="298" w:right="295"/>
              <w:jc w:val="center"/>
              <w:rPr>
                <w:sz w:val="18"/>
              </w:rPr>
            </w:pPr>
            <w:r>
              <w:rPr>
                <w:sz w:val="18"/>
              </w:rPr>
              <w:t>达标</w:t>
            </w:r>
          </w:p>
        </w:tc>
        <w:tc>
          <w:tcPr>
            <w:tcW w:w="2482" w:type="dxa"/>
            <w:gridSpan w:val="2"/>
            <w:vMerge w:val="restart"/>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639" w:type="dxa"/>
            <w:vMerge w:val="restart"/>
          </w:tcPr>
          <w:p>
            <w:pPr>
              <w:pStyle w:val="10"/>
              <w:rPr>
                <w:rFonts w:ascii="黑体"/>
                <w:sz w:val="18"/>
              </w:rPr>
            </w:pPr>
          </w:p>
          <w:p>
            <w:pPr>
              <w:pStyle w:val="10"/>
              <w:rPr>
                <w:rFonts w:ascii="黑体"/>
                <w:sz w:val="18"/>
              </w:rPr>
            </w:pPr>
          </w:p>
          <w:p>
            <w:pPr>
              <w:pStyle w:val="10"/>
              <w:rPr>
                <w:rFonts w:ascii="黑体"/>
                <w:sz w:val="18"/>
              </w:rPr>
            </w:pPr>
          </w:p>
          <w:p>
            <w:pPr>
              <w:pStyle w:val="10"/>
              <w:rPr>
                <w:rFonts w:ascii="黑体"/>
                <w:sz w:val="18"/>
              </w:rPr>
            </w:pPr>
          </w:p>
          <w:p>
            <w:pPr>
              <w:pStyle w:val="10"/>
              <w:rPr>
                <w:rFonts w:ascii="黑体"/>
                <w:sz w:val="18"/>
              </w:rPr>
            </w:pPr>
          </w:p>
          <w:p>
            <w:pPr>
              <w:pStyle w:val="10"/>
              <w:spacing w:before="12"/>
              <w:rPr>
                <w:rFonts w:ascii="黑体"/>
                <w:sz w:val="13"/>
              </w:rPr>
            </w:pPr>
          </w:p>
          <w:p>
            <w:pPr>
              <w:pStyle w:val="10"/>
              <w:spacing w:line="324" w:lineRule="auto"/>
              <w:ind w:left="458" w:right="448" w:firstLine="91"/>
              <w:rPr>
                <w:sz w:val="18"/>
              </w:rPr>
            </w:pPr>
            <w:r>
              <w:rPr>
                <w:sz w:val="18"/>
              </w:rPr>
              <w:t>控制项达标情况</w:t>
            </w:r>
          </w:p>
        </w:tc>
        <w:tc>
          <w:tcPr>
            <w:tcW w:w="1109" w:type="dxa"/>
          </w:tcPr>
          <w:p>
            <w:pPr>
              <w:pStyle w:val="10"/>
              <w:spacing w:before="40"/>
              <w:ind w:right="311"/>
              <w:jc w:val="right"/>
              <w:rPr>
                <w:sz w:val="18"/>
              </w:rPr>
            </w:pPr>
            <w:r>
              <w:rPr>
                <w:sz w:val="18"/>
              </w:rPr>
              <w:t>4.1.1</w:t>
            </w:r>
          </w:p>
        </w:tc>
        <w:tc>
          <w:tcPr>
            <w:tcW w:w="898" w:type="dxa"/>
          </w:tcPr>
          <w:p>
            <w:pPr>
              <w:pStyle w:val="10"/>
              <w:spacing w:before="40"/>
              <w:ind w:left="6"/>
              <w:jc w:val="center"/>
              <w:rPr>
                <w:sz w:val="18"/>
              </w:rPr>
            </w:pPr>
            <w:r>
              <w:rPr>
                <w:sz w:val="18"/>
              </w:rPr>
              <w:t>□</w:t>
            </w:r>
          </w:p>
        </w:tc>
        <w:tc>
          <w:tcPr>
            <w:tcW w:w="1109" w:type="dxa"/>
          </w:tcPr>
          <w:p>
            <w:pPr>
              <w:pStyle w:val="10"/>
              <w:spacing w:before="40"/>
              <w:ind w:left="310" w:right="299"/>
              <w:jc w:val="center"/>
              <w:rPr>
                <w:sz w:val="18"/>
              </w:rPr>
            </w:pPr>
            <w:r>
              <w:rPr>
                <w:sz w:val="18"/>
              </w:rPr>
              <w:t>5.1.1</w:t>
            </w:r>
          </w:p>
        </w:tc>
        <w:tc>
          <w:tcPr>
            <w:tcW w:w="898" w:type="dxa"/>
          </w:tcPr>
          <w:p>
            <w:pPr>
              <w:pStyle w:val="10"/>
              <w:spacing w:before="40"/>
              <w:ind w:left="5"/>
              <w:jc w:val="center"/>
              <w:rPr>
                <w:sz w:val="18"/>
              </w:rPr>
            </w:pPr>
            <w:r>
              <w:rPr>
                <w:sz w:val="18"/>
              </w:rPr>
              <w:t>□</w:t>
            </w:r>
          </w:p>
        </w:tc>
        <w:tc>
          <w:tcPr>
            <w:tcW w:w="1107" w:type="dxa"/>
          </w:tcPr>
          <w:p>
            <w:pPr>
              <w:pStyle w:val="10"/>
              <w:spacing w:before="40"/>
              <w:ind w:left="309" w:right="297"/>
              <w:jc w:val="center"/>
              <w:rPr>
                <w:sz w:val="18"/>
              </w:rPr>
            </w:pPr>
            <w:r>
              <w:rPr>
                <w:sz w:val="18"/>
              </w:rPr>
              <w:t>6.1.1</w:t>
            </w:r>
          </w:p>
        </w:tc>
        <w:tc>
          <w:tcPr>
            <w:tcW w:w="1061" w:type="dxa"/>
          </w:tcPr>
          <w:p>
            <w:pPr>
              <w:pStyle w:val="10"/>
              <w:spacing w:before="40"/>
              <w:ind w:left="9"/>
              <w:jc w:val="center"/>
              <w:rPr>
                <w:sz w:val="18"/>
              </w:rPr>
            </w:pPr>
            <w:r>
              <w:rPr>
                <w:sz w:val="18"/>
              </w:rPr>
              <w:t>□</w:t>
            </w:r>
          </w:p>
        </w:tc>
        <w:tc>
          <w:tcPr>
            <w:tcW w:w="1111" w:type="dxa"/>
          </w:tcPr>
          <w:p>
            <w:pPr>
              <w:pStyle w:val="10"/>
              <w:spacing w:before="40"/>
              <w:ind w:right="315"/>
              <w:jc w:val="right"/>
              <w:rPr>
                <w:sz w:val="18"/>
              </w:rPr>
            </w:pPr>
            <w:r>
              <w:rPr>
                <w:sz w:val="18"/>
              </w:rPr>
              <w:t>7.1.1</w:t>
            </w:r>
          </w:p>
        </w:tc>
        <w:tc>
          <w:tcPr>
            <w:tcW w:w="900" w:type="dxa"/>
            <w:gridSpan w:val="2"/>
          </w:tcPr>
          <w:p>
            <w:pPr>
              <w:pStyle w:val="10"/>
              <w:spacing w:before="40"/>
              <w:ind w:left="7"/>
              <w:jc w:val="center"/>
              <w:rPr>
                <w:sz w:val="18"/>
              </w:rPr>
            </w:pPr>
            <w:r>
              <w:rPr>
                <w:sz w:val="18"/>
              </w:rPr>
              <w:t>□</w:t>
            </w:r>
          </w:p>
        </w:tc>
        <w:tc>
          <w:tcPr>
            <w:tcW w:w="1088" w:type="dxa"/>
            <w:gridSpan w:val="2"/>
          </w:tcPr>
          <w:p>
            <w:pPr>
              <w:pStyle w:val="10"/>
              <w:spacing w:before="40"/>
              <w:ind w:left="315"/>
              <w:rPr>
                <w:sz w:val="18"/>
              </w:rPr>
            </w:pPr>
            <w:r>
              <w:rPr>
                <w:sz w:val="18"/>
              </w:rPr>
              <w:t>8.1.1</w:t>
            </w:r>
          </w:p>
        </w:tc>
        <w:tc>
          <w:tcPr>
            <w:tcW w:w="1004" w:type="dxa"/>
          </w:tcPr>
          <w:p>
            <w:pPr>
              <w:pStyle w:val="10"/>
              <w:spacing w:before="40"/>
              <w:ind w:left="2"/>
              <w:jc w:val="center"/>
              <w:rPr>
                <w:sz w:val="18"/>
              </w:rPr>
            </w:pPr>
            <w:r>
              <w:rPr>
                <w:sz w:val="18"/>
              </w:rPr>
              <w:t>□</w:t>
            </w: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vMerge w:val="continue"/>
            <w:tcBorders>
              <w:top w:val="nil"/>
            </w:tcBorders>
          </w:tcPr>
          <w:p>
            <w:pPr>
              <w:rPr>
                <w:sz w:val="2"/>
                <w:szCs w:val="2"/>
              </w:rPr>
            </w:pPr>
          </w:p>
        </w:tc>
        <w:tc>
          <w:tcPr>
            <w:tcW w:w="1109" w:type="dxa"/>
          </w:tcPr>
          <w:p>
            <w:pPr>
              <w:pStyle w:val="10"/>
              <w:spacing w:before="38"/>
              <w:ind w:right="311"/>
              <w:jc w:val="right"/>
              <w:rPr>
                <w:sz w:val="18"/>
              </w:rPr>
            </w:pPr>
            <w:r>
              <w:rPr>
                <w:sz w:val="18"/>
              </w:rPr>
              <w:t>4.1.2</w:t>
            </w:r>
          </w:p>
        </w:tc>
        <w:tc>
          <w:tcPr>
            <w:tcW w:w="898" w:type="dxa"/>
          </w:tcPr>
          <w:p>
            <w:pPr>
              <w:pStyle w:val="10"/>
              <w:spacing w:before="38"/>
              <w:ind w:left="6"/>
              <w:jc w:val="center"/>
              <w:rPr>
                <w:sz w:val="18"/>
              </w:rPr>
            </w:pPr>
            <w:r>
              <w:rPr>
                <w:sz w:val="18"/>
              </w:rPr>
              <w:t>□</w:t>
            </w:r>
          </w:p>
        </w:tc>
        <w:tc>
          <w:tcPr>
            <w:tcW w:w="1109" w:type="dxa"/>
          </w:tcPr>
          <w:p>
            <w:pPr>
              <w:pStyle w:val="10"/>
              <w:spacing w:before="38"/>
              <w:ind w:left="310" w:right="299"/>
              <w:jc w:val="center"/>
              <w:rPr>
                <w:sz w:val="18"/>
              </w:rPr>
            </w:pPr>
            <w:r>
              <w:rPr>
                <w:sz w:val="18"/>
              </w:rPr>
              <w:t>5.1.2</w:t>
            </w:r>
          </w:p>
        </w:tc>
        <w:tc>
          <w:tcPr>
            <w:tcW w:w="898" w:type="dxa"/>
          </w:tcPr>
          <w:p>
            <w:pPr>
              <w:pStyle w:val="10"/>
              <w:spacing w:before="38"/>
              <w:ind w:left="5"/>
              <w:jc w:val="center"/>
              <w:rPr>
                <w:sz w:val="18"/>
              </w:rPr>
            </w:pPr>
            <w:r>
              <w:rPr>
                <w:sz w:val="18"/>
              </w:rPr>
              <w:t>□</w:t>
            </w:r>
          </w:p>
        </w:tc>
        <w:tc>
          <w:tcPr>
            <w:tcW w:w="1107" w:type="dxa"/>
          </w:tcPr>
          <w:p>
            <w:pPr>
              <w:pStyle w:val="10"/>
              <w:spacing w:before="38"/>
              <w:ind w:left="309" w:right="297"/>
              <w:jc w:val="center"/>
              <w:rPr>
                <w:sz w:val="18"/>
              </w:rPr>
            </w:pPr>
            <w:r>
              <w:rPr>
                <w:sz w:val="18"/>
              </w:rPr>
              <w:t>6.1.2</w:t>
            </w:r>
          </w:p>
        </w:tc>
        <w:tc>
          <w:tcPr>
            <w:tcW w:w="1061" w:type="dxa"/>
          </w:tcPr>
          <w:p>
            <w:pPr>
              <w:pStyle w:val="10"/>
              <w:spacing w:before="38"/>
              <w:ind w:left="9"/>
              <w:jc w:val="center"/>
              <w:rPr>
                <w:sz w:val="18"/>
              </w:rPr>
            </w:pPr>
            <w:r>
              <w:rPr>
                <w:sz w:val="18"/>
              </w:rPr>
              <w:t>□</w:t>
            </w:r>
          </w:p>
        </w:tc>
        <w:tc>
          <w:tcPr>
            <w:tcW w:w="1111" w:type="dxa"/>
          </w:tcPr>
          <w:p>
            <w:pPr>
              <w:pStyle w:val="10"/>
              <w:spacing w:before="38"/>
              <w:ind w:right="315"/>
              <w:jc w:val="right"/>
              <w:rPr>
                <w:sz w:val="18"/>
              </w:rPr>
            </w:pPr>
            <w:r>
              <w:rPr>
                <w:sz w:val="18"/>
              </w:rPr>
              <w:t>7.1.2</w:t>
            </w:r>
          </w:p>
        </w:tc>
        <w:tc>
          <w:tcPr>
            <w:tcW w:w="900" w:type="dxa"/>
            <w:gridSpan w:val="2"/>
          </w:tcPr>
          <w:p>
            <w:pPr>
              <w:pStyle w:val="10"/>
              <w:spacing w:before="38"/>
              <w:ind w:left="7"/>
              <w:jc w:val="center"/>
              <w:rPr>
                <w:sz w:val="18"/>
              </w:rPr>
            </w:pPr>
            <w:r>
              <w:rPr>
                <w:sz w:val="18"/>
              </w:rPr>
              <w:t>□</w:t>
            </w:r>
          </w:p>
        </w:tc>
        <w:tc>
          <w:tcPr>
            <w:tcW w:w="1088" w:type="dxa"/>
            <w:gridSpan w:val="2"/>
          </w:tcPr>
          <w:p>
            <w:pPr>
              <w:pStyle w:val="10"/>
              <w:spacing w:before="38"/>
              <w:ind w:left="315"/>
              <w:rPr>
                <w:sz w:val="18"/>
              </w:rPr>
            </w:pPr>
            <w:r>
              <w:rPr>
                <w:sz w:val="18"/>
              </w:rPr>
              <w:t>8.1.2</w:t>
            </w:r>
          </w:p>
        </w:tc>
        <w:tc>
          <w:tcPr>
            <w:tcW w:w="1004" w:type="dxa"/>
          </w:tcPr>
          <w:p>
            <w:pPr>
              <w:pStyle w:val="10"/>
              <w:spacing w:before="38"/>
              <w:ind w:left="2"/>
              <w:jc w:val="center"/>
              <w:rPr>
                <w:sz w:val="18"/>
              </w:rPr>
            </w:pPr>
            <w:r>
              <w:rPr>
                <w:sz w:val="18"/>
              </w:rPr>
              <w:t>□</w:t>
            </w: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vMerge w:val="continue"/>
            <w:tcBorders>
              <w:top w:val="nil"/>
            </w:tcBorders>
          </w:tcPr>
          <w:p>
            <w:pPr>
              <w:rPr>
                <w:sz w:val="2"/>
                <w:szCs w:val="2"/>
              </w:rPr>
            </w:pPr>
          </w:p>
        </w:tc>
        <w:tc>
          <w:tcPr>
            <w:tcW w:w="1109" w:type="dxa"/>
          </w:tcPr>
          <w:p>
            <w:pPr>
              <w:pStyle w:val="10"/>
              <w:spacing w:before="38"/>
              <w:ind w:right="311"/>
              <w:jc w:val="right"/>
              <w:rPr>
                <w:sz w:val="18"/>
              </w:rPr>
            </w:pPr>
            <w:r>
              <w:rPr>
                <w:sz w:val="18"/>
              </w:rPr>
              <w:t>4.1.3</w:t>
            </w:r>
          </w:p>
        </w:tc>
        <w:tc>
          <w:tcPr>
            <w:tcW w:w="898" w:type="dxa"/>
          </w:tcPr>
          <w:p>
            <w:pPr>
              <w:pStyle w:val="10"/>
              <w:spacing w:before="38"/>
              <w:ind w:left="6"/>
              <w:jc w:val="center"/>
              <w:rPr>
                <w:sz w:val="18"/>
              </w:rPr>
            </w:pPr>
            <w:r>
              <w:rPr>
                <w:sz w:val="18"/>
              </w:rPr>
              <w:t>□</w:t>
            </w:r>
          </w:p>
        </w:tc>
        <w:tc>
          <w:tcPr>
            <w:tcW w:w="1109" w:type="dxa"/>
          </w:tcPr>
          <w:p>
            <w:pPr>
              <w:pStyle w:val="10"/>
              <w:spacing w:before="38"/>
              <w:ind w:left="310" w:right="299"/>
              <w:jc w:val="center"/>
              <w:rPr>
                <w:sz w:val="18"/>
              </w:rPr>
            </w:pPr>
            <w:r>
              <w:rPr>
                <w:sz w:val="18"/>
              </w:rPr>
              <w:t>5.1.3</w:t>
            </w:r>
          </w:p>
        </w:tc>
        <w:tc>
          <w:tcPr>
            <w:tcW w:w="898" w:type="dxa"/>
          </w:tcPr>
          <w:p>
            <w:pPr>
              <w:pStyle w:val="10"/>
              <w:spacing w:before="38"/>
              <w:ind w:left="5"/>
              <w:jc w:val="center"/>
              <w:rPr>
                <w:sz w:val="18"/>
              </w:rPr>
            </w:pPr>
            <w:r>
              <w:rPr>
                <w:sz w:val="18"/>
              </w:rPr>
              <w:t>□</w:t>
            </w:r>
          </w:p>
        </w:tc>
        <w:tc>
          <w:tcPr>
            <w:tcW w:w="1107" w:type="dxa"/>
          </w:tcPr>
          <w:p>
            <w:pPr>
              <w:pStyle w:val="10"/>
              <w:spacing w:before="38"/>
              <w:ind w:left="309" w:right="297"/>
              <w:jc w:val="center"/>
              <w:rPr>
                <w:sz w:val="18"/>
              </w:rPr>
            </w:pPr>
            <w:r>
              <w:rPr>
                <w:sz w:val="18"/>
              </w:rPr>
              <w:t>6.1.3</w:t>
            </w:r>
          </w:p>
        </w:tc>
        <w:tc>
          <w:tcPr>
            <w:tcW w:w="1061" w:type="dxa"/>
          </w:tcPr>
          <w:p>
            <w:pPr>
              <w:pStyle w:val="10"/>
              <w:spacing w:before="38"/>
              <w:ind w:left="9"/>
              <w:jc w:val="center"/>
              <w:rPr>
                <w:sz w:val="18"/>
              </w:rPr>
            </w:pPr>
            <w:r>
              <w:rPr>
                <w:sz w:val="18"/>
              </w:rPr>
              <w:t>□</w:t>
            </w:r>
          </w:p>
        </w:tc>
        <w:tc>
          <w:tcPr>
            <w:tcW w:w="1111" w:type="dxa"/>
          </w:tcPr>
          <w:p>
            <w:pPr>
              <w:pStyle w:val="10"/>
              <w:spacing w:before="38"/>
              <w:ind w:right="315"/>
              <w:jc w:val="right"/>
              <w:rPr>
                <w:sz w:val="18"/>
              </w:rPr>
            </w:pPr>
            <w:r>
              <w:rPr>
                <w:sz w:val="18"/>
              </w:rPr>
              <w:t>7.1.3</w:t>
            </w:r>
          </w:p>
        </w:tc>
        <w:tc>
          <w:tcPr>
            <w:tcW w:w="900" w:type="dxa"/>
            <w:gridSpan w:val="2"/>
          </w:tcPr>
          <w:p>
            <w:pPr>
              <w:pStyle w:val="10"/>
              <w:spacing w:before="38"/>
              <w:ind w:left="7"/>
              <w:jc w:val="center"/>
              <w:rPr>
                <w:sz w:val="18"/>
              </w:rPr>
            </w:pPr>
            <w:r>
              <w:rPr>
                <w:sz w:val="18"/>
              </w:rPr>
              <w:t>□</w:t>
            </w:r>
          </w:p>
        </w:tc>
        <w:tc>
          <w:tcPr>
            <w:tcW w:w="1088" w:type="dxa"/>
            <w:gridSpan w:val="2"/>
          </w:tcPr>
          <w:p>
            <w:pPr>
              <w:pStyle w:val="10"/>
              <w:spacing w:before="38"/>
              <w:ind w:left="315"/>
              <w:rPr>
                <w:sz w:val="18"/>
              </w:rPr>
            </w:pPr>
            <w:r>
              <w:rPr>
                <w:sz w:val="18"/>
              </w:rPr>
              <w:t>8.1.3</w:t>
            </w:r>
          </w:p>
        </w:tc>
        <w:tc>
          <w:tcPr>
            <w:tcW w:w="1004" w:type="dxa"/>
          </w:tcPr>
          <w:p>
            <w:pPr>
              <w:pStyle w:val="10"/>
              <w:spacing w:before="38"/>
              <w:ind w:left="2"/>
              <w:jc w:val="center"/>
              <w:rPr>
                <w:sz w:val="18"/>
              </w:rPr>
            </w:pPr>
            <w:r>
              <w:rPr>
                <w:sz w:val="18"/>
              </w:rPr>
              <w:t>□</w:t>
            </w: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vMerge w:val="continue"/>
            <w:tcBorders>
              <w:top w:val="nil"/>
            </w:tcBorders>
          </w:tcPr>
          <w:p>
            <w:pPr>
              <w:rPr>
                <w:sz w:val="2"/>
                <w:szCs w:val="2"/>
              </w:rPr>
            </w:pPr>
          </w:p>
        </w:tc>
        <w:tc>
          <w:tcPr>
            <w:tcW w:w="1109" w:type="dxa"/>
          </w:tcPr>
          <w:p>
            <w:pPr>
              <w:pStyle w:val="10"/>
              <w:spacing w:before="38"/>
              <w:ind w:right="311"/>
              <w:jc w:val="right"/>
              <w:rPr>
                <w:sz w:val="18"/>
              </w:rPr>
            </w:pPr>
            <w:r>
              <w:rPr>
                <w:sz w:val="18"/>
              </w:rPr>
              <w:t>4.1.4</w:t>
            </w:r>
          </w:p>
        </w:tc>
        <w:tc>
          <w:tcPr>
            <w:tcW w:w="898" w:type="dxa"/>
          </w:tcPr>
          <w:p>
            <w:pPr>
              <w:pStyle w:val="10"/>
              <w:spacing w:before="38"/>
              <w:ind w:left="6"/>
              <w:jc w:val="center"/>
              <w:rPr>
                <w:sz w:val="18"/>
              </w:rPr>
            </w:pPr>
            <w:r>
              <w:rPr>
                <w:sz w:val="18"/>
              </w:rPr>
              <w:t>□</w:t>
            </w:r>
          </w:p>
        </w:tc>
        <w:tc>
          <w:tcPr>
            <w:tcW w:w="1109" w:type="dxa"/>
          </w:tcPr>
          <w:p>
            <w:pPr>
              <w:pStyle w:val="10"/>
              <w:spacing w:before="38"/>
              <w:ind w:left="310" w:right="299"/>
              <w:jc w:val="center"/>
              <w:rPr>
                <w:sz w:val="18"/>
              </w:rPr>
            </w:pPr>
            <w:r>
              <w:rPr>
                <w:sz w:val="18"/>
              </w:rPr>
              <w:t>5.1.4</w:t>
            </w:r>
          </w:p>
        </w:tc>
        <w:tc>
          <w:tcPr>
            <w:tcW w:w="898" w:type="dxa"/>
          </w:tcPr>
          <w:p>
            <w:pPr>
              <w:pStyle w:val="10"/>
              <w:spacing w:before="38"/>
              <w:ind w:left="5"/>
              <w:jc w:val="center"/>
              <w:rPr>
                <w:sz w:val="18"/>
              </w:rPr>
            </w:pPr>
            <w:r>
              <w:rPr>
                <w:sz w:val="18"/>
              </w:rPr>
              <w:t>□</w:t>
            </w:r>
          </w:p>
        </w:tc>
        <w:tc>
          <w:tcPr>
            <w:tcW w:w="1107" w:type="dxa"/>
          </w:tcPr>
          <w:p>
            <w:pPr>
              <w:pStyle w:val="10"/>
              <w:spacing w:before="38"/>
              <w:ind w:left="309" w:right="297"/>
              <w:jc w:val="center"/>
              <w:rPr>
                <w:sz w:val="18"/>
              </w:rPr>
            </w:pPr>
            <w:r>
              <w:rPr>
                <w:sz w:val="18"/>
              </w:rPr>
              <w:t>6.1.4</w:t>
            </w:r>
          </w:p>
        </w:tc>
        <w:tc>
          <w:tcPr>
            <w:tcW w:w="1061" w:type="dxa"/>
          </w:tcPr>
          <w:p>
            <w:pPr>
              <w:pStyle w:val="10"/>
              <w:spacing w:before="38"/>
              <w:ind w:left="9"/>
              <w:jc w:val="center"/>
              <w:rPr>
                <w:sz w:val="18"/>
              </w:rPr>
            </w:pPr>
            <w:r>
              <w:rPr>
                <w:sz w:val="18"/>
              </w:rPr>
              <w:t>□</w:t>
            </w:r>
          </w:p>
        </w:tc>
        <w:tc>
          <w:tcPr>
            <w:tcW w:w="1111" w:type="dxa"/>
          </w:tcPr>
          <w:p>
            <w:pPr>
              <w:pStyle w:val="10"/>
              <w:spacing w:before="38"/>
              <w:ind w:right="315"/>
              <w:jc w:val="right"/>
              <w:rPr>
                <w:sz w:val="18"/>
              </w:rPr>
            </w:pPr>
            <w:r>
              <w:rPr>
                <w:sz w:val="18"/>
              </w:rPr>
              <w:t>7.1.4</w:t>
            </w:r>
          </w:p>
        </w:tc>
        <w:tc>
          <w:tcPr>
            <w:tcW w:w="900" w:type="dxa"/>
            <w:gridSpan w:val="2"/>
          </w:tcPr>
          <w:p>
            <w:pPr>
              <w:pStyle w:val="10"/>
              <w:spacing w:before="38"/>
              <w:ind w:left="7"/>
              <w:jc w:val="center"/>
              <w:rPr>
                <w:sz w:val="18"/>
              </w:rPr>
            </w:pPr>
            <w:r>
              <w:rPr>
                <w:sz w:val="18"/>
              </w:rPr>
              <w:t>□</w:t>
            </w:r>
          </w:p>
        </w:tc>
        <w:tc>
          <w:tcPr>
            <w:tcW w:w="1088" w:type="dxa"/>
            <w:gridSpan w:val="2"/>
          </w:tcPr>
          <w:p>
            <w:pPr>
              <w:pStyle w:val="10"/>
              <w:spacing w:before="38"/>
              <w:ind w:left="315"/>
              <w:rPr>
                <w:sz w:val="18"/>
              </w:rPr>
            </w:pPr>
            <w:r>
              <w:rPr>
                <w:sz w:val="18"/>
              </w:rPr>
              <w:t>8.1.4</w:t>
            </w:r>
          </w:p>
        </w:tc>
        <w:tc>
          <w:tcPr>
            <w:tcW w:w="1004" w:type="dxa"/>
          </w:tcPr>
          <w:p>
            <w:pPr>
              <w:pStyle w:val="10"/>
              <w:spacing w:before="38"/>
              <w:ind w:left="2"/>
              <w:jc w:val="center"/>
              <w:rPr>
                <w:sz w:val="18"/>
              </w:rPr>
            </w:pPr>
            <w:r>
              <w:rPr>
                <w:sz w:val="18"/>
              </w:rPr>
              <w:t>□</w:t>
            </w: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vMerge w:val="continue"/>
            <w:tcBorders>
              <w:top w:val="nil"/>
            </w:tcBorders>
          </w:tcPr>
          <w:p>
            <w:pPr>
              <w:rPr>
                <w:sz w:val="2"/>
                <w:szCs w:val="2"/>
              </w:rPr>
            </w:pPr>
          </w:p>
        </w:tc>
        <w:tc>
          <w:tcPr>
            <w:tcW w:w="1109" w:type="dxa"/>
          </w:tcPr>
          <w:p>
            <w:pPr>
              <w:pStyle w:val="10"/>
              <w:spacing w:before="38"/>
              <w:ind w:right="311"/>
              <w:jc w:val="right"/>
              <w:rPr>
                <w:sz w:val="18"/>
              </w:rPr>
            </w:pPr>
            <w:r>
              <w:rPr>
                <w:sz w:val="18"/>
              </w:rPr>
              <w:t>4.1.5</w:t>
            </w:r>
          </w:p>
        </w:tc>
        <w:tc>
          <w:tcPr>
            <w:tcW w:w="898" w:type="dxa"/>
          </w:tcPr>
          <w:p>
            <w:pPr>
              <w:pStyle w:val="10"/>
              <w:spacing w:before="38"/>
              <w:ind w:left="6"/>
              <w:jc w:val="center"/>
              <w:rPr>
                <w:sz w:val="18"/>
              </w:rPr>
            </w:pPr>
            <w:r>
              <w:rPr>
                <w:sz w:val="18"/>
              </w:rPr>
              <w:t>□</w:t>
            </w:r>
          </w:p>
        </w:tc>
        <w:tc>
          <w:tcPr>
            <w:tcW w:w="1109" w:type="dxa"/>
          </w:tcPr>
          <w:p>
            <w:pPr>
              <w:pStyle w:val="10"/>
              <w:spacing w:before="38"/>
              <w:ind w:left="310" w:right="299"/>
              <w:jc w:val="center"/>
              <w:rPr>
                <w:sz w:val="18"/>
              </w:rPr>
            </w:pPr>
            <w:r>
              <w:rPr>
                <w:sz w:val="18"/>
              </w:rPr>
              <w:t>5.1.5</w:t>
            </w:r>
          </w:p>
        </w:tc>
        <w:tc>
          <w:tcPr>
            <w:tcW w:w="898" w:type="dxa"/>
          </w:tcPr>
          <w:p>
            <w:pPr>
              <w:pStyle w:val="10"/>
              <w:spacing w:before="38"/>
              <w:ind w:left="5"/>
              <w:jc w:val="center"/>
              <w:rPr>
                <w:sz w:val="18"/>
              </w:rPr>
            </w:pPr>
            <w:r>
              <w:rPr>
                <w:sz w:val="18"/>
              </w:rPr>
              <w:t>□</w:t>
            </w:r>
          </w:p>
        </w:tc>
        <w:tc>
          <w:tcPr>
            <w:tcW w:w="1107" w:type="dxa"/>
          </w:tcPr>
          <w:p>
            <w:pPr>
              <w:pStyle w:val="10"/>
              <w:spacing w:before="38"/>
              <w:ind w:left="309" w:right="297"/>
              <w:jc w:val="center"/>
              <w:rPr>
                <w:sz w:val="18"/>
              </w:rPr>
            </w:pPr>
            <w:r>
              <w:rPr>
                <w:sz w:val="18"/>
              </w:rPr>
              <w:t>6.1.5</w:t>
            </w:r>
          </w:p>
        </w:tc>
        <w:tc>
          <w:tcPr>
            <w:tcW w:w="1061" w:type="dxa"/>
          </w:tcPr>
          <w:p>
            <w:pPr>
              <w:pStyle w:val="10"/>
              <w:spacing w:before="38"/>
              <w:ind w:left="9"/>
              <w:jc w:val="center"/>
              <w:rPr>
                <w:sz w:val="18"/>
              </w:rPr>
            </w:pPr>
            <w:r>
              <w:rPr>
                <w:sz w:val="18"/>
              </w:rPr>
              <w:t>□</w:t>
            </w:r>
          </w:p>
        </w:tc>
        <w:tc>
          <w:tcPr>
            <w:tcW w:w="1111" w:type="dxa"/>
          </w:tcPr>
          <w:p>
            <w:pPr>
              <w:pStyle w:val="10"/>
              <w:spacing w:before="38"/>
              <w:ind w:right="315"/>
              <w:jc w:val="right"/>
              <w:rPr>
                <w:sz w:val="18"/>
              </w:rPr>
            </w:pPr>
            <w:r>
              <w:rPr>
                <w:sz w:val="18"/>
              </w:rPr>
              <w:t>7.1.5</w:t>
            </w:r>
          </w:p>
        </w:tc>
        <w:tc>
          <w:tcPr>
            <w:tcW w:w="900" w:type="dxa"/>
            <w:gridSpan w:val="2"/>
          </w:tcPr>
          <w:p>
            <w:pPr>
              <w:pStyle w:val="10"/>
              <w:spacing w:before="38"/>
              <w:ind w:left="7"/>
              <w:jc w:val="center"/>
              <w:rPr>
                <w:sz w:val="18"/>
              </w:rPr>
            </w:pPr>
            <w:r>
              <w:rPr>
                <w:sz w:val="18"/>
              </w:rPr>
              <w:t>□</w:t>
            </w:r>
          </w:p>
        </w:tc>
        <w:tc>
          <w:tcPr>
            <w:tcW w:w="1088" w:type="dxa"/>
            <w:gridSpan w:val="2"/>
          </w:tcPr>
          <w:p>
            <w:pPr>
              <w:pStyle w:val="10"/>
              <w:spacing w:before="38"/>
              <w:ind w:left="315"/>
              <w:rPr>
                <w:sz w:val="18"/>
              </w:rPr>
            </w:pPr>
            <w:r>
              <w:rPr>
                <w:sz w:val="18"/>
              </w:rPr>
              <w:t>8.1.5</w:t>
            </w:r>
          </w:p>
        </w:tc>
        <w:tc>
          <w:tcPr>
            <w:tcW w:w="1004" w:type="dxa"/>
          </w:tcPr>
          <w:p>
            <w:pPr>
              <w:pStyle w:val="10"/>
              <w:spacing w:before="38"/>
              <w:ind w:left="2"/>
              <w:jc w:val="center"/>
              <w:rPr>
                <w:sz w:val="18"/>
              </w:rPr>
            </w:pPr>
            <w:r>
              <w:rPr>
                <w:sz w:val="18"/>
              </w:rPr>
              <w:t>□</w:t>
            </w: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vMerge w:val="continue"/>
            <w:tcBorders>
              <w:top w:val="nil"/>
            </w:tcBorders>
          </w:tcPr>
          <w:p>
            <w:pPr>
              <w:rPr>
                <w:sz w:val="2"/>
                <w:szCs w:val="2"/>
              </w:rPr>
            </w:pPr>
          </w:p>
        </w:tc>
        <w:tc>
          <w:tcPr>
            <w:tcW w:w="1109" w:type="dxa"/>
          </w:tcPr>
          <w:p>
            <w:pPr>
              <w:pStyle w:val="10"/>
              <w:spacing w:before="38"/>
              <w:ind w:right="311"/>
              <w:jc w:val="right"/>
              <w:rPr>
                <w:sz w:val="18"/>
              </w:rPr>
            </w:pPr>
            <w:r>
              <w:rPr>
                <w:sz w:val="18"/>
              </w:rPr>
              <w:t>4.1.6</w:t>
            </w:r>
          </w:p>
        </w:tc>
        <w:tc>
          <w:tcPr>
            <w:tcW w:w="898" w:type="dxa"/>
          </w:tcPr>
          <w:p>
            <w:pPr>
              <w:pStyle w:val="10"/>
              <w:spacing w:before="38"/>
              <w:ind w:left="6"/>
              <w:jc w:val="center"/>
              <w:rPr>
                <w:sz w:val="18"/>
              </w:rPr>
            </w:pPr>
            <w:r>
              <w:rPr>
                <w:sz w:val="18"/>
              </w:rPr>
              <w:t>□</w:t>
            </w:r>
          </w:p>
        </w:tc>
        <w:tc>
          <w:tcPr>
            <w:tcW w:w="1109" w:type="dxa"/>
          </w:tcPr>
          <w:p>
            <w:pPr>
              <w:pStyle w:val="10"/>
              <w:spacing w:before="38"/>
              <w:ind w:left="310" w:right="299"/>
              <w:jc w:val="center"/>
              <w:rPr>
                <w:sz w:val="18"/>
              </w:rPr>
            </w:pPr>
            <w:r>
              <w:rPr>
                <w:sz w:val="18"/>
              </w:rPr>
              <w:t>5.1.6</w:t>
            </w:r>
          </w:p>
        </w:tc>
        <w:tc>
          <w:tcPr>
            <w:tcW w:w="898" w:type="dxa"/>
          </w:tcPr>
          <w:p>
            <w:pPr>
              <w:pStyle w:val="10"/>
              <w:spacing w:before="38"/>
              <w:ind w:left="5"/>
              <w:jc w:val="center"/>
              <w:rPr>
                <w:sz w:val="18"/>
              </w:rPr>
            </w:pPr>
            <w:r>
              <w:rPr>
                <w:sz w:val="18"/>
              </w:rPr>
              <w:t>□</w:t>
            </w:r>
          </w:p>
        </w:tc>
        <w:tc>
          <w:tcPr>
            <w:tcW w:w="1107" w:type="dxa"/>
          </w:tcPr>
          <w:p>
            <w:pPr>
              <w:pStyle w:val="10"/>
              <w:spacing w:before="38"/>
              <w:ind w:left="309" w:right="297"/>
              <w:jc w:val="center"/>
              <w:rPr>
                <w:sz w:val="18"/>
              </w:rPr>
            </w:pPr>
            <w:r>
              <w:rPr>
                <w:sz w:val="18"/>
              </w:rPr>
              <w:t>6.1.6</w:t>
            </w:r>
          </w:p>
        </w:tc>
        <w:tc>
          <w:tcPr>
            <w:tcW w:w="1061" w:type="dxa"/>
          </w:tcPr>
          <w:p>
            <w:pPr>
              <w:pStyle w:val="10"/>
              <w:spacing w:before="38"/>
              <w:ind w:left="9"/>
              <w:jc w:val="center"/>
              <w:rPr>
                <w:sz w:val="18"/>
              </w:rPr>
            </w:pPr>
            <w:r>
              <w:rPr>
                <w:sz w:val="18"/>
              </w:rPr>
              <w:t>□</w:t>
            </w:r>
          </w:p>
        </w:tc>
        <w:tc>
          <w:tcPr>
            <w:tcW w:w="1111" w:type="dxa"/>
          </w:tcPr>
          <w:p>
            <w:pPr>
              <w:pStyle w:val="10"/>
              <w:spacing w:before="38"/>
              <w:ind w:right="315"/>
              <w:jc w:val="right"/>
              <w:rPr>
                <w:sz w:val="18"/>
              </w:rPr>
            </w:pPr>
            <w:r>
              <w:rPr>
                <w:sz w:val="18"/>
              </w:rPr>
              <w:t>7.1.6</w:t>
            </w:r>
          </w:p>
        </w:tc>
        <w:tc>
          <w:tcPr>
            <w:tcW w:w="900" w:type="dxa"/>
            <w:gridSpan w:val="2"/>
          </w:tcPr>
          <w:p>
            <w:pPr>
              <w:pStyle w:val="10"/>
              <w:spacing w:before="38"/>
              <w:ind w:left="7"/>
              <w:jc w:val="center"/>
              <w:rPr>
                <w:sz w:val="18"/>
              </w:rPr>
            </w:pPr>
            <w:r>
              <w:rPr>
                <w:sz w:val="18"/>
              </w:rPr>
              <w:t>□</w:t>
            </w:r>
          </w:p>
        </w:tc>
        <w:tc>
          <w:tcPr>
            <w:tcW w:w="1088" w:type="dxa"/>
            <w:gridSpan w:val="2"/>
          </w:tcPr>
          <w:p>
            <w:pPr>
              <w:pStyle w:val="10"/>
              <w:spacing w:before="38"/>
              <w:ind w:left="315"/>
              <w:rPr>
                <w:sz w:val="18"/>
              </w:rPr>
            </w:pPr>
            <w:r>
              <w:rPr>
                <w:sz w:val="18"/>
              </w:rPr>
              <w:t>8.1.6</w:t>
            </w:r>
          </w:p>
        </w:tc>
        <w:tc>
          <w:tcPr>
            <w:tcW w:w="1004" w:type="dxa"/>
          </w:tcPr>
          <w:p>
            <w:pPr>
              <w:pStyle w:val="10"/>
              <w:spacing w:before="38"/>
              <w:ind w:left="2"/>
              <w:jc w:val="center"/>
              <w:rPr>
                <w:sz w:val="18"/>
              </w:rPr>
            </w:pPr>
            <w:r>
              <w:rPr>
                <w:sz w:val="18"/>
              </w:rPr>
              <w:t>□</w:t>
            </w: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1639" w:type="dxa"/>
            <w:vMerge w:val="continue"/>
            <w:tcBorders>
              <w:top w:val="nil"/>
            </w:tcBorders>
          </w:tcPr>
          <w:p>
            <w:pPr>
              <w:rPr>
                <w:sz w:val="2"/>
                <w:szCs w:val="2"/>
              </w:rPr>
            </w:pPr>
          </w:p>
        </w:tc>
        <w:tc>
          <w:tcPr>
            <w:tcW w:w="1109" w:type="dxa"/>
          </w:tcPr>
          <w:p>
            <w:pPr>
              <w:pStyle w:val="10"/>
              <w:spacing w:before="40"/>
              <w:ind w:right="311"/>
              <w:jc w:val="right"/>
              <w:rPr>
                <w:sz w:val="18"/>
              </w:rPr>
            </w:pPr>
            <w:r>
              <w:rPr>
                <w:sz w:val="18"/>
              </w:rPr>
              <w:t>4.1.7</w:t>
            </w:r>
          </w:p>
        </w:tc>
        <w:tc>
          <w:tcPr>
            <w:tcW w:w="898" w:type="dxa"/>
          </w:tcPr>
          <w:p>
            <w:pPr>
              <w:pStyle w:val="10"/>
              <w:spacing w:before="40"/>
              <w:ind w:left="6"/>
              <w:jc w:val="center"/>
              <w:rPr>
                <w:sz w:val="18"/>
              </w:rPr>
            </w:pPr>
            <w:r>
              <w:rPr>
                <w:sz w:val="18"/>
              </w:rPr>
              <w:t>□</w:t>
            </w:r>
          </w:p>
        </w:tc>
        <w:tc>
          <w:tcPr>
            <w:tcW w:w="1109" w:type="dxa"/>
          </w:tcPr>
          <w:p>
            <w:pPr>
              <w:pStyle w:val="10"/>
              <w:spacing w:before="40"/>
              <w:ind w:left="310" w:right="299"/>
              <w:jc w:val="center"/>
              <w:rPr>
                <w:sz w:val="18"/>
              </w:rPr>
            </w:pPr>
            <w:r>
              <w:rPr>
                <w:sz w:val="18"/>
              </w:rPr>
              <w:t>5.1.7</w:t>
            </w:r>
          </w:p>
        </w:tc>
        <w:tc>
          <w:tcPr>
            <w:tcW w:w="898" w:type="dxa"/>
          </w:tcPr>
          <w:p>
            <w:pPr>
              <w:pStyle w:val="10"/>
              <w:spacing w:before="40"/>
              <w:ind w:left="5"/>
              <w:jc w:val="center"/>
              <w:rPr>
                <w:sz w:val="18"/>
              </w:rPr>
            </w:pPr>
            <w:r>
              <w:rPr>
                <w:sz w:val="18"/>
              </w:rPr>
              <w:t>□</w:t>
            </w:r>
          </w:p>
        </w:tc>
        <w:tc>
          <w:tcPr>
            <w:tcW w:w="1107" w:type="dxa"/>
          </w:tcPr>
          <w:p>
            <w:pPr>
              <w:pStyle w:val="10"/>
              <w:rPr>
                <w:rFonts w:ascii="Times New Roman"/>
                <w:sz w:val="18"/>
              </w:rPr>
            </w:pPr>
          </w:p>
        </w:tc>
        <w:tc>
          <w:tcPr>
            <w:tcW w:w="1061" w:type="dxa"/>
          </w:tcPr>
          <w:p>
            <w:pPr>
              <w:pStyle w:val="10"/>
              <w:rPr>
                <w:rFonts w:ascii="Times New Roman"/>
                <w:sz w:val="18"/>
              </w:rPr>
            </w:pPr>
          </w:p>
        </w:tc>
        <w:tc>
          <w:tcPr>
            <w:tcW w:w="1111" w:type="dxa"/>
          </w:tcPr>
          <w:p>
            <w:pPr>
              <w:pStyle w:val="10"/>
              <w:spacing w:before="40"/>
              <w:ind w:right="315"/>
              <w:jc w:val="right"/>
              <w:rPr>
                <w:sz w:val="18"/>
              </w:rPr>
            </w:pPr>
            <w:r>
              <w:rPr>
                <w:sz w:val="18"/>
              </w:rPr>
              <w:t>7.1.7</w:t>
            </w:r>
          </w:p>
        </w:tc>
        <w:tc>
          <w:tcPr>
            <w:tcW w:w="900" w:type="dxa"/>
            <w:gridSpan w:val="2"/>
          </w:tcPr>
          <w:p>
            <w:pPr>
              <w:pStyle w:val="10"/>
              <w:spacing w:before="40"/>
              <w:ind w:left="6"/>
              <w:jc w:val="center"/>
              <w:rPr>
                <w:sz w:val="18"/>
              </w:rPr>
            </w:pPr>
            <w:r>
              <w:rPr>
                <w:sz w:val="18"/>
              </w:rPr>
              <w:t>□</w:t>
            </w:r>
          </w:p>
        </w:tc>
        <w:tc>
          <w:tcPr>
            <w:tcW w:w="1088" w:type="dxa"/>
            <w:gridSpan w:val="2"/>
          </w:tcPr>
          <w:p>
            <w:pPr>
              <w:pStyle w:val="10"/>
              <w:spacing w:before="40"/>
              <w:ind w:left="315"/>
              <w:rPr>
                <w:sz w:val="18"/>
              </w:rPr>
            </w:pPr>
            <w:r>
              <w:rPr>
                <w:sz w:val="18"/>
              </w:rPr>
              <w:t>8.1.7</w:t>
            </w:r>
          </w:p>
        </w:tc>
        <w:tc>
          <w:tcPr>
            <w:tcW w:w="1004" w:type="dxa"/>
          </w:tcPr>
          <w:p>
            <w:pPr>
              <w:pStyle w:val="10"/>
              <w:spacing w:before="40"/>
              <w:ind w:left="2"/>
              <w:jc w:val="center"/>
              <w:rPr>
                <w:sz w:val="18"/>
              </w:rPr>
            </w:pPr>
            <w:r>
              <w:rPr>
                <w:sz w:val="18"/>
              </w:rPr>
              <w:t>□</w:t>
            </w: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vMerge w:val="continue"/>
            <w:tcBorders>
              <w:top w:val="nil"/>
            </w:tcBorders>
          </w:tcPr>
          <w:p>
            <w:pPr>
              <w:rPr>
                <w:sz w:val="2"/>
                <w:szCs w:val="2"/>
              </w:rPr>
            </w:pPr>
          </w:p>
        </w:tc>
        <w:tc>
          <w:tcPr>
            <w:tcW w:w="1109" w:type="dxa"/>
          </w:tcPr>
          <w:p>
            <w:pPr>
              <w:pStyle w:val="10"/>
              <w:spacing w:before="38"/>
              <w:ind w:right="311"/>
              <w:jc w:val="right"/>
              <w:rPr>
                <w:sz w:val="18"/>
              </w:rPr>
            </w:pPr>
            <w:r>
              <w:rPr>
                <w:sz w:val="18"/>
              </w:rPr>
              <w:t>4.1.8</w:t>
            </w:r>
          </w:p>
        </w:tc>
        <w:tc>
          <w:tcPr>
            <w:tcW w:w="898" w:type="dxa"/>
          </w:tcPr>
          <w:p>
            <w:pPr>
              <w:pStyle w:val="10"/>
              <w:spacing w:before="38"/>
              <w:ind w:left="6"/>
              <w:jc w:val="center"/>
              <w:rPr>
                <w:sz w:val="18"/>
              </w:rPr>
            </w:pPr>
            <w:r>
              <w:rPr>
                <w:sz w:val="18"/>
              </w:rPr>
              <w:t>□</w:t>
            </w:r>
          </w:p>
        </w:tc>
        <w:tc>
          <w:tcPr>
            <w:tcW w:w="1109" w:type="dxa"/>
          </w:tcPr>
          <w:p>
            <w:pPr>
              <w:pStyle w:val="10"/>
              <w:spacing w:before="38"/>
              <w:ind w:left="310" w:right="299"/>
              <w:jc w:val="center"/>
              <w:rPr>
                <w:sz w:val="18"/>
              </w:rPr>
            </w:pPr>
            <w:r>
              <w:rPr>
                <w:sz w:val="18"/>
              </w:rPr>
              <w:t>5.1.8</w:t>
            </w:r>
          </w:p>
        </w:tc>
        <w:tc>
          <w:tcPr>
            <w:tcW w:w="898" w:type="dxa"/>
          </w:tcPr>
          <w:p>
            <w:pPr>
              <w:pStyle w:val="10"/>
              <w:spacing w:before="38"/>
              <w:ind w:left="5"/>
              <w:jc w:val="center"/>
              <w:rPr>
                <w:sz w:val="18"/>
              </w:rPr>
            </w:pPr>
            <w:r>
              <w:rPr>
                <w:sz w:val="18"/>
              </w:rPr>
              <w:t>□</w:t>
            </w:r>
          </w:p>
        </w:tc>
        <w:tc>
          <w:tcPr>
            <w:tcW w:w="1107" w:type="dxa"/>
          </w:tcPr>
          <w:p>
            <w:pPr>
              <w:pStyle w:val="10"/>
              <w:rPr>
                <w:rFonts w:ascii="Times New Roman"/>
                <w:sz w:val="18"/>
              </w:rPr>
            </w:pPr>
          </w:p>
        </w:tc>
        <w:tc>
          <w:tcPr>
            <w:tcW w:w="1061" w:type="dxa"/>
          </w:tcPr>
          <w:p>
            <w:pPr>
              <w:pStyle w:val="10"/>
              <w:rPr>
                <w:rFonts w:ascii="Times New Roman"/>
                <w:sz w:val="18"/>
              </w:rPr>
            </w:pPr>
          </w:p>
        </w:tc>
        <w:tc>
          <w:tcPr>
            <w:tcW w:w="1111" w:type="dxa"/>
          </w:tcPr>
          <w:p>
            <w:pPr>
              <w:pStyle w:val="10"/>
              <w:spacing w:before="38"/>
              <w:ind w:right="315"/>
              <w:jc w:val="right"/>
              <w:rPr>
                <w:sz w:val="18"/>
              </w:rPr>
            </w:pPr>
            <w:r>
              <w:rPr>
                <w:sz w:val="18"/>
              </w:rPr>
              <w:t>7.1.8</w:t>
            </w:r>
          </w:p>
        </w:tc>
        <w:tc>
          <w:tcPr>
            <w:tcW w:w="900" w:type="dxa"/>
            <w:gridSpan w:val="2"/>
          </w:tcPr>
          <w:p>
            <w:pPr>
              <w:pStyle w:val="10"/>
              <w:spacing w:before="38"/>
              <w:ind w:left="6"/>
              <w:jc w:val="center"/>
              <w:rPr>
                <w:sz w:val="18"/>
              </w:rPr>
            </w:pPr>
            <w:r>
              <w:rPr>
                <w:sz w:val="18"/>
              </w:rPr>
              <w:t>□</w:t>
            </w:r>
          </w:p>
        </w:tc>
        <w:tc>
          <w:tcPr>
            <w:tcW w:w="1088" w:type="dxa"/>
            <w:gridSpan w:val="2"/>
          </w:tcPr>
          <w:p>
            <w:pPr>
              <w:pStyle w:val="10"/>
              <w:rPr>
                <w:rFonts w:ascii="Times New Roman"/>
                <w:sz w:val="18"/>
              </w:rPr>
            </w:pPr>
          </w:p>
        </w:tc>
        <w:tc>
          <w:tcPr>
            <w:tcW w:w="1004" w:type="dxa"/>
          </w:tcPr>
          <w:p>
            <w:pPr>
              <w:pStyle w:val="10"/>
              <w:rPr>
                <w:rFonts w:ascii="Times New Roman"/>
                <w:sz w:val="18"/>
              </w:rPr>
            </w:pP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vMerge w:val="continue"/>
            <w:tcBorders>
              <w:top w:val="nil"/>
            </w:tcBorders>
          </w:tcPr>
          <w:p>
            <w:pPr>
              <w:rPr>
                <w:sz w:val="2"/>
                <w:szCs w:val="2"/>
              </w:rPr>
            </w:pPr>
          </w:p>
        </w:tc>
        <w:tc>
          <w:tcPr>
            <w:tcW w:w="1109" w:type="dxa"/>
          </w:tcPr>
          <w:p>
            <w:pPr>
              <w:pStyle w:val="10"/>
              <w:rPr>
                <w:rFonts w:ascii="Times New Roman"/>
                <w:sz w:val="18"/>
              </w:rPr>
            </w:pPr>
          </w:p>
        </w:tc>
        <w:tc>
          <w:tcPr>
            <w:tcW w:w="898" w:type="dxa"/>
          </w:tcPr>
          <w:p>
            <w:pPr>
              <w:pStyle w:val="10"/>
              <w:rPr>
                <w:rFonts w:ascii="Times New Roman"/>
                <w:sz w:val="18"/>
              </w:rPr>
            </w:pPr>
          </w:p>
        </w:tc>
        <w:tc>
          <w:tcPr>
            <w:tcW w:w="1109" w:type="dxa"/>
          </w:tcPr>
          <w:p>
            <w:pPr>
              <w:pStyle w:val="10"/>
              <w:spacing w:before="38"/>
              <w:ind w:left="310" w:right="299"/>
              <w:jc w:val="center"/>
              <w:rPr>
                <w:sz w:val="18"/>
              </w:rPr>
            </w:pPr>
            <w:r>
              <w:rPr>
                <w:sz w:val="18"/>
              </w:rPr>
              <w:t>5.1.9</w:t>
            </w:r>
          </w:p>
        </w:tc>
        <w:tc>
          <w:tcPr>
            <w:tcW w:w="898" w:type="dxa"/>
          </w:tcPr>
          <w:p>
            <w:pPr>
              <w:pStyle w:val="10"/>
              <w:spacing w:before="38"/>
              <w:ind w:left="5"/>
              <w:jc w:val="center"/>
              <w:rPr>
                <w:sz w:val="18"/>
              </w:rPr>
            </w:pPr>
            <w:r>
              <w:rPr>
                <w:sz w:val="18"/>
              </w:rPr>
              <w:t>□</w:t>
            </w:r>
          </w:p>
        </w:tc>
        <w:tc>
          <w:tcPr>
            <w:tcW w:w="1107" w:type="dxa"/>
          </w:tcPr>
          <w:p>
            <w:pPr>
              <w:pStyle w:val="10"/>
              <w:rPr>
                <w:rFonts w:ascii="Times New Roman"/>
                <w:sz w:val="18"/>
              </w:rPr>
            </w:pPr>
          </w:p>
        </w:tc>
        <w:tc>
          <w:tcPr>
            <w:tcW w:w="1061" w:type="dxa"/>
          </w:tcPr>
          <w:p>
            <w:pPr>
              <w:pStyle w:val="10"/>
              <w:rPr>
                <w:rFonts w:ascii="Times New Roman"/>
                <w:sz w:val="18"/>
              </w:rPr>
            </w:pPr>
          </w:p>
        </w:tc>
        <w:tc>
          <w:tcPr>
            <w:tcW w:w="1111" w:type="dxa"/>
          </w:tcPr>
          <w:p>
            <w:pPr>
              <w:pStyle w:val="10"/>
              <w:spacing w:before="38"/>
              <w:ind w:right="315"/>
              <w:jc w:val="right"/>
              <w:rPr>
                <w:sz w:val="18"/>
              </w:rPr>
            </w:pPr>
            <w:r>
              <w:rPr>
                <w:sz w:val="18"/>
              </w:rPr>
              <w:t>7.1.9</w:t>
            </w:r>
          </w:p>
        </w:tc>
        <w:tc>
          <w:tcPr>
            <w:tcW w:w="900" w:type="dxa"/>
            <w:gridSpan w:val="2"/>
          </w:tcPr>
          <w:p>
            <w:pPr>
              <w:pStyle w:val="10"/>
              <w:spacing w:before="38"/>
              <w:ind w:left="6"/>
              <w:jc w:val="center"/>
              <w:rPr>
                <w:sz w:val="18"/>
              </w:rPr>
            </w:pPr>
            <w:r>
              <w:rPr>
                <w:sz w:val="18"/>
              </w:rPr>
              <w:t>□</w:t>
            </w:r>
          </w:p>
        </w:tc>
        <w:tc>
          <w:tcPr>
            <w:tcW w:w="1088" w:type="dxa"/>
            <w:gridSpan w:val="2"/>
          </w:tcPr>
          <w:p>
            <w:pPr>
              <w:pStyle w:val="10"/>
              <w:rPr>
                <w:rFonts w:ascii="Times New Roman"/>
                <w:sz w:val="18"/>
              </w:rPr>
            </w:pPr>
          </w:p>
        </w:tc>
        <w:tc>
          <w:tcPr>
            <w:tcW w:w="1004" w:type="dxa"/>
          </w:tcPr>
          <w:p>
            <w:pPr>
              <w:pStyle w:val="10"/>
              <w:rPr>
                <w:rFonts w:ascii="Times New Roman"/>
                <w:sz w:val="18"/>
              </w:rPr>
            </w:pP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vMerge w:val="continue"/>
            <w:tcBorders>
              <w:top w:val="nil"/>
            </w:tcBorders>
          </w:tcPr>
          <w:p>
            <w:pPr>
              <w:rPr>
                <w:sz w:val="2"/>
                <w:szCs w:val="2"/>
              </w:rPr>
            </w:pPr>
          </w:p>
        </w:tc>
        <w:tc>
          <w:tcPr>
            <w:tcW w:w="1109" w:type="dxa"/>
          </w:tcPr>
          <w:p>
            <w:pPr>
              <w:pStyle w:val="10"/>
              <w:rPr>
                <w:rFonts w:ascii="Times New Roman"/>
                <w:sz w:val="18"/>
              </w:rPr>
            </w:pPr>
          </w:p>
        </w:tc>
        <w:tc>
          <w:tcPr>
            <w:tcW w:w="898" w:type="dxa"/>
          </w:tcPr>
          <w:p>
            <w:pPr>
              <w:pStyle w:val="10"/>
              <w:rPr>
                <w:rFonts w:ascii="Times New Roman"/>
                <w:sz w:val="18"/>
              </w:rPr>
            </w:pPr>
          </w:p>
        </w:tc>
        <w:tc>
          <w:tcPr>
            <w:tcW w:w="1109" w:type="dxa"/>
          </w:tcPr>
          <w:p>
            <w:pPr>
              <w:pStyle w:val="10"/>
              <w:rPr>
                <w:rFonts w:ascii="Times New Roman"/>
                <w:sz w:val="18"/>
              </w:rPr>
            </w:pPr>
          </w:p>
        </w:tc>
        <w:tc>
          <w:tcPr>
            <w:tcW w:w="898" w:type="dxa"/>
          </w:tcPr>
          <w:p>
            <w:pPr>
              <w:pStyle w:val="10"/>
              <w:rPr>
                <w:rFonts w:ascii="Times New Roman"/>
                <w:sz w:val="18"/>
              </w:rPr>
            </w:pPr>
          </w:p>
        </w:tc>
        <w:tc>
          <w:tcPr>
            <w:tcW w:w="1107" w:type="dxa"/>
          </w:tcPr>
          <w:p>
            <w:pPr>
              <w:pStyle w:val="10"/>
              <w:rPr>
                <w:rFonts w:ascii="Times New Roman"/>
                <w:sz w:val="18"/>
              </w:rPr>
            </w:pPr>
          </w:p>
        </w:tc>
        <w:tc>
          <w:tcPr>
            <w:tcW w:w="1061" w:type="dxa"/>
          </w:tcPr>
          <w:p>
            <w:pPr>
              <w:pStyle w:val="10"/>
              <w:rPr>
                <w:rFonts w:ascii="Times New Roman"/>
                <w:sz w:val="18"/>
              </w:rPr>
            </w:pPr>
          </w:p>
        </w:tc>
        <w:tc>
          <w:tcPr>
            <w:tcW w:w="1111" w:type="dxa"/>
          </w:tcPr>
          <w:p>
            <w:pPr>
              <w:pStyle w:val="10"/>
              <w:spacing w:before="38"/>
              <w:ind w:right="274"/>
              <w:jc w:val="right"/>
              <w:rPr>
                <w:sz w:val="18"/>
              </w:rPr>
            </w:pPr>
            <w:r>
              <w:rPr>
                <w:sz w:val="18"/>
              </w:rPr>
              <w:t>7.1.10</w:t>
            </w:r>
          </w:p>
        </w:tc>
        <w:tc>
          <w:tcPr>
            <w:tcW w:w="900" w:type="dxa"/>
            <w:gridSpan w:val="2"/>
          </w:tcPr>
          <w:p>
            <w:pPr>
              <w:pStyle w:val="10"/>
              <w:spacing w:before="38"/>
              <w:ind w:left="6"/>
              <w:jc w:val="center"/>
              <w:rPr>
                <w:sz w:val="18"/>
              </w:rPr>
            </w:pPr>
            <w:r>
              <w:rPr>
                <w:sz w:val="18"/>
              </w:rPr>
              <w:t>□</w:t>
            </w:r>
          </w:p>
        </w:tc>
        <w:tc>
          <w:tcPr>
            <w:tcW w:w="1088" w:type="dxa"/>
            <w:gridSpan w:val="2"/>
          </w:tcPr>
          <w:p>
            <w:pPr>
              <w:pStyle w:val="10"/>
              <w:rPr>
                <w:rFonts w:ascii="Times New Roman"/>
                <w:sz w:val="18"/>
              </w:rPr>
            </w:pPr>
          </w:p>
        </w:tc>
        <w:tc>
          <w:tcPr>
            <w:tcW w:w="1004" w:type="dxa"/>
          </w:tcPr>
          <w:p>
            <w:pPr>
              <w:pStyle w:val="10"/>
              <w:rPr>
                <w:rFonts w:ascii="Times New Roman"/>
                <w:sz w:val="18"/>
              </w:rPr>
            </w:pP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tcPr>
          <w:p>
            <w:pPr>
              <w:pStyle w:val="10"/>
              <w:spacing w:before="38"/>
              <w:ind w:left="169" w:right="160"/>
              <w:jc w:val="center"/>
              <w:rPr>
                <w:sz w:val="18"/>
              </w:rPr>
            </w:pPr>
            <w:r>
              <w:rPr>
                <w:sz w:val="18"/>
              </w:rPr>
              <w:t>控制项通过情况</w:t>
            </w:r>
          </w:p>
        </w:tc>
        <w:tc>
          <w:tcPr>
            <w:tcW w:w="2007" w:type="dxa"/>
            <w:gridSpan w:val="2"/>
          </w:tcPr>
          <w:p>
            <w:pPr>
              <w:pStyle w:val="10"/>
              <w:tabs>
                <w:tab w:val="left" w:pos="1096"/>
              </w:tabs>
              <w:spacing w:before="38"/>
              <w:ind w:left="194"/>
              <w:rPr>
                <w:sz w:val="18"/>
              </w:rPr>
            </w:pPr>
            <w:r>
              <w:rPr>
                <w:sz w:val="18"/>
              </w:rPr>
              <w:t>□达标</w:t>
            </w:r>
            <w:r>
              <w:rPr>
                <w:sz w:val="18"/>
              </w:rPr>
              <w:tab/>
            </w:r>
            <w:r>
              <w:rPr>
                <w:sz w:val="18"/>
              </w:rPr>
              <w:t>□未达标</w:t>
            </w:r>
          </w:p>
        </w:tc>
        <w:tc>
          <w:tcPr>
            <w:tcW w:w="2007" w:type="dxa"/>
            <w:gridSpan w:val="2"/>
          </w:tcPr>
          <w:p>
            <w:pPr>
              <w:pStyle w:val="10"/>
              <w:tabs>
                <w:tab w:val="left" w:pos="1093"/>
              </w:tabs>
              <w:spacing w:before="38"/>
              <w:ind w:left="191"/>
              <w:rPr>
                <w:sz w:val="18"/>
              </w:rPr>
            </w:pPr>
            <w:r>
              <w:rPr>
                <w:sz w:val="18"/>
              </w:rPr>
              <w:t>□达标</w:t>
            </w:r>
            <w:r>
              <w:rPr>
                <w:sz w:val="18"/>
              </w:rPr>
              <w:tab/>
            </w:r>
            <w:r>
              <w:rPr>
                <w:sz w:val="18"/>
              </w:rPr>
              <w:t>□未达标</w:t>
            </w:r>
          </w:p>
        </w:tc>
        <w:tc>
          <w:tcPr>
            <w:tcW w:w="2168" w:type="dxa"/>
            <w:gridSpan w:val="2"/>
          </w:tcPr>
          <w:p>
            <w:pPr>
              <w:pStyle w:val="10"/>
              <w:tabs>
                <w:tab w:val="left" w:pos="1174"/>
              </w:tabs>
              <w:spacing w:before="38"/>
              <w:ind w:left="272"/>
              <w:rPr>
                <w:sz w:val="18"/>
              </w:rPr>
            </w:pPr>
            <w:r>
              <w:rPr>
                <w:sz w:val="18"/>
              </w:rPr>
              <w:t>□达标</w:t>
            </w:r>
            <w:r>
              <w:rPr>
                <w:sz w:val="18"/>
              </w:rPr>
              <w:tab/>
            </w:r>
            <w:r>
              <w:rPr>
                <w:sz w:val="18"/>
              </w:rPr>
              <w:t>□未达标</w:t>
            </w:r>
          </w:p>
        </w:tc>
        <w:tc>
          <w:tcPr>
            <w:tcW w:w="2011" w:type="dxa"/>
            <w:gridSpan w:val="3"/>
          </w:tcPr>
          <w:p>
            <w:pPr>
              <w:pStyle w:val="10"/>
              <w:tabs>
                <w:tab w:val="left" w:pos="1097"/>
              </w:tabs>
              <w:spacing w:before="38"/>
              <w:ind w:left="194"/>
              <w:rPr>
                <w:sz w:val="18"/>
              </w:rPr>
            </w:pPr>
            <w:r>
              <w:rPr>
                <w:sz w:val="18"/>
              </w:rPr>
              <w:t>□达标</w:t>
            </w:r>
            <w:r>
              <w:rPr>
                <w:sz w:val="18"/>
              </w:rPr>
              <w:tab/>
            </w:r>
            <w:r>
              <w:rPr>
                <w:sz w:val="18"/>
              </w:rPr>
              <w:t>□未达标</w:t>
            </w:r>
          </w:p>
        </w:tc>
        <w:tc>
          <w:tcPr>
            <w:tcW w:w="2092" w:type="dxa"/>
            <w:gridSpan w:val="3"/>
          </w:tcPr>
          <w:p>
            <w:pPr>
              <w:pStyle w:val="10"/>
              <w:tabs>
                <w:tab w:val="left" w:pos="1135"/>
              </w:tabs>
              <w:spacing w:before="38"/>
              <w:ind w:left="233"/>
              <w:rPr>
                <w:sz w:val="18"/>
              </w:rPr>
            </w:pPr>
            <w:r>
              <w:rPr>
                <w:sz w:val="18"/>
              </w:rPr>
              <w:t>□达标</w:t>
            </w:r>
            <w:r>
              <w:rPr>
                <w:sz w:val="18"/>
              </w:rPr>
              <w:tab/>
            </w:r>
            <w:r>
              <w:rPr>
                <w:sz w:val="18"/>
              </w:rPr>
              <w:t>□未达标</w:t>
            </w:r>
          </w:p>
        </w:tc>
        <w:tc>
          <w:tcPr>
            <w:tcW w:w="2482" w:type="dxa"/>
            <w:gridSpan w:val="2"/>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1" w:hRule="atLeast"/>
        </w:trPr>
        <w:tc>
          <w:tcPr>
            <w:tcW w:w="1639" w:type="dxa"/>
            <w:vMerge w:val="restart"/>
          </w:tcPr>
          <w:p>
            <w:pPr>
              <w:pStyle w:val="10"/>
              <w:spacing w:before="1"/>
              <w:rPr>
                <w:rFonts w:ascii="黑体"/>
                <w:sz w:val="16"/>
              </w:rPr>
            </w:pPr>
          </w:p>
          <w:p>
            <w:pPr>
              <w:pStyle w:val="10"/>
              <w:ind w:left="278"/>
              <w:rPr>
                <w:sz w:val="18"/>
              </w:rPr>
            </w:pPr>
            <w:r>
              <w:rPr>
                <w:sz w:val="18"/>
              </w:rPr>
              <w:t>自审人员签字</w:t>
            </w:r>
          </w:p>
        </w:tc>
        <w:tc>
          <w:tcPr>
            <w:tcW w:w="2007" w:type="dxa"/>
            <w:gridSpan w:val="2"/>
          </w:tcPr>
          <w:p>
            <w:pPr>
              <w:pStyle w:val="10"/>
              <w:spacing w:before="38"/>
              <w:ind w:left="110"/>
              <w:rPr>
                <w:sz w:val="18"/>
              </w:rPr>
            </w:pPr>
            <w:r>
              <w:rPr>
                <w:sz w:val="18"/>
              </w:rPr>
              <w:t>自审：</w:t>
            </w:r>
          </w:p>
        </w:tc>
        <w:tc>
          <w:tcPr>
            <w:tcW w:w="2007" w:type="dxa"/>
            <w:gridSpan w:val="2"/>
          </w:tcPr>
          <w:p>
            <w:pPr>
              <w:pStyle w:val="10"/>
              <w:spacing w:before="38"/>
              <w:ind w:left="107"/>
              <w:rPr>
                <w:sz w:val="18"/>
              </w:rPr>
            </w:pPr>
            <w:r>
              <w:rPr>
                <w:sz w:val="18"/>
              </w:rPr>
              <w:t>自审：</w:t>
            </w:r>
          </w:p>
        </w:tc>
        <w:tc>
          <w:tcPr>
            <w:tcW w:w="2168" w:type="dxa"/>
            <w:gridSpan w:val="2"/>
          </w:tcPr>
          <w:p>
            <w:pPr>
              <w:pStyle w:val="10"/>
              <w:spacing w:before="38"/>
              <w:ind w:left="106"/>
              <w:rPr>
                <w:sz w:val="18"/>
              </w:rPr>
            </w:pPr>
            <w:r>
              <w:rPr>
                <w:sz w:val="18"/>
              </w:rPr>
              <w:t>自审：</w:t>
            </w:r>
          </w:p>
        </w:tc>
        <w:tc>
          <w:tcPr>
            <w:tcW w:w="2011" w:type="dxa"/>
            <w:gridSpan w:val="3"/>
          </w:tcPr>
          <w:p>
            <w:pPr>
              <w:pStyle w:val="10"/>
              <w:spacing w:before="38"/>
              <w:ind w:left="108"/>
              <w:rPr>
                <w:sz w:val="18"/>
              </w:rPr>
            </w:pPr>
            <w:r>
              <w:rPr>
                <w:sz w:val="18"/>
              </w:rPr>
              <w:t>自审：</w:t>
            </w:r>
          </w:p>
        </w:tc>
        <w:tc>
          <w:tcPr>
            <w:tcW w:w="2092" w:type="dxa"/>
            <w:gridSpan w:val="3"/>
          </w:tcPr>
          <w:p>
            <w:pPr>
              <w:pStyle w:val="10"/>
              <w:spacing w:before="38"/>
              <w:ind w:left="106"/>
              <w:rPr>
                <w:sz w:val="18"/>
              </w:rPr>
            </w:pPr>
            <w:r>
              <w:rPr>
                <w:sz w:val="18"/>
              </w:rPr>
              <w:t>自审：</w:t>
            </w:r>
          </w:p>
        </w:tc>
        <w:tc>
          <w:tcPr>
            <w:tcW w:w="2482" w:type="dxa"/>
            <w:gridSpan w:val="2"/>
            <w:vMerge w:val="restart"/>
          </w:tcPr>
          <w:p>
            <w:pPr>
              <w:pStyle w:val="10"/>
              <w:spacing w:before="38"/>
              <w:ind w:left="106"/>
              <w:rPr>
                <w:sz w:val="18"/>
              </w:rPr>
            </w:pPr>
            <w:r>
              <w:rPr>
                <w:sz w:val="18"/>
              </w:rPr>
              <w:t>绿色建筑施工图</w:t>
            </w:r>
          </w:p>
          <w:p>
            <w:pPr>
              <w:pStyle w:val="10"/>
              <w:spacing w:before="81"/>
              <w:ind w:left="106"/>
              <w:rPr>
                <w:sz w:val="18"/>
              </w:rPr>
            </w:pPr>
            <w:r>
              <w:rPr>
                <w:sz w:val="18"/>
              </w:rPr>
              <w:t>审查申请人：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3" w:hRule="atLeast"/>
        </w:trPr>
        <w:tc>
          <w:tcPr>
            <w:tcW w:w="1639" w:type="dxa"/>
            <w:vMerge w:val="continue"/>
            <w:tcBorders>
              <w:top w:val="nil"/>
            </w:tcBorders>
          </w:tcPr>
          <w:p>
            <w:pPr>
              <w:rPr>
                <w:sz w:val="2"/>
                <w:szCs w:val="2"/>
              </w:rPr>
            </w:pPr>
          </w:p>
        </w:tc>
        <w:tc>
          <w:tcPr>
            <w:tcW w:w="2007" w:type="dxa"/>
            <w:gridSpan w:val="2"/>
          </w:tcPr>
          <w:p>
            <w:pPr>
              <w:pStyle w:val="10"/>
              <w:spacing w:before="50"/>
              <w:ind w:left="110"/>
              <w:rPr>
                <w:sz w:val="18"/>
              </w:rPr>
            </w:pPr>
            <w:r>
              <w:rPr>
                <w:sz w:val="18"/>
              </w:rPr>
              <w:t>审核：</w:t>
            </w:r>
          </w:p>
        </w:tc>
        <w:tc>
          <w:tcPr>
            <w:tcW w:w="2007" w:type="dxa"/>
            <w:gridSpan w:val="2"/>
          </w:tcPr>
          <w:p>
            <w:pPr>
              <w:pStyle w:val="10"/>
              <w:spacing w:before="50"/>
              <w:ind w:left="107"/>
              <w:rPr>
                <w:sz w:val="18"/>
              </w:rPr>
            </w:pPr>
            <w:r>
              <w:rPr>
                <w:sz w:val="18"/>
              </w:rPr>
              <w:t>审核：</w:t>
            </w:r>
          </w:p>
        </w:tc>
        <w:tc>
          <w:tcPr>
            <w:tcW w:w="2168" w:type="dxa"/>
            <w:gridSpan w:val="2"/>
          </w:tcPr>
          <w:p>
            <w:pPr>
              <w:pStyle w:val="10"/>
              <w:spacing w:before="50"/>
              <w:ind w:left="106"/>
              <w:rPr>
                <w:sz w:val="18"/>
              </w:rPr>
            </w:pPr>
            <w:r>
              <w:rPr>
                <w:sz w:val="18"/>
              </w:rPr>
              <w:t>审核：</w:t>
            </w:r>
          </w:p>
        </w:tc>
        <w:tc>
          <w:tcPr>
            <w:tcW w:w="2011" w:type="dxa"/>
            <w:gridSpan w:val="3"/>
          </w:tcPr>
          <w:p>
            <w:pPr>
              <w:pStyle w:val="10"/>
              <w:spacing w:before="50"/>
              <w:ind w:left="108"/>
              <w:rPr>
                <w:sz w:val="18"/>
              </w:rPr>
            </w:pPr>
            <w:r>
              <w:rPr>
                <w:sz w:val="18"/>
              </w:rPr>
              <w:t>审核：</w:t>
            </w:r>
          </w:p>
        </w:tc>
        <w:tc>
          <w:tcPr>
            <w:tcW w:w="2092" w:type="dxa"/>
            <w:gridSpan w:val="3"/>
          </w:tcPr>
          <w:p>
            <w:pPr>
              <w:pStyle w:val="10"/>
              <w:spacing w:before="50"/>
              <w:ind w:left="106"/>
              <w:rPr>
                <w:sz w:val="18"/>
              </w:rPr>
            </w:pPr>
            <w:r>
              <w:rPr>
                <w:sz w:val="18"/>
              </w:rPr>
              <w:t>审核：</w:t>
            </w:r>
          </w:p>
        </w:tc>
        <w:tc>
          <w:tcPr>
            <w:tcW w:w="2482" w:type="dxa"/>
            <w:gridSpan w:val="2"/>
            <w:vMerge w:val="continue"/>
            <w:tcBorders>
              <w:top w:val="nil"/>
            </w:tcBorders>
          </w:tcPr>
          <w:p>
            <w:pPr>
              <w:rPr>
                <w:sz w:val="2"/>
                <w:szCs w:val="2"/>
              </w:rPr>
            </w:pPr>
          </w:p>
        </w:tc>
      </w:tr>
    </w:tbl>
    <w:p>
      <w:pPr>
        <w:spacing w:before="13"/>
        <w:ind w:left="118" w:right="5031" w:firstLine="0"/>
        <w:jc w:val="center"/>
        <w:rPr>
          <w:sz w:val="18"/>
        </w:rPr>
      </w:pPr>
      <w:r>
        <w:rPr>
          <w:sz w:val="18"/>
        </w:rPr>
        <w:t>注：1.本表由申请审查单位填写，相关自审人员须在对应的签字栏签字，并加盖申请审查单位报审章，报审时提交给审查机构。</w:t>
      </w:r>
    </w:p>
    <w:p>
      <w:pPr>
        <w:pStyle w:val="9"/>
        <w:numPr>
          <w:ilvl w:val="0"/>
          <w:numId w:val="5"/>
        </w:numPr>
        <w:tabs>
          <w:tab w:val="left" w:pos="676"/>
        </w:tabs>
        <w:spacing w:before="9" w:after="0" w:line="240" w:lineRule="auto"/>
        <w:ind w:left="675" w:right="0" w:hanging="183"/>
        <w:jc w:val="left"/>
        <w:rPr>
          <w:sz w:val="16"/>
        </w:rPr>
      </w:pPr>
      <w:r>
        <w:rPr>
          <w:spacing w:val="-1"/>
          <w:sz w:val="18"/>
        </w:rPr>
        <w:t>本审查依据《绿色建筑评价标准》</w:t>
      </w:r>
      <w:r>
        <w:rPr>
          <w:sz w:val="18"/>
        </w:rPr>
        <w:t>GB/T50378</w:t>
      </w:r>
      <w:r>
        <w:rPr>
          <w:spacing w:val="-7"/>
          <w:sz w:val="18"/>
        </w:rPr>
        <w:t xml:space="preserve"> 和《黑龙江省绿色建筑施工图审查要点》</w:t>
      </w:r>
      <w:r>
        <w:rPr>
          <w:sz w:val="18"/>
        </w:rPr>
        <w:t>(2019</w:t>
      </w:r>
      <w:r>
        <w:rPr>
          <w:spacing w:val="-12"/>
          <w:sz w:val="18"/>
        </w:rPr>
        <w:t xml:space="preserve"> 试行版</w:t>
      </w:r>
      <w:r>
        <w:rPr>
          <w:sz w:val="18"/>
        </w:rPr>
        <w:t>），</w:t>
      </w:r>
      <w:r>
        <w:rPr>
          <w:spacing w:val="-1"/>
          <w:sz w:val="18"/>
        </w:rPr>
        <w:t>表中章节编号为《绿色建筑评价标准》</w:t>
      </w:r>
      <w:r>
        <w:rPr>
          <w:sz w:val="18"/>
        </w:rPr>
        <w:t>GB/T50378</w:t>
      </w:r>
      <w:r>
        <w:rPr>
          <w:spacing w:val="-8"/>
          <w:sz w:val="18"/>
        </w:rPr>
        <w:t xml:space="preserve"> 对应章节编号。</w:t>
      </w:r>
    </w:p>
    <w:p>
      <w:pPr>
        <w:pStyle w:val="9"/>
        <w:numPr>
          <w:ilvl w:val="0"/>
          <w:numId w:val="5"/>
        </w:numPr>
        <w:tabs>
          <w:tab w:val="left" w:pos="676"/>
        </w:tabs>
        <w:spacing w:before="9" w:after="0" w:line="240" w:lineRule="auto"/>
        <w:ind w:left="675" w:right="0" w:hanging="183"/>
        <w:jc w:val="left"/>
        <w:rPr>
          <w:b/>
          <w:sz w:val="16"/>
        </w:rPr>
      </w:pPr>
      <w:r>
        <w:rPr>
          <w:b/>
          <w:sz w:val="18"/>
        </w:rPr>
        <w:t>依据国家《绿色建筑评价标准》GB/T50378</w:t>
      </w:r>
      <w:r>
        <w:rPr>
          <w:b/>
          <w:spacing w:val="-31"/>
          <w:sz w:val="18"/>
        </w:rPr>
        <w:t xml:space="preserve"> 第 </w:t>
      </w:r>
      <w:r>
        <w:rPr>
          <w:b/>
          <w:sz w:val="18"/>
        </w:rPr>
        <w:t>3.2.7</w:t>
      </w:r>
      <w:r>
        <w:rPr>
          <w:b/>
          <w:spacing w:val="-8"/>
          <w:sz w:val="18"/>
        </w:rPr>
        <w:t xml:space="preserve"> 条规定，当满足全部控制项要求时，绿色建筑等级应为基本级。</w:t>
      </w:r>
    </w:p>
    <w:p>
      <w:pPr>
        <w:pStyle w:val="9"/>
        <w:numPr>
          <w:ilvl w:val="0"/>
          <w:numId w:val="5"/>
        </w:numPr>
        <w:tabs>
          <w:tab w:val="left" w:pos="676"/>
        </w:tabs>
        <w:spacing w:before="10" w:after="0" w:line="249" w:lineRule="auto"/>
        <w:ind w:left="132" w:right="1265" w:firstLine="360"/>
        <w:jc w:val="left"/>
        <w:rPr>
          <w:sz w:val="16"/>
        </w:rPr>
      </w:pPr>
      <w:r>
        <w:rPr>
          <w:spacing w:val="-1"/>
          <w:sz w:val="18"/>
        </w:rPr>
        <w:t>自评控制项达标项在“□”处填“√”，不达标项的“□”不填，不参评项在“□”处填“■”，视分项全部参评项通过与否判断该分项的控制项通过与否选择填写控制</w:t>
      </w:r>
      <w:r>
        <w:rPr>
          <w:sz w:val="18"/>
        </w:rPr>
        <w:t>项自审结果。</w:t>
      </w:r>
    </w:p>
    <w:p>
      <w:pPr>
        <w:pStyle w:val="3"/>
        <w:rPr>
          <w:sz w:val="20"/>
        </w:rPr>
      </w:pPr>
    </w:p>
    <w:p>
      <w:pPr>
        <w:pStyle w:val="3"/>
        <w:rPr>
          <w:sz w:val="20"/>
        </w:rPr>
      </w:pPr>
    </w:p>
    <w:p>
      <w:pPr>
        <w:pStyle w:val="3"/>
        <w:spacing w:before="7"/>
        <w:rPr>
          <w:sz w:val="24"/>
        </w:rPr>
      </w:pPr>
    </w:p>
    <w:p>
      <w:pPr>
        <w:spacing w:before="92"/>
        <w:ind w:left="0" w:right="1123" w:firstLine="0"/>
        <w:jc w:val="right"/>
        <w:rPr>
          <w:rFonts w:ascii="Times New Roman"/>
          <w:sz w:val="18"/>
        </w:rPr>
      </w:pPr>
      <w:r>
        <w:rPr>
          <w:rFonts w:ascii="Times New Roman"/>
          <w:sz w:val="18"/>
        </w:rPr>
        <w:t>3</w:t>
      </w:r>
    </w:p>
    <w:p>
      <w:pPr>
        <w:spacing w:after="0"/>
        <w:jc w:val="right"/>
        <w:rPr>
          <w:rFonts w:ascii="Times New Roman"/>
          <w:sz w:val="18"/>
        </w:rPr>
        <w:sectPr>
          <w:footerReference r:id="rId4" w:type="even"/>
          <w:pgSz w:w="16850" w:h="11910" w:orient="landscape"/>
          <w:pgMar w:top="1100" w:right="580" w:bottom="280" w:left="1000" w:header="0" w:footer="0" w:gutter="0"/>
        </w:sectPr>
      </w:pPr>
    </w:p>
    <w:p>
      <w:pPr>
        <w:pStyle w:val="9"/>
        <w:numPr>
          <w:ilvl w:val="1"/>
          <w:numId w:val="4"/>
        </w:numPr>
        <w:tabs>
          <w:tab w:val="left" w:pos="6059"/>
        </w:tabs>
        <w:spacing w:before="67" w:after="0" w:line="240" w:lineRule="auto"/>
        <w:ind w:left="6058" w:right="0" w:hanging="370"/>
        <w:jc w:val="left"/>
        <w:rPr>
          <w:rFonts w:hint="eastAsia" w:ascii="黑体" w:eastAsia="黑体"/>
          <w:sz w:val="21"/>
        </w:rPr>
      </w:pPr>
      <w:bookmarkStart w:id="14" w:name="3.2 绿色建筑施工图审查集成表"/>
      <w:bookmarkEnd w:id="14"/>
      <w:bookmarkStart w:id="15" w:name="_bookmark5"/>
      <w:bookmarkEnd w:id="15"/>
      <w:bookmarkStart w:id="16" w:name="_bookmark5"/>
      <w:bookmarkEnd w:id="16"/>
      <w:r>
        <w:rPr>
          <w:rFonts w:hint="eastAsia" w:ascii="黑体" w:eastAsia="黑体"/>
          <w:spacing w:val="-3"/>
          <w:sz w:val="21"/>
        </w:rPr>
        <w:t>绿色建筑施工图审查集成表</w:t>
      </w:r>
    </w:p>
    <w:p>
      <w:pPr>
        <w:pStyle w:val="3"/>
        <w:spacing w:before="12"/>
        <w:rPr>
          <w:rFonts w:ascii="黑体"/>
          <w:sz w:val="10"/>
        </w:rPr>
      </w:pPr>
    </w:p>
    <w:tbl>
      <w:tblPr>
        <w:tblStyle w:val="6"/>
        <w:tblW w:w="0" w:type="auto"/>
        <w:tblInd w:w="1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7"/>
        <w:gridCol w:w="564"/>
        <w:gridCol w:w="566"/>
        <w:gridCol w:w="468"/>
        <w:gridCol w:w="1098"/>
        <w:gridCol w:w="971"/>
        <w:gridCol w:w="183"/>
        <w:gridCol w:w="831"/>
        <w:gridCol w:w="416"/>
        <w:gridCol w:w="642"/>
        <w:gridCol w:w="496"/>
        <w:gridCol w:w="578"/>
        <w:gridCol w:w="1000"/>
        <w:gridCol w:w="988"/>
        <w:gridCol w:w="1114"/>
        <w:gridCol w:w="1005"/>
        <w:gridCol w:w="152"/>
        <w:gridCol w:w="987"/>
        <w:gridCol w:w="182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9948" w:type="dxa"/>
            <w:gridSpan w:val="14"/>
            <w:tcBorders>
              <w:bottom w:val="single" w:color="000000" w:sz="8" w:space="0"/>
            </w:tcBorders>
          </w:tcPr>
          <w:p>
            <w:pPr>
              <w:pStyle w:val="10"/>
              <w:spacing w:before="16"/>
              <w:ind w:left="3599" w:right="3599"/>
              <w:jc w:val="center"/>
              <w:rPr>
                <w:sz w:val="18"/>
              </w:rPr>
            </w:pPr>
            <w:r>
              <w:rPr>
                <w:sz w:val="18"/>
              </w:rPr>
              <w:t>审查人员安排（由审图机构填写）</w:t>
            </w:r>
          </w:p>
        </w:tc>
        <w:tc>
          <w:tcPr>
            <w:tcW w:w="2271" w:type="dxa"/>
            <w:gridSpan w:val="3"/>
          </w:tcPr>
          <w:p>
            <w:pPr>
              <w:pStyle w:val="10"/>
              <w:spacing w:before="16"/>
              <w:ind w:left="134"/>
              <w:rPr>
                <w:sz w:val="18"/>
              </w:rPr>
            </w:pPr>
            <w:r>
              <w:rPr>
                <w:sz w:val="18"/>
              </w:rPr>
              <w:t>审查机构项目内部编号：</w:t>
            </w:r>
          </w:p>
        </w:tc>
        <w:tc>
          <w:tcPr>
            <w:tcW w:w="2812" w:type="dxa"/>
            <w:gridSpan w:val="2"/>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147" w:type="dxa"/>
            <w:tcBorders>
              <w:top w:val="single" w:color="000000" w:sz="8" w:space="0"/>
            </w:tcBorders>
          </w:tcPr>
          <w:p>
            <w:pPr>
              <w:pStyle w:val="10"/>
              <w:spacing w:before="18"/>
              <w:ind w:left="213"/>
              <w:rPr>
                <w:sz w:val="18"/>
              </w:rPr>
            </w:pPr>
            <w:r>
              <w:rPr>
                <w:sz w:val="18"/>
              </w:rPr>
              <w:t>审查内容</w:t>
            </w:r>
          </w:p>
        </w:tc>
        <w:tc>
          <w:tcPr>
            <w:tcW w:w="1130" w:type="dxa"/>
            <w:gridSpan w:val="2"/>
            <w:tcBorders>
              <w:top w:val="single" w:color="000000" w:sz="8" w:space="0"/>
            </w:tcBorders>
          </w:tcPr>
          <w:p>
            <w:pPr>
              <w:pStyle w:val="10"/>
              <w:spacing w:before="18"/>
              <w:ind w:left="295"/>
              <w:rPr>
                <w:sz w:val="18"/>
              </w:rPr>
            </w:pPr>
            <w:r>
              <w:rPr>
                <w:sz w:val="18"/>
              </w:rPr>
              <w:t>审查人</w:t>
            </w:r>
          </w:p>
        </w:tc>
        <w:tc>
          <w:tcPr>
            <w:tcW w:w="2720" w:type="dxa"/>
            <w:gridSpan w:val="4"/>
            <w:tcBorders>
              <w:top w:val="single" w:color="000000" w:sz="8" w:space="0"/>
            </w:tcBorders>
          </w:tcPr>
          <w:p>
            <w:pPr>
              <w:pStyle w:val="10"/>
              <w:spacing w:before="18"/>
              <w:ind w:left="981" w:right="969"/>
              <w:jc w:val="center"/>
              <w:rPr>
                <w:sz w:val="18"/>
              </w:rPr>
            </w:pPr>
            <w:r>
              <w:rPr>
                <w:sz w:val="18"/>
              </w:rPr>
              <w:t>审查章节</w:t>
            </w:r>
          </w:p>
        </w:tc>
        <w:tc>
          <w:tcPr>
            <w:tcW w:w="1247" w:type="dxa"/>
            <w:gridSpan w:val="2"/>
            <w:tcBorders>
              <w:top w:val="single" w:color="000000" w:sz="8" w:space="0"/>
            </w:tcBorders>
          </w:tcPr>
          <w:p>
            <w:pPr>
              <w:pStyle w:val="10"/>
              <w:spacing w:before="18"/>
              <w:ind w:left="263"/>
              <w:rPr>
                <w:sz w:val="18"/>
              </w:rPr>
            </w:pPr>
            <w:r>
              <w:rPr>
                <w:sz w:val="18"/>
              </w:rPr>
              <w:t>审查内容</w:t>
            </w:r>
          </w:p>
        </w:tc>
        <w:tc>
          <w:tcPr>
            <w:tcW w:w="1138" w:type="dxa"/>
            <w:gridSpan w:val="2"/>
            <w:tcBorders>
              <w:top w:val="single" w:color="000000" w:sz="8" w:space="0"/>
            </w:tcBorders>
          </w:tcPr>
          <w:p>
            <w:pPr>
              <w:pStyle w:val="10"/>
              <w:spacing w:before="18"/>
              <w:ind w:left="295"/>
              <w:rPr>
                <w:sz w:val="18"/>
              </w:rPr>
            </w:pPr>
            <w:r>
              <w:rPr>
                <w:sz w:val="18"/>
              </w:rPr>
              <w:t>审查人</w:t>
            </w:r>
          </w:p>
        </w:tc>
        <w:tc>
          <w:tcPr>
            <w:tcW w:w="2566" w:type="dxa"/>
            <w:gridSpan w:val="3"/>
          </w:tcPr>
          <w:p>
            <w:pPr>
              <w:pStyle w:val="10"/>
              <w:spacing w:before="18"/>
              <w:ind w:left="896" w:right="900"/>
              <w:jc w:val="center"/>
              <w:rPr>
                <w:sz w:val="18"/>
              </w:rPr>
            </w:pPr>
            <w:r>
              <w:rPr>
                <w:sz w:val="18"/>
              </w:rPr>
              <w:t>审查章节</w:t>
            </w:r>
          </w:p>
        </w:tc>
        <w:tc>
          <w:tcPr>
            <w:tcW w:w="2271" w:type="dxa"/>
            <w:gridSpan w:val="3"/>
          </w:tcPr>
          <w:p>
            <w:pPr>
              <w:pStyle w:val="10"/>
              <w:spacing w:before="18"/>
              <w:ind w:left="743" w:right="757"/>
              <w:jc w:val="center"/>
              <w:rPr>
                <w:sz w:val="18"/>
              </w:rPr>
            </w:pPr>
            <w:r>
              <w:rPr>
                <w:sz w:val="18"/>
              </w:rPr>
              <w:t>审图机构</w:t>
            </w:r>
          </w:p>
        </w:tc>
        <w:tc>
          <w:tcPr>
            <w:tcW w:w="2812" w:type="dxa"/>
            <w:gridSpan w:val="2"/>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0" w:hRule="atLeast"/>
        </w:trPr>
        <w:tc>
          <w:tcPr>
            <w:tcW w:w="1147" w:type="dxa"/>
            <w:vMerge w:val="restart"/>
          </w:tcPr>
          <w:p>
            <w:pPr>
              <w:pStyle w:val="10"/>
              <w:spacing w:before="11"/>
              <w:rPr>
                <w:rFonts w:ascii="黑体"/>
                <w:sz w:val="12"/>
              </w:rPr>
            </w:pPr>
          </w:p>
          <w:p>
            <w:pPr>
              <w:pStyle w:val="10"/>
              <w:ind w:left="213"/>
              <w:rPr>
                <w:sz w:val="18"/>
              </w:rPr>
            </w:pPr>
            <w:r>
              <w:rPr>
                <w:sz w:val="18"/>
              </w:rPr>
              <w:t>安全耐久</w:t>
            </w:r>
          </w:p>
        </w:tc>
        <w:tc>
          <w:tcPr>
            <w:tcW w:w="1130" w:type="dxa"/>
            <w:gridSpan w:val="2"/>
          </w:tcPr>
          <w:p>
            <w:pPr>
              <w:pStyle w:val="10"/>
              <w:rPr>
                <w:rFonts w:ascii="Times New Roman"/>
                <w:sz w:val="18"/>
              </w:rPr>
            </w:pPr>
          </w:p>
        </w:tc>
        <w:tc>
          <w:tcPr>
            <w:tcW w:w="2720" w:type="dxa"/>
            <w:gridSpan w:val="4"/>
          </w:tcPr>
          <w:p>
            <w:pPr>
              <w:pStyle w:val="10"/>
              <w:rPr>
                <w:rFonts w:ascii="Times New Roman"/>
                <w:sz w:val="18"/>
              </w:rPr>
            </w:pPr>
          </w:p>
        </w:tc>
        <w:tc>
          <w:tcPr>
            <w:tcW w:w="1247" w:type="dxa"/>
            <w:gridSpan w:val="2"/>
            <w:vMerge w:val="restart"/>
          </w:tcPr>
          <w:p>
            <w:pPr>
              <w:pStyle w:val="10"/>
              <w:spacing w:before="11"/>
              <w:rPr>
                <w:rFonts w:ascii="黑体"/>
                <w:sz w:val="12"/>
              </w:rPr>
            </w:pPr>
          </w:p>
          <w:p>
            <w:pPr>
              <w:pStyle w:val="10"/>
              <w:ind w:left="263"/>
              <w:rPr>
                <w:sz w:val="18"/>
              </w:rPr>
            </w:pPr>
            <w:r>
              <w:rPr>
                <w:sz w:val="18"/>
              </w:rPr>
              <w:t>生活便利</w:t>
            </w:r>
          </w:p>
        </w:tc>
        <w:tc>
          <w:tcPr>
            <w:tcW w:w="1138" w:type="dxa"/>
            <w:gridSpan w:val="2"/>
          </w:tcPr>
          <w:p>
            <w:pPr>
              <w:pStyle w:val="10"/>
              <w:rPr>
                <w:rFonts w:ascii="Times New Roman"/>
                <w:sz w:val="18"/>
              </w:rPr>
            </w:pPr>
          </w:p>
        </w:tc>
        <w:tc>
          <w:tcPr>
            <w:tcW w:w="2566" w:type="dxa"/>
            <w:gridSpan w:val="3"/>
          </w:tcPr>
          <w:p>
            <w:pPr>
              <w:pStyle w:val="10"/>
              <w:rPr>
                <w:rFonts w:ascii="Times New Roman"/>
                <w:sz w:val="18"/>
              </w:rPr>
            </w:pPr>
          </w:p>
        </w:tc>
        <w:tc>
          <w:tcPr>
            <w:tcW w:w="2271" w:type="dxa"/>
            <w:gridSpan w:val="3"/>
          </w:tcPr>
          <w:p>
            <w:pPr>
              <w:pStyle w:val="10"/>
              <w:spacing w:before="19"/>
              <w:ind w:left="743" w:right="756"/>
              <w:jc w:val="center"/>
              <w:rPr>
                <w:sz w:val="18"/>
              </w:rPr>
            </w:pPr>
            <w:r>
              <w:rPr>
                <w:sz w:val="18"/>
              </w:rPr>
              <w:t>审查时间</w:t>
            </w:r>
          </w:p>
        </w:tc>
        <w:tc>
          <w:tcPr>
            <w:tcW w:w="2812" w:type="dxa"/>
            <w:gridSpan w:val="2"/>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1147" w:type="dxa"/>
            <w:vMerge w:val="continue"/>
            <w:tcBorders>
              <w:top w:val="nil"/>
            </w:tcBorders>
          </w:tcPr>
          <w:p>
            <w:pPr>
              <w:rPr>
                <w:sz w:val="2"/>
                <w:szCs w:val="2"/>
              </w:rPr>
            </w:pPr>
          </w:p>
        </w:tc>
        <w:tc>
          <w:tcPr>
            <w:tcW w:w="1130" w:type="dxa"/>
            <w:gridSpan w:val="2"/>
          </w:tcPr>
          <w:p>
            <w:pPr>
              <w:pStyle w:val="10"/>
              <w:rPr>
                <w:rFonts w:ascii="Times New Roman"/>
                <w:sz w:val="18"/>
              </w:rPr>
            </w:pPr>
          </w:p>
        </w:tc>
        <w:tc>
          <w:tcPr>
            <w:tcW w:w="2720" w:type="dxa"/>
            <w:gridSpan w:val="4"/>
          </w:tcPr>
          <w:p>
            <w:pPr>
              <w:pStyle w:val="10"/>
              <w:rPr>
                <w:rFonts w:ascii="Times New Roman"/>
                <w:sz w:val="18"/>
              </w:rPr>
            </w:pPr>
          </w:p>
        </w:tc>
        <w:tc>
          <w:tcPr>
            <w:tcW w:w="1247" w:type="dxa"/>
            <w:gridSpan w:val="2"/>
            <w:vMerge w:val="continue"/>
            <w:tcBorders>
              <w:top w:val="nil"/>
            </w:tcBorders>
          </w:tcPr>
          <w:p>
            <w:pPr>
              <w:rPr>
                <w:sz w:val="2"/>
                <w:szCs w:val="2"/>
              </w:rPr>
            </w:pPr>
          </w:p>
        </w:tc>
        <w:tc>
          <w:tcPr>
            <w:tcW w:w="1138" w:type="dxa"/>
            <w:gridSpan w:val="2"/>
          </w:tcPr>
          <w:p>
            <w:pPr>
              <w:pStyle w:val="10"/>
              <w:rPr>
                <w:rFonts w:ascii="Times New Roman"/>
                <w:sz w:val="18"/>
              </w:rPr>
            </w:pPr>
          </w:p>
        </w:tc>
        <w:tc>
          <w:tcPr>
            <w:tcW w:w="2566" w:type="dxa"/>
            <w:gridSpan w:val="3"/>
          </w:tcPr>
          <w:p>
            <w:pPr>
              <w:pStyle w:val="10"/>
              <w:rPr>
                <w:rFonts w:ascii="Times New Roman"/>
                <w:sz w:val="18"/>
              </w:rPr>
            </w:pPr>
          </w:p>
        </w:tc>
        <w:tc>
          <w:tcPr>
            <w:tcW w:w="1114" w:type="dxa"/>
          </w:tcPr>
          <w:p>
            <w:pPr>
              <w:pStyle w:val="10"/>
              <w:spacing w:before="26"/>
              <w:ind w:left="174" w:right="170"/>
              <w:jc w:val="center"/>
              <w:rPr>
                <w:sz w:val="18"/>
              </w:rPr>
            </w:pPr>
            <w:r>
              <w:rPr>
                <w:sz w:val="18"/>
              </w:rPr>
              <w:t>审查内容</w:t>
            </w:r>
          </w:p>
        </w:tc>
        <w:tc>
          <w:tcPr>
            <w:tcW w:w="1157" w:type="dxa"/>
            <w:gridSpan w:val="2"/>
          </w:tcPr>
          <w:p>
            <w:pPr>
              <w:pStyle w:val="10"/>
              <w:spacing w:before="26"/>
              <w:ind w:left="304"/>
              <w:rPr>
                <w:sz w:val="18"/>
              </w:rPr>
            </w:pPr>
            <w:r>
              <w:rPr>
                <w:sz w:val="18"/>
              </w:rPr>
              <w:t>审查人</w:t>
            </w:r>
          </w:p>
        </w:tc>
        <w:tc>
          <w:tcPr>
            <w:tcW w:w="2812" w:type="dxa"/>
            <w:gridSpan w:val="2"/>
          </w:tcPr>
          <w:p>
            <w:pPr>
              <w:pStyle w:val="10"/>
              <w:spacing w:before="26"/>
              <w:ind w:left="1015" w:right="1027"/>
              <w:jc w:val="center"/>
              <w:rPr>
                <w:sz w:val="18"/>
              </w:rPr>
            </w:pPr>
            <w:r>
              <w:rPr>
                <w:sz w:val="18"/>
              </w:rPr>
              <w:t>审查章节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5" w:hRule="atLeast"/>
        </w:trPr>
        <w:tc>
          <w:tcPr>
            <w:tcW w:w="1147" w:type="dxa"/>
            <w:vMerge w:val="restart"/>
          </w:tcPr>
          <w:p>
            <w:pPr>
              <w:pStyle w:val="10"/>
              <w:spacing w:before="6"/>
              <w:rPr>
                <w:rFonts w:ascii="黑体"/>
                <w:sz w:val="13"/>
              </w:rPr>
            </w:pPr>
          </w:p>
          <w:p>
            <w:pPr>
              <w:pStyle w:val="10"/>
              <w:ind w:left="213"/>
              <w:rPr>
                <w:sz w:val="18"/>
              </w:rPr>
            </w:pPr>
            <w:r>
              <w:rPr>
                <w:sz w:val="18"/>
              </w:rPr>
              <w:t>健康舒适</w:t>
            </w:r>
          </w:p>
        </w:tc>
        <w:tc>
          <w:tcPr>
            <w:tcW w:w="1130" w:type="dxa"/>
            <w:gridSpan w:val="2"/>
          </w:tcPr>
          <w:p>
            <w:pPr>
              <w:pStyle w:val="10"/>
              <w:rPr>
                <w:rFonts w:ascii="Times New Roman"/>
                <w:sz w:val="18"/>
              </w:rPr>
            </w:pPr>
          </w:p>
        </w:tc>
        <w:tc>
          <w:tcPr>
            <w:tcW w:w="2720" w:type="dxa"/>
            <w:gridSpan w:val="4"/>
          </w:tcPr>
          <w:p>
            <w:pPr>
              <w:pStyle w:val="10"/>
              <w:rPr>
                <w:rFonts w:ascii="Times New Roman"/>
                <w:sz w:val="18"/>
              </w:rPr>
            </w:pPr>
          </w:p>
        </w:tc>
        <w:tc>
          <w:tcPr>
            <w:tcW w:w="1247" w:type="dxa"/>
            <w:gridSpan w:val="2"/>
            <w:vMerge w:val="restart"/>
          </w:tcPr>
          <w:p>
            <w:pPr>
              <w:pStyle w:val="10"/>
              <w:spacing w:before="6"/>
              <w:rPr>
                <w:rFonts w:ascii="黑体"/>
                <w:sz w:val="13"/>
              </w:rPr>
            </w:pPr>
          </w:p>
          <w:p>
            <w:pPr>
              <w:pStyle w:val="10"/>
              <w:ind w:left="263"/>
              <w:rPr>
                <w:sz w:val="18"/>
              </w:rPr>
            </w:pPr>
            <w:r>
              <w:rPr>
                <w:sz w:val="18"/>
              </w:rPr>
              <w:t>资源节约</w:t>
            </w:r>
          </w:p>
        </w:tc>
        <w:tc>
          <w:tcPr>
            <w:tcW w:w="1138" w:type="dxa"/>
            <w:gridSpan w:val="2"/>
          </w:tcPr>
          <w:p>
            <w:pPr>
              <w:pStyle w:val="10"/>
              <w:rPr>
                <w:rFonts w:ascii="Times New Roman"/>
                <w:sz w:val="18"/>
              </w:rPr>
            </w:pPr>
          </w:p>
        </w:tc>
        <w:tc>
          <w:tcPr>
            <w:tcW w:w="2566" w:type="dxa"/>
            <w:gridSpan w:val="3"/>
          </w:tcPr>
          <w:p>
            <w:pPr>
              <w:pStyle w:val="10"/>
              <w:rPr>
                <w:rFonts w:ascii="Times New Roman"/>
                <w:sz w:val="18"/>
              </w:rPr>
            </w:pPr>
          </w:p>
        </w:tc>
        <w:tc>
          <w:tcPr>
            <w:tcW w:w="1114" w:type="dxa"/>
            <w:vMerge w:val="restart"/>
          </w:tcPr>
          <w:p>
            <w:pPr>
              <w:pStyle w:val="10"/>
              <w:spacing w:before="6"/>
              <w:rPr>
                <w:rFonts w:ascii="黑体"/>
                <w:sz w:val="13"/>
              </w:rPr>
            </w:pPr>
          </w:p>
          <w:p>
            <w:pPr>
              <w:pStyle w:val="10"/>
              <w:ind w:left="194"/>
              <w:rPr>
                <w:sz w:val="18"/>
              </w:rPr>
            </w:pPr>
            <w:r>
              <w:rPr>
                <w:sz w:val="18"/>
              </w:rPr>
              <w:t>环境宜居</w:t>
            </w:r>
          </w:p>
        </w:tc>
        <w:tc>
          <w:tcPr>
            <w:tcW w:w="1157" w:type="dxa"/>
            <w:gridSpan w:val="2"/>
          </w:tcPr>
          <w:p>
            <w:pPr>
              <w:pStyle w:val="10"/>
              <w:rPr>
                <w:rFonts w:ascii="Times New Roman"/>
                <w:sz w:val="18"/>
              </w:rPr>
            </w:pPr>
          </w:p>
        </w:tc>
        <w:tc>
          <w:tcPr>
            <w:tcW w:w="2812" w:type="dxa"/>
            <w:gridSpan w:val="2"/>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5" w:hRule="atLeast"/>
        </w:trPr>
        <w:tc>
          <w:tcPr>
            <w:tcW w:w="1147" w:type="dxa"/>
            <w:vMerge w:val="continue"/>
            <w:tcBorders>
              <w:top w:val="nil"/>
            </w:tcBorders>
          </w:tcPr>
          <w:p>
            <w:pPr>
              <w:rPr>
                <w:sz w:val="2"/>
                <w:szCs w:val="2"/>
              </w:rPr>
            </w:pPr>
          </w:p>
        </w:tc>
        <w:tc>
          <w:tcPr>
            <w:tcW w:w="1130" w:type="dxa"/>
            <w:gridSpan w:val="2"/>
          </w:tcPr>
          <w:p>
            <w:pPr>
              <w:pStyle w:val="10"/>
              <w:rPr>
                <w:rFonts w:ascii="Times New Roman"/>
                <w:sz w:val="18"/>
              </w:rPr>
            </w:pPr>
          </w:p>
        </w:tc>
        <w:tc>
          <w:tcPr>
            <w:tcW w:w="2720" w:type="dxa"/>
            <w:gridSpan w:val="4"/>
          </w:tcPr>
          <w:p>
            <w:pPr>
              <w:pStyle w:val="10"/>
              <w:rPr>
                <w:rFonts w:ascii="Times New Roman"/>
                <w:sz w:val="18"/>
              </w:rPr>
            </w:pPr>
          </w:p>
        </w:tc>
        <w:tc>
          <w:tcPr>
            <w:tcW w:w="1247" w:type="dxa"/>
            <w:gridSpan w:val="2"/>
            <w:vMerge w:val="continue"/>
            <w:tcBorders>
              <w:top w:val="nil"/>
            </w:tcBorders>
          </w:tcPr>
          <w:p>
            <w:pPr>
              <w:rPr>
                <w:sz w:val="2"/>
                <w:szCs w:val="2"/>
              </w:rPr>
            </w:pPr>
          </w:p>
        </w:tc>
        <w:tc>
          <w:tcPr>
            <w:tcW w:w="1138" w:type="dxa"/>
            <w:gridSpan w:val="2"/>
          </w:tcPr>
          <w:p>
            <w:pPr>
              <w:pStyle w:val="10"/>
              <w:rPr>
                <w:rFonts w:ascii="Times New Roman"/>
                <w:sz w:val="18"/>
              </w:rPr>
            </w:pPr>
          </w:p>
        </w:tc>
        <w:tc>
          <w:tcPr>
            <w:tcW w:w="2566" w:type="dxa"/>
            <w:gridSpan w:val="3"/>
          </w:tcPr>
          <w:p>
            <w:pPr>
              <w:pStyle w:val="10"/>
              <w:rPr>
                <w:rFonts w:ascii="Times New Roman"/>
                <w:sz w:val="18"/>
              </w:rPr>
            </w:pPr>
          </w:p>
        </w:tc>
        <w:tc>
          <w:tcPr>
            <w:tcW w:w="1114" w:type="dxa"/>
            <w:vMerge w:val="continue"/>
            <w:tcBorders>
              <w:top w:val="nil"/>
            </w:tcBorders>
          </w:tcPr>
          <w:p>
            <w:pPr>
              <w:rPr>
                <w:sz w:val="2"/>
                <w:szCs w:val="2"/>
              </w:rPr>
            </w:pPr>
          </w:p>
        </w:tc>
        <w:tc>
          <w:tcPr>
            <w:tcW w:w="1157" w:type="dxa"/>
            <w:gridSpan w:val="2"/>
          </w:tcPr>
          <w:p>
            <w:pPr>
              <w:pStyle w:val="10"/>
              <w:rPr>
                <w:rFonts w:ascii="Times New Roman"/>
                <w:sz w:val="18"/>
              </w:rPr>
            </w:pPr>
          </w:p>
        </w:tc>
        <w:tc>
          <w:tcPr>
            <w:tcW w:w="2812" w:type="dxa"/>
            <w:gridSpan w:val="2"/>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1711" w:type="dxa"/>
            <w:gridSpan w:val="2"/>
          </w:tcPr>
          <w:p>
            <w:pPr>
              <w:pStyle w:val="10"/>
              <w:spacing w:before="16"/>
              <w:ind w:left="494"/>
              <w:rPr>
                <w:sz w:val="18"/>
              </w:rPr>
            </w:pPr>
            <w:r>
              <w:rPr>
                <w:sz w:val="18"/>
              </w:rPr>
              <w:t>建设单位</w:t>
            </w:r>
          </w:p>
        </w:tc>
        <w:tc>
          <w:tcPr>
            <w:tcW w:w="4533" w:type="dxa"/>
            <w:gridSpan w:val="7"/>
          </w:tcPr>
          <w:p>
            <w:pPr>
              <w:pStyle w:val="10"/>
              <w:rPr>
                <w:rFonts w:ascii="Times New Roman"/>
                <w:sz w:val="18"/>
              </w:rPr>
            </w:pPr>
          </w:p>
        </w:tc>
        <w:tc>
          <w:tcPr>
            <w:tcW w:w="1138" w:type="dxa"/>
            <w:gridSpan w:val="2"/>
          </w:tcPr>
          <w:p>
            <w:pPr>
              <w:pStyle w:val="10"/>
              <w:spacing w:before="16"/>
              <w:ind w:left="206"/>
              <w:rPr>
                <w:sz w:val="18"/>
              </w:rPr>
            </w:pPr>
            <w:r>
              <w:rPr>
                <w:sz w:val="18"/>
              </w:rPr>
              <w:t>设计单位</w:t>
            </w:r>
          </w:p>
        </w:tc>
        <w:tc>
          <w:tcPr>
            <w:tcW w:w="4837" w:type="dxa"/>
            <w:gridSpan w:val="6"/>
          </w:tcPr>
          <w:p>
            <w:pPr>
              <w:pStyle w:val="10"/>
              <w:rPr>
                <w:rFonts w:ascii="Times New Roman"/>
                <w:sz w:val="18"/>
              </w:rPr>
            </w:pPr>
          </w:p>
        </w:tc>
        <w:tc>
          <w:tcPr>
            <w:tcW w:w="987" w:type="dxa"/>
          </w:tcPr>
          <w:p>
            <w:pPr>
              <w:pStyle w:val="10"/>
              <w:spacing w:before="16"/>
              <w:ind w:left="121"/>
              <w:rPr>
                <w:sz w:val="18"/>
              </w:rPr>
            </w:pPr>
            <w:r>
              <w:rPr>
                <w:sz w:val="18"/>
              </w:rPr>
              <w:t>报审时间</w:t>
            </w:r>
          </w:p>
        </w:tc>
        <w:tc>
          <w:tcPr>
            <w:tcW w:w="1825"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tcPr>
          <w:p>
            <w:pPr>
              <w:pStyle w:val="10"/>
              <w:spacing w:before="19"/>
              <w:ind w:left="494"/>
              <w:rPr>
                <w:sz w:val="18"/>
              </w:rPr>
            </w:pPr>
            <w:r>
              <w:rPr>
                <w:sz w:val="18"/>
              </w:rPr>
              <w:t>项目名称</w:t>
            </w:r>
          </w:p>
        </w:tc>
        <w:tc>
          <w:tcPr>
            <w:tcW w:w="4533" w:type="dxa"/>
            <w:gridSpan w:val="7"/>
          </w:tcPr>
          <w:p>
            <w:pPr>
              <w:pStyle w:val="10"/>
              <w:rPr>
                <w:rFonts w:ascii="Times New Roman"/>
                <w:sz w:val="18"/>
              </w:rPr>
            </w:pPr>
          </w:p>
        </w:tc>
        <w:tc>
          <w:tcPr>
            <w:tcW w:w="1138" w:type="dxa"/>
            <w:gridSpan w:val="2"/>
          </w:tcPr>
          <w:p>
            <w:pPr>
              <w:pStyle w:val="10"/>
              <w:spacing w:before="19"/>
              <w:ind w:left="206"/>
              <w:rPr>
                <w:sz w:val="18"/>
              </w:rPr>
            </w:pPr>
            <w:r>
              <w:rPr>
                <w:sz w:val="18"/>
              </w:rPr>
              <w:t>用地面积</w:t>
            </w:r>
          </w:p>
        </w:tc>
        <w:tc>
          <w:tcPr>
            <w:tcW w:w="2566" w:type="dxa"/>
            <w:gridSpan w:val="3"/>
          </w:tcPr>
          <w:p>
            <w:pPr>
              <w:pStyle w:val="10"/>
              <w:rPr>
                <w:rFonts w:ascii="Times New Roman"/>
                <w:sz w:val="18"/>
              </w:rPr>
            </w:pPr>
          </w:p>
        </w:tc>
        <w:tc>
          <w:tcPr>
            <w:tcW w:w="1114" w:type="dxa"/>
          </w:tcPr>
          <w:p>
            <w:pPr>
              <w:pStyle w:val="10"/>
              <w:spacing w:before="19"/>
              <w:ind w:left="174" w:right="170"/>
              <w:jc w:val="center"/>
              <w:rPr>
                <w:sz w:val="18"/>
              </w:rPr>
            </w:pPr>
            <w:r>
              <w:rPr>
                <w:sz w:val="18"/>
              </w:rPr>
              <w:t>建筑面积</w:t>
            </w:r>
          </w:p>
        </w:tc>
        <w:tc>
          <w:tcPr>
            <w:tcW w:w="1157" w:type="dxa"/>
            <w:gridSpan w:val="2"/>
          </w:tcPr>
          <w:p>
            <w:pPr>
              <w:pStyle w:val="10"/>
              <w:rPr>
                <w:rFonts w:ascii="Times New Roman"/>
                <w:sz w:val="18"/>
              </w:rPr>
            </w:pPr>
          </w:p>
        </w:tc>
        <w:tc>
          <w:tcPr>
            <w:tcW w:w="987" w:type="dxa"/>
          </w:tcPr>
          <w:p>
            <w:pPr>
              <w:pStyle w:val="10"/>
              <w:spacing w:before="19"/>
              <w:ind w:left="121"/>
              <w:rPr>
                <w:sz w:val="18"/>
              </w:rPr>
            </w:pPr>
            <w:r>
              <w:rPr>
                <w:sz w:val="18"/>
              </w:rPr>
              <w:t>建筑性质</w:t>
            </w:r>
          </w:p>
        </w:tc>
        <w:tc>
          <w:tcPr>
            <w:tcW w:w="1825" w:type="dxa"/>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tcPr>
          <w:p>
            <w:pPr>
              <w:pStyle w:val="10"/>
              <w:spacing w:before="19"/>
              <w:ind w:left="494"/>
              <w:rPr>
                <w:sz w:val="18"/>
              </w:rPr>
            </w:pPr>
            <w:r>
              <w:rPr>
                <w:sz w:val="18"/>
              </w:rPr>
              <w:t>建筑层数</w:t>
            </w:r>
          </w:p>
        </w:tc>
        <w:tc>
          <w:tcPr>
            <w:tcW w:w="4533" w:type="dxa"/>
            <w:gridSpan w:val="7"/>
          </w:tcPr>
          <w:p>
            <w:pPr>
              <w:pStyle w:val="10"/>
              <w:rPr>
                <w:rFonts w:ascii="Times New Roman"/>
                <w:sz w:val="18"/>
              </w:rPr>
            </w:pPr>
          </w:p>
        </w:tc>
        <w:tc>
          <w:tcPr>
            <w:tcW w:w="1138" w:type="dxa"/>
            <w:gridSpan w:val="2"/>
          </w:tcPr>
          <w:p>
            <w:pPr>
              <w:pStyle w:val="10"/>
              <w:spacing w:before="19"/>
              <w:ind w:left="206"/>
              <w:rPr>
                <w:sz w:val="18"/>
              </w:rPr>
            </w:pPr>
            <w:r>
              <w:rPr>
                <w:sz w:val="18"/>
              </w:rPr>
              <w:t>建筑地点</w:t>
            </w:r>
          </w:p>
        </w:tc>
        <w:tc>
          <w:tcPr>
            <w:tcW w:w="7649" w:type="dxa"/>
            <w:gridSpan w:val="8"/>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1711" w:type="dxa"/>
            <w:gridSpan w:val="2"/>
          </w:tcPr>
          <w:p>
            <w:pPr>
              <w:pStyle w:val="10"/>
              <w:spacing w:before="16"/>
              <w:ind w:left="494"/>
              <w:rPr>
                <w:sz w:val="18"/>
              </w:rPr>
            </w:pPr>
            <w:r>
              <w:rPr>
                <w:sz w:val="18"/>
              </w:rPr>
              <w:t>指标体系</w:t>
            </w:r>
          </w:p>
        </w:tc>
        <w:tc>
          <w:tcPr>
            <w:tcW w:w="2132" w:type="dxa"/>
            <w:gridSpan w:val="3"/>
            <w:tcBorders>
              <w:right w:val="single" w:color="000000" w:sz="6" w:space="0"/>
            </w:tcBorders>
          </w:tcPr>
          <w:p>
            <w:pPr>
              <w:pStyle w:val="10"/>
              <w:spacing w:before="16"/>
              <w:ind w:left="707"/>
              <w:rPr>
                <w:sz w:val="18"/>
              </w:rPr>
            </w:pPr>
            <w:r>
              <w:rPr>
                <w:sz w:val="18"/>
              </w:rPr>
              <w:t>安全耐久</w:t>
            </w:r>
          </w:p>
        </w:tc>
        <w:tc>
          <w:tcPr>
            <w:tcW w:w="1985" w:type="dxa"/>
            <w:gridSpan w:val="3"/>
            <w:tcBorders>
              <w:left w:val="single" w:color="000000" w:sz="6" w:space="0"/>
            </w:tcBorders>
          </w:tcPr>
          <w:p>
            <w:pPr>
              <w:pStyle w:val="10"/>
              <w:spacing w:before="16"/>
              <w:ind w:left="623"/>
              <w:rPr>
                <w:sz w:val="18"/>
              </w:rPr>
            </w:pPr>
            <w:r>
              <w:rPr>
                <w:sz w:val="18"/>
              </w:rPr>
              <w:t>健康舒适</w:t>
            </w:r>
          </w:p>
        </w:tc>
        <w:tc>
          <w:tcPr>
            <w:tcW w:w="2132" w:type="dxa"/>
            <w:gridSpan w:val="4"/>
          </w:tcPr>
          <w:p>
            <w:pPr>
              <w:pStyle w:val="10"/>
              <w:spacing w:before="16"/>
              <w:ind w:left="697"/>
              <w:rPr>
                <w:sz w:val="18"/>
              </w:rPr>
            </w:pPr>
            <w:r>
              <w:rPr>
                <w:sz w:val="18"/>
              </w:rPr>
              <w:t>生活便利</w:t>
            </w:r>
          </w:p>
        </w:tc>
        <w:tc>
          <w:tcPr>
            <w:tcW w:w="1988" w:type="dxa"/>
            <w:gridSpan w:val="2"/>
          </w:tcPr>
          <w:p>
            <w:pPr>
              <w:pStyle w:val="10"/>
              <w:rPr>
                <w:rFonts w:ascii="Times New Roman"/>
                <w:sz w:val="18"/>
              </w:rPr>
            </w:pPr>
          </w:p>
        </w:tc>
        <w:tc>
          <w:tcPr>
            <w:tcW w:w="2119" w:type="dxa"/>
            <w:gridSpan w:val="2"/>
          </w:tcPr>
          <w:p>
            <w:pPr>
              <w:pStyle w:val="10"/>
              <w:spacing w:before="16"/>
              <w:ind w:left="686"/>
              <w:rPr>
                <w:sz w:val="18"/>
              </w:rPr>
            </w:pPr>
            <w:r>
              <w:rPr>
                <w:sz w:val="18"/>
              </w:rPr>
              <w:t>环境宜居</w:t>
            </w:r>
          </w:p>
        </w:tc>
        <w:tc>
          <w:tcPr>
            <w:tcW w:w="2964" w:type="dxa"/>
            <w:gridSpan w:val="3"/>
          </w:tcPr>
          <w:p>
            <w:pPr>
              <w:pStyle w:val="10"/>
              <w:spacing w:before="16"/>
              <w:ind w:left="660"/>
              <w:rPr>
                <w:sz w:val="18"/>
              </w:rPr>
            </w:pPr>
            <w:r>
              <w:rPr>
                <w:sz w:val="18"/>
              </w:rPr>
              <w:t>列出不参评项条款号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0" w:hRule="atLeast"/>
        </w:trPr>
        <w:tc>
          <w:tcPr>
            <w:tcW w:w="1711" w:type="dxa"/>
            <w:gridSpan w:val="2"/>
          </w:tcPr>
          <w:p>
            <w:pPr>
              <w:pStyle w:val="10"/>
              <w:spacing w:before="19"/>
              <w:ind w:left="405"/>
              <w:rPr>
                <w:sz w:val="18"/>
              </w:rPr>
            </w:pPr>
            <w:r>
              <w:rPr>
                <w:sz w:val="18"/>
              </w:rPr>
              <w:t>控制项项数</w:t>
            </w:r>
          </w:p>
        </w:tc>
        <w:tc>
          <w:tcPr>
            <w:tcW w:w="2132" w:type="dxa"/>
            <w:gridSpan w:val="3"/>
            <w:tcBorders>
              <w:right w:val="single" w:color="000000" w:sz="6" w:space="0"/>
            </w:tcBorders>
          </w:tcPr>
          <w:p>
            <w:pPr>
              <w:pStyle w:val="10"/>
              <w:spacing w:before="19"/>
              <w:ind w:left="348"/>
              <w:rPr>
                <w:sz w:val="18"/>
              </w:rPr>
            </w:pPr>
            <w:r>
              <w:rPr>
                <w:sz w:val="18"/>
              </w:rPr>
              <w:t>(设计阶段共 8 项)</w:t>
            </w:r>
          </w:p>
        </w:tc>
        <w:tc>
          <w:tcPr>
            <w:tcW w:w="1985" w:type="dxa"/>
            <w:gridSpan w:val="3"/>
            <w:tcBorders>
              <w:left w:val="single" w:color="000000" w:sz="6" w:space="0"/>
            </w:tcBorders>
          </w:tcPr>
          <w:p>
            <w:pPr>
              <w:pStyle w:val="10"/>
              <w:spacing w:before="19"/>
              <w:ind w:left="263"/>
              <w:rPr>
                <w:sz w:val="18"/>
              </w:rPr>
            </w:pPr>
            <w:r>
              <w:rPr>
                <w:sz w:val="18"/>
              </w:rPr>
              <w:t>(设计阶段共 9 项)</w:t>
            </w:r>
          </w:p>
        </w:tc>
        <w:tc>
          <w:tcPr>
            <w:tcW w:w="2132" w:type="dxa"/>
            <w:gridSpan w:val="4"/>
          </w:tcPr>
          <w:p>
            <w:pPr>
              <w:pStyle w:val="10"/>
              <w:spacing w:before="19"/>
              <w:ind w:left="337"/>
              <w:rPr>
                <w:sz w:val="18"/>
              </w:rPr>
            </w:pPr>
            <w:r>
              <w:rPr>
                <w:sz w:val="18"/>
              </w:rPr>
              <w:t>(设计阶段共 6 项)</w:t>
            </w:r>
          </w:p>
        </w:tc>
        <w:tc>
          <w:tcPr>
            <w:tcW w:w="1988" w:type="dxa"/>
            <w:gridSpan w:val="2"/>
          </w:tcPr>
          <w:p>
            <w:pPr>
              <w:pStyle w:val="10"/>
              <w:spacing w:before="19"/>
              <w:ind w:left="216"/>
              <w:rPr>
                <w:sz w:val="18"/>
              </w:rPr>
            </w:pPr>
            <w:r>
              <w:rPr>
                <w:sz w:val="18"/>
              </w:rPr>
              <w:t>(设计阶段共 10 项)</w:t>
            </w:r>
          </w:p>
        </w:tc>
        <w:tc>
          <w:tcPr>
            <w:tcW w:w="2119" w:type="dxa"/>
            <w:gridSpan w:val="2"/>
          </w:tcPr>
          <w:p>
            <w:pPr>
              <w:pStyle w:val="10"/>
              <w:spacing w:before="19"/>
              <w:ind w:left="326"/>
              <w:rPr>
                <w:sz w:val="18"/>
              </w:rPr>
            </w:pPr>
            <w:r>
              <w:rPr>
                <w:sz w:val="18"/>
              </w:rPr>
              <w:t>(设计阶段共 7 项)</w:t>
            </w:r>
          </w:p>
        </w:tc>
        <w:tc>
          <w:tcPr>
            <w:tcW w:w="2964" w:type="dxa"/>
            <w:gridSpan w:val="3"/>
          </w:tcPr>
          <w:p>
            <w:pPr>
              <w:pStyle w:val="10"/>
              <w:spacing w:before="19"/>
              <w:ind w:left="660"/>
              <w:rPr>
                <w:sz w:val="18"/>
              </w:rPr>
            </w:pPr>
            <w:r>
              <w:rPr>
                <w:sz w:val="18"/>
              </w:rPr>
              <w:t>（写明不参评理由）</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tcPr>
          <w:p>
            <w:pPr>
              <w:pStyle w:val="10"/>
              <w:spacing w:before="19"/>
              <w:ind w:left="494"/>
              <w:rPr>
                <w:sz w:val="18"/>
              </w:rPr>
            </w:pPr>
            <w:r>
              <w:rPr>
                <w:sz w:val="18"/>
              </w:rPr>
              <w:t>涉及条约</w:t>
            </w:r>
          </w:p>
        </w:tc>
        <w:tc>
          <w:tcPr>
            <w:tcW w:w="1034" w:type="dxa"/>
            <w:gridSpan w:val="2"/>
          </w:tcPr>
          <w:p>
            <w:pPr>
              <w:pStyle w:val="10"/>
              <w:spacing w:before="19"/>
              <w:ind w:left="338"/>
              <w:rPr>
                <w:sz w:val="18"/>
              </w:rPr>
            </w:pPr>
            <w:r>
              <w:rPr>
                <w:sz w:val="18"/>
              </w:rPr>
              <w:t>条款</w:t>
            </w:r>
          </w:p>
        </w:tc>
        <w:tc>
          <w:tcPr>
            <w:tcW w:w="1098" w:type="dxa"/>
            <w:tcBorders>
              <w:right w:val="single" w:color="000000" w:sz="6" w:space="0"/>
            </w:tcBorders>
          </w:tcPr>
          <w:p>
            <w:pPr>
              <w:pStyle w:val="10"/>
              <w:spacing w:before="19"/>
              <w:ind w:left="347" w:right="338"/>
              <w:jc w:val="center"/>
              <w:rPr>
                <w:sz w:val="18"/>
              </w:rPr>
            </w:pPr>
            <w:r>
              <w:rPr>
                <w:sz w:val="18"/>
              </w:rPr>
              <w:t>达标</w:t>
            </w:r>
          </w:p>
        </w:tc>
        <w:tc>
          <w:tcPr>
            <w:tcW w:w="971" w:type="dxa"/>
            <w:tcBorders>
              <w:left w:val="single" w:color="000000" w:sz="6" w:space="0"/>
            </w:tcBorders>
          </w:tcPr>
          <w:p>
            <w:pPr>
              <w:pStyle w:val="10"/>
              <w:spacing w:before="19"/>
              <w:ind w:left="301"/>
              <w:rPr>
                <w:sz w:val="18"/>
              </w:rPr>
            </w:pPr>
            <w:r>
              <w:rPr>
                <w:sz w:val="18"/>
              </w:rPr>
              <w:t>条款</w:t>
            </w:r>
          </w:p>
        </w:tc>
        <w:tc>
          <w:tcPr>
            <w:tcW w:w="1014" w:type="dxa"/>
            <w:gridSpan w:val="2"/>
          </w:tcPr>
          <w:p>
            <w:pPr>
              <w:pStyle w:val="10"/>
              <w:spacing w:before="19"/>
              <w:ind w:left="326"/>
              <w:rPr>
                <w:sz w:val="18"/>
              </w:rPr>
            </w:pPr>
            <w:r>
              <w:rPr>
                <w:sz w:val="18"/>
              </w:rPr>
              <w:t>达标</w:t>
            </w:r>
          </w:p>
        </w:tc>
        <w:tc>
          <w:tcPr>
            <w:tcW w:w="1058" w:type="dxa"/>
            <w:gridSpan w:val="2"/>
          </w:tcPr>
          <w:p>
            <w:pPr>
              <w:pStyle w:val="10"/>
              <w:spacing w:before="19"/>
              <w:ind w:left="347"/>
              <w:rPr>
                <w:sz w:val="18"/>
              </w:rPr>
            </w:pPr>
            <w:r>
              <w:rPr>
                <w:sz w:val="18"/>
              </w:rPr>
              <w:t>条款</w:t>
            </w:r>
          </w:p>
        </w:tc>
        <w:tc>
          <w:tcPr>
            <w:tcW w:w="1074" w:type="dxa"/>
            <w:gridSpan w:val="2"/>
          </w:tcPr>
          <w:p>
            <w:pPr>
              <w:pStyle w:val="10"/>
              <w:spacing w:before="19"/>
              <w:ind w:left="352"/>
              <w:rPr>
                <w:sz w:val="18"/>
              </w:rPr>
            </w:pPr>
            <w:r>
              <w:rPr>
                <w:sz w:val="18"/>
              </w:rPr>
              <w:t>达标</w:t>
            </w:r>
          </w:p>
        </w:tc>
        <w:tc>
          <w:tcPr>
            <w:tcW w:w="1000" w:type="dxa"/>
          </w:tcPr>
          <w:p>
            <w:pPr>
              <w:pStyle w:val="10"/>
              <w:spacing w:before="19"/>
              <w:ind w:left="203" w:right="205"/>
              <w:jc w:val="center"/>
              <w:rPr>
                <w:sz w:val="18"/>
              </w:rPr>
            </w:pPr>
            <w:r>
              <w:rPr>
                <w:sz w:val="18"/>
              </w:rPr>
              <w:t>条款</w:t>
            </w:r>
          </w:p>
        </w:tc>
        <w:tc>
          <w:tcPr>
            <w:tcW w:w="988" w:type="dxa"/>
          </w:tcPr>
          <w:p>
            <w:pPr>
              <w:pStyle w:val="10"/>
              <w:spacing w:before="19"/>
              <w:ind w:left="285" w:right="292"/>
              <w:jc w:val="center"/>
              <w:rPr>
                <w:sz w:val="18"/>
              </w:rPr>
            </w:pPr>
            <w:r>
              <w:rPr>
                <w:sz w:val="18"/>
              </w:rPr>
              <w:t>达标</w:t>
            </w:r>
          </w:p>
        </w:tc>
        <w:tc>
          <w:tcPr>
            <w:tcW w:w="1114" w:type="dxa"/>
          </w:tcPr>
          <w:p>
            <w:pPr>
              <w:pStyle w:val="10"/>
              <w:spacing w:before="19"/>
              <w:ind w:left="130" w:right="170"/>
              <w:jc w:val="center"/>
              <w:rPr>
                <w:sz w:val="18"/>
              </w:rPr>
            </w:pPr>
            <w:r>
              <w:rPr>
                <w:sz w:val="18"/>
              </w:rPr>
              <w:t>条款</w:t>
            </w:r>
          </w:p>
        </w:tc>
        <w:tc>
          <w:tcPr>
            <w:tcW w:w="1005" w:type="dxa"/>
          </w:tcPr>
          <w:p>
            <w:pPr>
              <w:pStyle w:val="10"/>
              <w:spacing w:before="19"/>
              <w:ind w:left="276" w:right="318"/>
              <w:jc w:val="center"/>
              <w:rPr>
                <w:sz w:val="18"/>
              </w:rPr>
            </w:pPr>
            <w:r>
              <w:rPr>
                <w:sz w:val="18"/>
              </w:rPr>
              <w:t>达标</w:t>
            </w:r>
          </w:p>
        </w:tc>
        <w:tc>
          <w:tcPr>
            <w:tcW w:w="2964" w:type="dxa"/>
            <w:gridSpan w:val="3"/>
            <w:vMerge w:val="restart"/>
          </w:tcPr>
          <w:p>
            <w:pPr>
              <w:pStyle w:val="10"/>
              <w:rPr>
                <w:rFonts w:ascii="Times New Roman"/>
                <w:sz w:val="18"/>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1711" w:type="dxa"/>
            <w:gridSpan w:val="2"/>
            <w:vMerge w:val="restart"/>
          </w:tcPr>
          <w:p>
            <w:pPr>
              <w:pStyle w:val="10"/>
              <w:rPr>
                <w:rFonts w:ascii="黑体"/>
                <w:sz w:val="18"/>
              </w:rPr>
            </w:pPr>
          </w:p>
          <w:p>
            <w:pPr>
              <w:pStyle w:val="10"/>
              <w:rPr>
                <w:rFonts w:ascii="黑体"/>
                <w:sz w:val="18"/>
              </w:rPr>
            </w:pPr>
          </w:p>
          <w:p>
            <w:pPr>
              <w:pStyle w:val="10"/>
              <w:rPr>
                <w:rFonts w:ascii="黑体"/>
                <w:sz w:val="18"/>
              </w:rPr>
            </w:pPr>
          </w:p>
          <w:p>
            <w:pPr>
              <w:pStyle w:val="10"/>
              <w:spacing w:before="7"/>
              <w:rPr>
                <w:rFonts w:ascii="黑体"/>
                <w:sz w:val="25"/>
              </w:rPr>
            </w:pPr>
          </w:p>
          <w:p>
            <w:pPr>
              <w:pStyle w:val="10"/>
              <w:spacing w:line="244" w:lineRule="auto"/>
              <w:ind w:left="494" w:right="484" w:firstLine="91"/>
              <w:rPr>
                <w:sz w:val="18"/>
              </w:rPr>
            </w:pPr>
            <w:r>
              <w:rPr>
                <w:sz w:val="18"/>
              </w:rPr>
              <w:t>控制项达标情况</w:t>
            </w:r>
          </w:p>
        </w:tc>
        <w:tc>
          <w:tcPr>
            <w:tcW w:w="1034" w:type="dxa"/>
            <w:gridSpan w:val="2"/>
          </w:tcPr>
          <w:p>
            <w:pPr>
              <w:pStyle w:val="10"/>
              <w:spacing w:before="16"/>
              <w:ind w:left="292"/>
              <w:rPr>
                <w:sz w:val="18"/>
              </w:rPr>
            </w:pPr>
            <w:r>
              <w:rPr>
                <w:sz w:val="18"/>
              </w:rPr>
              <w:t>4.1.1</w:t>
            </w:r>
          </w:p>
        </w:tc>
        <w:tc>
          <w:tcPr>
            <w:tcW w:w="1098" w:type="dxa"/>
            <w:tcBorders>
              <w:right w:val="single" w:color="000000" w:sz="6" w:space="0"/>
            </w:tcBorders>
          </w:tcPr>
          <w:p>
            <w:pPr>
              <w:pStyle w:val="10"/>
              <w:spacing w:before="16"/>
              <w:ind w:left="12"/>
              <w:jc w:val="center"/>
              <w:rPr>
                <w:sz w:val="18"/>
              </w:rPr>
            </w:pPr>
            <w:r>
              <w:rPr>
                <w:sz w:val="18"/>
              </w:rPr>
              <w:t>□</w:t>
            </w:r>
          </w:p>
        </w:tc>
        <w:tc>
          <w:tcPr>
            <w:tcW w:w="971" w:type="dxa"/>
            <w:tcBorders>
              <w:left w:val="single" w:color="000000" w:sz="6" w:space="0"/>
            </w:tcBorders>
          </w:tcPr>
          <w:p>
            <w:pPr>
              <w:pStyle w:val="10"/>
              <w:spacing w:before="16"/>
              <w:ind w:left="256"/>
              <w:rPr>
                <w:sz w:val="18"/>
              </w:rPr>
            </w:pPr>
            <w:r>
              <w:rPr>
                <w:sz w:val="18"/>
              </w:rPr>
              <w:t>5.1.1</w:t>
            </w:r>
          </w:p>
        </w:tc>
        <w:tc>
          <w:tcPr>
            <w:tcW w:w="1014" w:type="dxa"/>
            <w:gridSpan w:val="2"/>
          </w:tcPr>
          <w:p>
            <w:pPr>
              <w:pStyle w:val="10"/>
              <w:spacing w:before="16"/>
              <w:ind w:left="7"/>
              <w:jc w:val="center"/>
              <w:rPr>
                <w:sz w:val="18"/>
              </w:rPr>
            </w:pPr>
            <w:r>
              <w:rPr>
                <w:sz w:val="18"/>
              </w:rPr>
              <w:t>□</w:t>
            </w:r>
          </w:p>
        </w:tc>
        <w:tc>
          <w:tcPr>
            <w:tcW w:w="1058" w:type="dxa"/>
            <w:gridSpan w:val="2"/>
          </w:tcPr>
          <w:p>
            <w:pPr>
              <w:pStyle w:val="10"/>
              <w:spacing w:before="16"/>
              <w:ind w:left="301"/>
              <w:rPr>
                <w:sz w:val="18"/>
              </w:rPr>
            </w:pPr>
            <w:r>
              <w:rPr>
                <w:sz w:val="18"/>
              </w:rPr>
              <w:t>6.1.1</w:t>
            </w:r>
          </w:p>
        </w:tc>
        <w:tc>
          <w:tcPr>
            <w:tcW w:w="1074" w:type="dxa"/>
            <w:gridSpan w:val="2"/>
          </w:tcPr>
          <w:p>
            <w:pPr>
              <w:pStyle w:val="10"/>
              <w:spacing w:before="16"/>
              <w:ind w:left="3"/>
              <w:jc w:val="center"/>
              <w:rPr>
                <w:sz w:val="18"/>
              </w:rPr>
            </w:pPr>
            <w:r>
              <w:rPr>
                <w:sz w:val="18"/>
              </w:rPr>
              <w:t>□</w:t>
            </w:r>
          </w:p>
        </w:tc>
        <w:tc>
          <w:tcPr>
            <w:tcW w:w="1000" w:type="dxa"/>
          </w:tcPr>
          <w:p>
            <w:pPr>
              <w:pStyle w:val="10"/>
              <w:spacing w:before="16"/>
              <w:ind w:left="203" w:right="204"/>
              <w:jc w:val="center"/>
              <w:rPr>
                <w:sz w:val="18"/>
              </w:rPr>
            </w:pPr>
            <w:r>
              <w:rPr>
                <w:sz w:val="18"/>
              </w:rPr>
              <w:t>7.1.1</w:t>
            </w:r>
          </w:p>
        </w:tc>
        <w:tc>
          <w:tcPr>
            <w:tcW w:w="988" w:type="dxa"/>
          </w:tcPr>
          <w:p>
            <w:pPr>
              <w:pStyle w:val="10"/>
              <w:spacing w:before="16"/>
              <w:ind w:right="5"/>
              <w:jc w:val="center"/>
              <w:rPr>
                <w:sz w:val="18"/>
              </w:rPr>
            </w:pPr>
            <w:r>
              <w:rPr>
                <w:sz w:val="18"/>
              </w:rPr>
              <w:t>□</w:t>
            </w:r>
          </w:p>
        </w:tc>
        <w:tc>
          <w:tcPr>
            <w:tcW w:w="1114" w:type="dxa"/>
          </w:tcPr>
          <w:p>
            <w:pPr>
              <w:pStyle w:val="10"/>
              <w:spacing w:before="16"/>
              <w:ind w:left="133" w:right="170"/>
              <w:jc w:val="center"/>
              <w:rPr>
                <w:sz w:val="18"/>
              </w:rPr>
            </w:pPr>
            <w:r>
              <w:rPr>
                <w:sz w:val="18"/>
              </w:rPr>
              <w:t>8.1.1</w:t>
            </w:r>
          </w:p>
        </w:tc>
        <w:tc>
          <w:tcPr>
            <w:tcW w:w="1005" w:type="dxa"/>
          </w:tcPr>
          <w:p>
            <w:pPr>
              <w:pStyle w:val="10"/>
              <w:spacing w:before="16"/>
              <w:ind w:right="40"/>
              <w:jc w:val="center"/>
              <w:rPr>
                <w:sz w:val="18"/>
              </w:rPr>
            </w:pPr>
            <w:r>
              <w:rPr>
                <w:sz w:val="18"/>
              </w:rPr>
              <w:t>□</w:t>
            </w:r>
          </w:p>
        </w:tc>
        <w:tc>
          <w:tcPr>
            <w:tcW w:w="2964" w:type="dxa"/>
            <w:gridSpan w:val="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vMerge w:val="continue"/>
            <w:tcBorders>
              <w:top w:val="nil"/>
            </w:tcBorders>
          </w:tcPr>
          <w:p>
            <w:pPr>
              <w:rPr>
                <w:sz w:val="2"/>
                <w:szCs w:val="2"/>
              </w:rPr>
            </w:pPr>
          </w:p>
        </w:tc>
        <w:tc>
          <w:tcPr>
            <w:tcW w:w="1034" w:type="dxa"/>
            <w:gridSpan w:val="2"/>
          </w:tcPr>
          <w:p>
            <w:pPr>
              <w:pStyle w:val="10"/>
              <w:spacing w:before="19"/>
              <w:ind w:left="292"/>
              <w:rPr>
                <w:sz w:val="18"/>
              </w:rPr>
            </w:pPr>
            <w:r>
              <w:rPr>
                <w:sz w:val="18"/>
              </w:rPr>
              <w:t>4.1.2</w:t>
            </w:r>
          </w:p>
        </w:tc>
        <w:tc>
          <w:tcPr>
            <w:tcW w:w="1098" w:type="dxa"/>
            <w:tcBorders>
              <w:right w:val="single" w:color="000000" w:sz="6" w:space="0"/>
            </w:tcBorders>
          </w:tcPr>
          <w:p>
            <w:pPr>
              <w:pStyle w:val="10"/>
              <w:spacing w:before="19"/>
              <w:ind w:left="12"/>
              <w:jc w:val="center"/>
              <w:rPr>
                <w:sz w:val="18"/>
              </w:rPr>
            </w:pPr>
            <w:r>
              <w:rPr>
                <w:sz w:val="18"/>
              </w:rPr>
              <w:t>□</w:t>
            </w:r>
          </w:p>
        </w:tc>
        <w:tc>
          <w:tcPr>
            <w:tcW w:w="971" w:type="dxa"/>
            <w:tcBorders>
              <w:left w:val="single" w:color="000000" w:sz="6" w:space="0"/>
            </w:tcBorders>
          </w:tcPr>
          <w:p>
            <w:pPr>
              <w:pStyle w:val="10"/>
              <w:spacing w:before="19"/>
              <w:ind w:left="256"/>
              <w:rPr>
                <w:sz w:val="18"/>
              </w:rPr>
            </w:pPr>
            <w:r>
              <w:rPr>
                <w:sz w:val="18"/>
              </w:rPr>
              <w:t>5.1.2</w:t>
            </w:r>
          </w:p>
        </w:tc>
        <w:tc>
          <w:tcPr>
            <w:tcW w:w="1014" w:type="dxa"/>
            <w:gridSpan w:val="2"/>
          </w:tcPr>
          <w:p>
            <w:pPr>
              <w:pStyle w:val="10"/>
              <w:spacing w:before="19"/>
              <w:ind w:left="7"/>
              <w:jc w:val="center"/>
              <w:rPr>
                <w:sz w:val="18"/>
              </w:rPr>
            </w:pPr>
            <w:r>
              <w:rPr>
                <w:sz w:val="18"/>
              </w:rPr>
              <w:t>□</w:t>
            </w:r>
          </w:p>
        </w:tc>
        <w:tc>
          <w:tcPr>
            <w:tcW w:w="1058" w:type="dxa"/>
            <w:gridSpan w:val="2"/>
          </w:tcPr>
          <w:p>
            <w:pPr>
              <w:pStyle w:val="10"/>
              <w:spacing w:before="19"/>
              <w:ind w:left="301"/>
              <w:rPr>
                <w:sz w:val="18"/>
              </w:rPr>
            </w:pPr>
            <w:r>
              <w:rPr>
                <w:sz w:val="18"/>
              </w:rPr>
              <w:t>6.1.2</w:t>
            </w:r>
          </w:p>
        </w:tc>
        <w:tc>
          <w:tcPr>
            <w:tcW w:w="1074" w:type="dxa"/>
            <w:gridSpan w:val="2"/>
          </w:tcPr>
          <w:p>
            <w:pPr>
              <w:pStyle w:val="10"/>
              <w:spacing w:before="19"/>
              <w:ind w:left="3"/>
              <w:jc w:val="center"/>
              <w:rPr>
                <w:sz w:val="18"/>
              </w:rPr>
            </w:pPr>
            <w:r>
              <w:rPr>
                <w:sz w:val="18"/>
              </w:rPr>
              <w:t>□</w:t>
            </w:r>
          </w:p>
        </w:tc>
        <w:tc>
          <w:tcPr>
            <w:tcW w:w="1000" w:type="dxa"/>
          </w:tcPr>
          <w:p>
            <w:pPr>
              <w:pStyle w:val="10"/>
              <w:spacing w:before="19"/>
              <w:ind w:left="203" w:right="204"/>
              <w:jc w:val="center"/>
              <w:rPr>
                <w:sz w:val="18"/>
              </w:rPr>
            </w:pPr>
            <w:r>
              <w:rPr>
                <w:sz w:val="18"/>
              </w:rPr>
              <w:t>7.1.2</w:t>
            </w:r>
          </w:p>
        </w:tc>
        <w:tc>
          <w:tcPr>
            <w:tcW w:w="988" w:type="dxa"/>
          </w:tcPr>
          <w:p>
            <w:pPr>
              <w:pStyle w:val="10"/>
              <w:spacing w:before="19"/>
              <w:ind w:right="5"/>
              <w:jc w:val="center"/>
              <w:rPr>
                <w:sz w:val="18"/>
              </w:rPr>
            </w:pPr>
            <w:r>
              <w:rPr>
                <w:sz w:val="18"/>
              </w:rPr>
              <w:t>□</w:t>
            </w:r>
          </w:p>
        </w:tc>
        <w:tc>
          <w:tcPr>
            <w:tcW w:w="1114" w:type="dxa"/>
          </w:tcPr>
          <w:p>
            <w:pPr>
              <w:pStyle w:val="10"/>
              <w:spacing w:before="19"/>
              <w:ind w:left="132" w:right="170"/>
              <w:jc w:val="center"/>
              <w:rPr>
                <w:sz w:val="18"/>
              </w:rPr>
            </w:pPr>
            <w:r>
              <w:rPr>
                <w:sz w:val="18"/>
              </w:rPr>
              <w:t>8.1.2</w:t>
            </w:r>
          </w:p>
        </w:tc>
        <w:tc>
          <w:tcPr>
            <w:tcW w:w="1005" w:type="dxa"/>
          </w:tcPr>
          <w:p>
            <w:pPr>
              <w:pStyle w:val="10"/>
              <w:spacing w:before="19"/>
              <w:ind w:right="40"/>
              <w:jc w:val="center"/>
              <w:rPr>
                <w:sz w:val="18"/>
              </w:rPr>
            </w:pPr>
            <w:r>
              <w:rPr>
                <w:sz w:val="18"/>
              </w:rPr>
              <w:t>□</w:t>
            </w:r>
          </w:p>
        </w:tc>
        <w:tc>
          <w:tcPr>
            <w:tcW w:w="2964" w:type="dxa"/>
            <w:gridSpan w:val="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vMerge w:val="continue"/>
            <w:tcBorders>
              <w:top w:val="nil"/>
            </w:tcBorders>
          </w:tcPr>
          <w:p>
            <w:pPr>
              <w:rPr>
                <w:sz w:val="2"/>
                <w:szCs w:val="2"/>
              </w:rPr>
            </w:pPr>
          </w:p>
        </w:tc>
        <w:tc>
          <w:tcPr>
            <w:tcW w:w="1034" w:type="dxa"/>
            <w:gridSpan w:val="2"/>
          </w:tcPr>
          <w:p>
            <w:pPr>
              <w:pStyle w:val="10"/>
              <w:spacing w:before="19"/>
              <w:ind w:left="292"/>
              <w:rPr>
                <w:sz w:val="18"/>
              </w:rPr>
            </w:pPr>
            <w:r>
              <w:rPr>
                <w:sz w:val="18"/>
              </w:rPr>
              <w:t>4.1.3</w:t>
            </w:r>
          </w:p>
        </w:tc>
        <w:tc>
          <w:tcPr>
            <w:tcW w:w="1098" w:type="dxa"/>
            <w:tcBorders>
              <w:right w:val="single" w:color="000000" w:sz="6" w:space="0"/>
            </w:tcBorders>
          </w:tcPr>
          <w:p>
            <w:pPr>
              <w:pStyle w:val="10"/>
              <w:spacing w:before="19"/>
              <w:ind w:left="12"/>
              <w:jc w:val="center"/>
              <w:rPr>
                <w:sz w:val="18"/>
              </w:rPr>
            </w:pPr>
            <w:r>
              <w:rPr>
                <w:sz w:val="18"/>
              </w:rPr>
              <w:t>□</w:t>
            </w:r>
          </w:p>
        </w:tc>
        <w:tc>
          <w:tcPr>
            <w:tcW w:w="971" w:type="dxa"/>
            <w:tcBorders>
              <w:left w:val="single" w:color="000000" w:sz="6" w:space="0"/>
            </w:tcBorders>
          </w:tcPr>
          <w:p>
            <w:pPr>
              <w:pStyle w:val="10"/>
              <w:spacing w:before="19"/>
              <w:ind w:left="256"/>
              <w:rPr>
                <w:sz w:val="18"/>
              </w:rPr>
            </w:pPr>
            <w:r>
              <w:rPr>
                <w:sz w:val="18"/>
              </w:rPr>
              <w:t>5.1.3</w:t>
            </w:r>
          </w:p>
        </w:tc>
        <w:tc>
          <w:tcPr>
            <w:tcW w:w="1014" w:type="dxa"/>
            <w:gridSpan w:val="2"/>
          </w:tcPr>
          <w:p>
            <w:pPr>
              <w:pStyle w:val="10"/>
              <w:spacing w:before="19"/>
              <w:ind w:left="7"/>
              <w:jc w:val="center"/>
              <w:rPr>
                <w:sz w:val="18"/>
              </w:rPr>
            </w:pPr>
            <w:r>
              <w:rPr>
                <w:sz w:val="18"/>
              </w:rPr>
              <w:t>□</w:t>
            </w:r>
          </w:p>
        </w:tc>
        <w:tc>
          <w:tcPr>
            <w:tcW w:w="1058" w:type="dxa"/>
            <w:gridSpan w:val="2"/>
          </w:tcPr>
          <w:p>
            <w:pPr>
              <w:pStyle w:val="10"/>
              <w:spacing w:before="19"/>
              <w:ind w:left="301"/>
              <w:rPr>
                <w:sz w:val="18"/>
              </w:rPr>
            </w:pPr>
            <w:r>
              <w:rPr>
                <w:sz w:val="18"/>
              </w:rPr>
              <w:t>6.1.3</w:t>
            </w:r>
          </w:p>
        </w:tc>
        <w:tc>
          <w:tcPr>
            <w:tcW w:w="1074" w:type="dxa"/>
            <w:gridSpan w:val="2"/>
          </w:tcPr>
          <w:p>
            <w:pPr>
              <w:pStyle w:val="10"/>
              <w:spacing w:before="19"/>
              <w:ind w:left="3"/>
              <w:jc w:val="center"/>
              <w:rPr>
                <w:sz w:val="18"/>
              </w:rPr>
            </w:pPr>
            <w:r>
              <w:rPr>
                <w:sz w:val="18"/>
              </w:rPr>
              <w:t>□</w:t>
            </w:r>
          </w:p>
        </w:tc>
        <w:tc>
          <w:tcPr>
            <w:tcW w:w="1000" w:type="dxa"/>
          </w:tcPr>
          <w:p>
            <w:pPr>
              <w:pStyle w:val="10"/>
              <w:spacing w:before="19"/>
              <w:ind w:left="203" w:right="204"/>
              <w:jc w:val="center"/>
              <w:rPr>
                <w:sz w:val="18"/>
              </w:rPr>
            </w:pPr>
            <w:r>
              <w:rPr>
                <w:sz w:val="18"/>
              </w:rPr>
              <w:t>7.1.3</w:t>
            </w:r>
          </w:p>
        </w:tc>
        <w:tc>
          <w:tcPr>
            <w:tcW w:w="988" w:type="dxa"/>
          </w:tcPr>
          <w:p>
            <w:pPr>
              <w:pStyle w:val="10"/>
              <w:spacing w:before="19"/>
              <w:ind w:right="5"/>
              <w:jc w:val="center"/>
              <w:rPr>
                <w:sz w:val="18"/>
              </w:rPr>
            </w:pPr>
            <w:r>
              <w:rPr>
                <w:sz w:val="18"/>
              </w:rPr>
              <w:t>□</w:t>
            </w:r>
          </w:p>
        </w:tc>
        <w:tc>
          <w:tcPr>
            <w:tcW w:w="1114" w:type="dxa"/>
          </w:tcPr>
          <w:p>
            <w:pPr>
              <w:pStyle w:val="10"/>
              <w:spacing w:before="19"/>
              <w:ind w:left="132" w:right="170"/>
              <w:jc w:val="center"/>
              <w:rPr>
                <w:sz w:val="18"/>
              </w:rPr>
            </w:pPr>
            <w:r>
              <w:rPr>
                <w:sz w:val="18"/>
              </w:rPr>
              <w:t>8.1.3</w:t>
            </w:r>
          </w:p>
        </w:tc>
        <w:tc>
          <w:tcPr>
            <w:tcW w:w="1005" w:type="dxa"/>
          </w:tcPr>
          <w:p>
            <w:pPr>
              <w:pStyle w:val="10"/>
              <w:spacing w:before="19"/>
              <w:ind w:right="40"/>
              <w:jc w:val="center"/>
              <w:rPr>
                <w:sz w:val="18"/>
              </w:rPr>
            </w:pPr>
            <w:r>
              <w:rPr>
                <w:sz w:val="18"/>
              </w:rPr>
              <w:t>□</w:t>
            </w:r>
          </w:p>
        </w:tc>
        <w:tc>
          <w:tcPr>
            <w:tcW w:w="2964" w:type="dxa"/>
            <w:gridSpan w:val="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1711" w:type="dxa"/>
            <w:gridSpan w:val="2"/>
            <w:vMerge w:val="continue"/>
            <w:tcBorders>
              <w:top w:val="nil"/>
            </w:tcBorders>
          </w:tcPr>
          <w:p>
            <w:pPr>
              <w:rPr>
                <w:sz w:val="2"/>
                <w:szCs w:val="2"/>
              </w:rPr>
            </w:pPr>
          </w:p>
        </w:tc>
        <w:tc>
          <w:tcPr>
            <w:tcW w:w="1034" w:type="dxa"/>
            <w:gridSpan w:val="2"/>
          </w:tcPr>
          <w:p>
            <w:pPr>
              <w:pStyle w:val="10"/>
              <w:spacing w:before="16"/>
              <w:ind w:left="292"/>
              <w:rPr>
                <w:sz w:val="18"/>
              </w:rPr>
            </w:pPr>
            <w:r>
              <w:rPr>
                <w:sz w:val="18"/>
              </w:rPr>
              <w:t>4.1.4</w:t>
            </w:r>
          </w:p>
        </w:tc>
        <w:tc>
          <w:tcPr>
            <w:tcW w:w="1098" w:type="dxa"/>
            <w:tcBorders>
              <w:right w:val="single" w:color="000000" w:sz="6" w:space="0"/>
            </w:tcBorders>
          </w:tcPr>
          <w:p>
            <w:pPr>
              <w:pStyle w:val="10"/>
              <w:spacing w:before="16"/>
              <w:ind w:left="12"/>
              <w:jc w:val="center"/>
              <w:rPr>
                <w:sz w:val="18"/>
              </w:rPr>
            </w:pPr>
            <w:r>
              <w:rPr>
                <w:sz w:val="18"/>
              </w:rPr>
              <w:t>□</w:t>
            </w:r>
          </w:p>
        </w:tc>
        <w:tc>
          <w:tcPr>
            <w:tcW w:w="971" w:type="dxa"/>
            <w:tcBorders>
              <w:left w:val="single" w:color="000000" w:sz="6" w:space="0"/>
            </w:tcBorders>
          </w:tcPr>
          <w:p>
            <w:pPr>
              <w:pStyle w:val="10"/>
              <w:spacing w:before="16"/>
              <w:ind w:left="256"/>
              <w:rPr>
                <w:sz w:val="18"/>
              </w:rPr>
            </w:pPr>
            <w:r>
              <w:rPr>
                <w:sz w:val="18"/>
              </w:rPr>
              <w:t>5.1.4</w:t>
            </w:r>
          </w:p>
        </w:tc>
        <w:tc>
          <w:tcPr>
            <w:tcW w:w="1014" w:type="dxa"/>
            <w:gridSpan w:val="2"/>
          </w:tcPr>
          <w:p>
            <w:pPr>
              <w:pStyle w:val="10"/>
              <w:spacing w:before="16"/>
              <w:ind w:left="7"/>
              <w:jc w:val="center"/>
              <w:rPr>
                <w:sz w:val="18"/>
              </w:rPr>
            </w:pPr>
            <w:r>
              <w:rPr>
                <w:sz w:val="18"/>
              </w:rPr>
              <w:t>□</w:t>
            </w:r>
          </w:p>
        </w:tc>
        <w:tc>
          <w:tcPr>
            <w:tcW w:w="1058" w:type="dxa"/>
            <w:gridSpan w:val="2"/>
          </w:tcPr>
          <w:p>
            <w:pPr>
              <w:pStyle w:val="10"/>
              <w:spacing w:before="16"/>
              <w:ind w:left="301"/>
              <w:rPr>
                <w:sz w:val="18"/>
              </w:rPr>
            </w:pPr>
            <w:r>
              <w:rPr>
                <w:sz w:val="18"/>
              </w:rPr>
              <w:t>6.1.4</w:t>
            </w:r>
          </w:p>
        </w:tc>
        <w:tc>
          <w:tcPr>
            <w:tcW w:w="1074" w:type="dxa"/>
            <w:gridSpan w:val="2"/>
          </w:tcPr>
          <w:p>
            <w:pPr>
              <w:pStyle w:val="10"/>
              <w:spacing w:before="16"/>
              <w:ind w:left="3"/>
              <w:jc w:val="center"/>
              <w:rPr>
                <w:sz w:val="18"/>
              </w:rPr>
            </w:pPr>
            <w:r>
              <w:rPr>
                <w:sz w:val="18"/>
              </w:rPr>
              <w:t>□</w:t>
            </w:r>
          </w:p>
        </w:tc>
        <w:tc>
          <w:tcPr>
            <w:tcW w:w="1000" w:type="dxa"/>
          </w:tcPr>
          <w:p>
            <w:pPr>
              <w:pStyle w:val="10"/>
              <w:spacing w:before="16"/>
              <w:ind w:left="203" w:right="204"/>
              <w:jc w:val="center"/>
              <w:rPr>
                <w:sz w:val="18"/>
              </w:rPr>
            </w:pPr>
            <w:r>
              <w:rPr>
                <w:sz w:val="18"/>
              </w:rPr>
              <w:t>7.1.4</w:t>
            </w:r>
          </w:p>
        </w:tc>
        <w:tc>
          <w:tcPr>
            <w:tcW w:w="988" w:type="dxa"/>
          </w:tcPr>
          <w:p>
            <w:pPr>
              <w:pStyle w:val="10"/>
              <w:spacing w:before="16"/>
              <w:ind w:right="5"/>
              <w:jc w:val="center"/>
              <w:rPr>
                <w:sz w:val="18"/>
              </w:rPr>
            </w:pPr>
            <w:r>
              <w:rPr>
                <w:sz w:val="18"/>
              </w:rPr>
              <w:t>□</w:t>
            </w:r>
          </w:p>
        </w:tc>
        <w:tc>
          <w:tcPr>
            <w:tcW w:w="1114" w:type="dxa"/>
          </w:tcPr>
          <w:p>
            <w:pPr>
              <w:pStyle w:val="10"/>
              <w:spacing w:before="16"/>
              <w:ind w:left="132" w:right="170"/>
              <w:jc w:val="center"/>
              <w:rPr>
                <w:sz w:val="18"/>
              </w:rPr>
            </w:pPr>
            <w:r>
              <w:rPr>
                <w:sz w:val="18"/>
              </w:rPr>
              <w:t>8.1.4</w:t>
            </w:r>
          </w:p>
        </w:tc>
        <w:tc>
          <w:tcPr>
            <w:tcW w:w="1005" w:type="dxa"/>
          </w:tcPr>
          <w:p>
            <w:pPr>
              <w:pStyle w:val="10"/>
              <w:spacing w:before="16"/>
              <w:ind w:right="40"/>
              <w:jc w:val="center"/>
              <w:rPr>
                <w:sz w:val="18"/>
              </w:rPr>
            </w:pPr>
            <w:r>
              <w:rPr>
                <w:sz w:val="18"/>
              </w:rPr>
              <w:t>□</w:t>
            </w:r>
          </w:p>
        </w:tc>
        <w:tc>
          <w:tcPr>
            <w:tcW w:w="2964" w:type="dxa"/>
            <w:gridSpan w:val="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vMerge w:val="continue"/>
            <w:tcBorders>
              <w:top w:val="nil"/>
            </w:tcBorders>
          </w:tcPr>
          <w:p>
            <w:pPr>
              <w:rPr>
                <w:sz w:val="2"/>
                <w:szCs w:val="2"/>
              </w:rPr>
            </w:pPr>
          </w:p>
        </w:tc>
        <w:tc>
          <w:tcPr>
            <w:tcW w:w="1034" w:type="dxa"/>
            <w:gridSpan w:val="2"/>
          </w:tcPr>
          <w:p>
            <w:pPr>
              <w:pStyle w:val="10"/>
              <w:spacing w:before="19"/>
              <w:ind w:left="292"/>
              <w:rPr>
                <w:sz w:val="18"/>
              </w:rPr>
            </w:pPr>
            <w:r>
              <w:rPr>
                <w:sz w:val="18"/>
              </w:rPr>
              <w:t>4.1.5</w:t>
            </w:r>
          </w:p>
        </w:tc>
        <w:tc>
          <w:tcPr>
            <w:tcW w:w="1098" w:type="dxa"/>
            <w:tcBorders>
              <w:right w:val="single" w:color="000000" w:sz="6" w:space="0"/>
            </w:tcBorders>
          </w:tcPr>
          <w:p>
            <w:pPr>
              <w:pStyle w:val="10"/>
              <w:spacing w:before="19"/>
              <w:ind w:left="12"/>
              <w:jc w:val="center"/>
              <w:rPr>
                <w:sz w:val="18"/>
              </w:rPr>
            </w:pPr>
            <w:r>
              <w:rPr>
                <w:sz w:val="18"/>
              </w:rPr>
              <w:t>□</w:t>
            </w:r>
          </w:p>
        </w:tc>
        <w:tc>
          <w:tcPr>
            <w:tcW w:w="971" w:type="dxa"/>
            <w:tcBorders>
              <w:left w:val="single" w:color="000000" w:sz="6" w:space="0"/>
            </w:tcBorders>
          </w:tcPr>
          <w:p>
            <w:pPr>
              <w:pStyle w:val="10"/>
              <w:spacing w:before="19"/>
              <w:ind w:left="256"/>
              <w:rPr>
                <w:sz w:val="18"/>
              </w:rPr>
            </w:pPr>
            <w:r>
              <w:rPr>
                <w:sz w:val="18"/>
              </w:rPr>
              <w:t>5.1.5</w:t>
            </w:r>
          </w:p>
        </w:tc>
        <w:tc>
          <w:tcPr>
            <w:tcW w:w="1014" w:type="dxa"/>
            <w:gridSpan w:val="2"/>
          </w:tcPr>
          <w:p>
            <w:pPr>
              <w:pStyle w:val="10"/>
              <w:spacing w:before="19"/>
              <w:ind w:left="7"/>
              <w:jc w:val="center"/>
              <w:rPr>
                <w:sz w:val="18"/>
              </w:rPr>
            </w:pPr>
            <w:r>
              <w:rPr>
                <w:sz w:val="18"/>
              </w:rPr>
              <w:t>□</w:t>
            </w:r>
          </w:p>
        </w:tc>
        <w:tc>
          <w:tcPr>
            <w:tcW w:w="1058" w:type="dxa"/>
            <w:gridSpan w:val="2"/>
          </w:tcPr>
          <w:p>
            <w:pPr>
              <w:pStyle w:val="10"/>
              <w:spacing w:before="19"/>
              <w:ind w:left="301"/>
              <w:rPr>
                <w:sz w:val="18"/>
              </w:rPr>
            </w:pPr>
            <w:r>
              <w:rPr>
                <w:sz w:val="18"/>
              </w:rPr>
              <w:t>6.1.5</w:t>
            </w:r>
          </w:p>
        </w:tc>
        <w:tc>
          <w:tcPr>
            <w:tcW w:w="1074" w:type="dxa"/>
            <w:gridSpan w:val="2"/>
          </w:tcPr>
          <w:p>
            <w:pPr>
              <w:pStyle w:val="10"/>
              <w:spacing w:before="19"/>
              <w:ind w:left="3"/>
              <w:jc w:val="center"/>
              <w:rPr>
                <w:sz w:val="18"/>
              </w:rPr>
            </w:pPr>
            <w:r>
              <w:rPr>
                <w:sz w:val="18"/>
              </w:rPr>
              <w:t>□</w:t>
            </w:r>
          </w:p>
        </w:tc>
        <w:tc>
          <w:tcPr>
            <w:tcW w:w="1000" w:type="dxa"/>
          </w:tcPr>
          <w:p>
            <w:pPr>
              <w:pStyle w:val="10"/>
              <w:spacing w:before="19"/>
              <w:ind w:left="203" w:right="204"/>
              <w:jc w:val="center"/>
              <w:rPr>
                <w:sz w:val="18"/>
              </w:rPr>
            </w:pPr>
            <w:r>
              <w:rPr>
                <w:sz w:val="18"/>
              </w:rPr>
              <w:t>7.1.5</w:t>
            </w:r>
          </w:p>
        </w:tc>
        <w:tc>
          <w:tcPr>
            <w:tcW w:w="988" w:type="dxa"/>
          </w:tcPr>
          <w:p>
            <w:pPr>
              <w:pStyle w:val="10"/>
              <w:spacing w:before="19"/>
              <w:ind w:right="5"/>
              <w:jc w:val="center"/>
              <w:rPr>
                <w:sz w:val="18"/>
              </w:rPr>
            </w:pPr>
            <w:r>
              <w:rPr>
                <w:sz w:val="18"/>
              </w:rPr>
              <w:t>□</w:t>
            </w:r>
          </w:p>
        </w:tc>
        <w:tc>
          <w:tcPr>
            <w:tcW w:w="1114" w:type="dxa"/>
          </w:tcPr>
          <w:p>
            <w:pPr>
              <w:pStyle w:val="10"/>
              <w:spacing w:before="19"/>
              <w:ind w:left="132" w:right="170"/>
              <w:jc w:val="center"/>
              <w:rPr>
                <w:sz w:val="18"/>
              </w:rPr>
            </w:pPr>
            <w:r>
              <w:rPr>
                <w:sz w:val="18"/>
              </w:rPr>
              <w:t>8.1.5</w:t>
            </w:r>
          </w:p>
        </w:tc>
        <w:tc>
          <w:tcPr>
            <w:tcW w:w="1005" w:type="dxa"/>
          </w:tcPr>
          <w:p>
            <w:pPr>
              <w:pStyle w:val="10"/>
              <w:spacing w:before="19"/>
              <w:ind w:right="40"/>
              <w:jc w:val="center"/>
              <w:rPr>
                <w:sz w:val="18"/>
              </w:rPr>
            </w:pPr>
            <w:r>
              <w:rPr>
                <w:sz w:val="18"/>
              </w:rPr>
              <w:t>□</w:t>
            </w:r>
          </w:p>
        </w:tc>
        <w:tc>
          <w:tcPr>
            <w:tcW w:w="2964" w:type="dxa"/>
            <w:gridSpan w:val="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vMerge w:val="continue"/>
            <w:tcBorders>
              <w:top w:val="nil"/>
            </w:tcBorders>
          </w:tcPr>
          <w:p>
            <w:pPr>
              <w:rPr>
                <w:sz w:val="2"/>
                <w:szCs w:val="2"/>
              </w:rPr>
            </w:pPr>
          </w:p>
        </w:tc>
        <w:tc>
          <w:tcPr>
            <w:tcW w:w="1034" w:type="dxa"/>
            <w:gridSpan w:val="2"/>
          </w:tcPr>
          <w:p>
            <w:pPr>
              <w:pStyle w:val="10"/>
              <w:spacing w:before="19"/>
              <w:ind w:left="292"/>
              <w:rPr>
                <w:sz w:val="18"/>
              </w:rPr>
            </w:pPr>
            <w:r>
              <w:rPr>
                <w:sz w:val="18"/>
              </w:rPr>
              <w:t>4.1.6</w:t>
            </w:r>
          </w:p>
        </w:tc>
        <w:tc>
          <w:tcPr>
            <w:tcW w:w="1098" w:type="dxa"/>
            <w:tcBorders>
              <w:right w:val="single" w:color="000000" w:sz="6" w:space="0"/>
            </w:tcBorders>
          </w:tcPr>
          <w:p>
            <w:pPr>
              <w:pStyle w:val="10"/>
              <w:spacing w:before="19"/>
              <w:ind w:left="12"/>
              <w:jc w:val="center"/>
              <w:rPr>
                <w:sz w:val="18"/>
              </w:rPr>
            </w:pPr>
            <w:r>
              <w:rPr>
                <w:sz w:val="18"/>
              </w:rPr>
              <w:t>□</w:t>
            </w:r>
          </w:p>
        </w:tc>
        <w:tc>
          <w:tcPr>
            <w:tcW w:w="971" w:type="dxa"/>
            <w:tcBorders>
              <w:left w:val="single" w:color="000000" w:sz="6" w:space="0"/>
            </w:tcBorders>
          </w:tcPr>
          <w:p>
            <w:pPr>
              <w:pStyle w:val="10"/>
              <w:spacing w:before="19"/>
              <w:ind w:left="256"/>
              <w:rPr>
                <w:sz w:val="18"/>
              </w:rPr>
            </w:pPr>
            <w:r>
              <w:rPr>
                <w:sz w:val="18"/>
              </w:rPr>
              <w:t>5.1.6</w:t>
            </w:r>
          </w:p>
        </w:tc>
        <w:tc>
          <w:tcPr>
            <w:tcW w:w="1014" w:type="dxa"/>
            <w:gridSpan w:val="2"/>
          </w:tcPr>
          <w:p>
            <w:pPr>
              <w:pStyle w:val="10"/>
              <w:spacing w:before="19"/>
              <w:ind w:left="7"/>
              <w:jc w:val="center"/>
              <w:rPr>
                <w:sz w:val="18"/>
              </w:rPr>
            </w:pPr>
            <w:r>
              <w:rPr>
                <w:sz w:val="18"/>
              </w:rPr>
              <w:t>□</w:t>
            </w:r>
          </w:p>
        </w:tc>
        <w:tc>
          <w:tcPr>
            <w:tcW w:w="1058" w:type="dxa"/>
            <w:gridSpan w:val="2"/>
          </w:tcPr>
          <w:p>
            <w:pPr>
              <w:pStyle w:val="10"/>
              <w:spacing w:before="19"/>
              <w:ind w:left="301"/>
              <w:rPr>
                <w:sz w:val="18"/>
              </w:rPr>
            </w:pPr>
            <w:r>
              <w:rPr>
                <w:sz w:val="18"/>
              </w:rPr>
              <w:t>6.1.6</w:t>
            </w:r>
          </w:p>
        </w:tc>
        <w:tc>
          <w:tcPr>
            <w:tcW w:w="1074" w:type="dxa"/>
            <w:gridSpan w:val="2"/>
          </w:tcPr>
          <w:p>
            <w:pPr>
              <w:pStyle w:val="10"/>
              <w:spacing w:before="19"/>
              <w:ind w:left="3"/>
              <w:jc w:val="center"/>
              <w:rPr>
                <w:sz w:val="18"/>
              </w:rPr>
            </w:pPr>
            <w:r>
              <w:rPr>
                <w:sz w:val="18"/>
              </w:rPr>
              <w:t>□</w:t>
            </w:r>
          </w:p>
        </w:tc>
        <w:tc>
          <w:tcPr>
            <w:tcW w:w="1000" w:type="dxa"/>
          </w:tcPr>
          <w:p>
            <w:pPr>
              <w:pStyle w:val="10"/>
              <w:spacing w:before="19"/>
              <w:ind w:left="203" w:right="204"/>
              <w:jc w:val="center"/>
              <w:rPr>
                <w:sz w:val="18"/>
              </w:rPr>
            </w:pPr>
            <w:r>
              <w:rPr>
                <w:sz w:val="18"/>
              </w:rPr>
              <w:t>7.1.6</w:t>
            </w:r>
          </w:p>
        </w:tc>
        <w:tc>
          <w:tcPr>
            <w:tcW w:w="988" w:type="dxa"/>
          </w:tcPr>
          <w:p>
            <w:pPr>
              <w:pStyle w:val="10"/>
              <w:spacing w:before="19"/>
              <w:ind w:right="5"/>
              <w:jc w:val="center"/>
              <w:rPr>
                <w:sz w:val="18"/>
              </w:rPr>
            </w:pPr>
            <w:r>
              <w:rPr>
                <w:sz w:val="18"/>
              </w:rPr>
              <w:t>□</w:t>
            </w:r>
          </w:p>
        </w:tc>
        <w:tc>
          <w:tcPr>
            <w:tcW w:w="1114" w:type="dxa"/>
          </w:tcPr>
          <w:p>
            <w:pPr>
              <w:pStyle w:val="10"/>
              <w:spacing w:before="19"/>
              <w:ind w:left="132" w:right="170"/>
              <w:jc w:val="center"/>
              <w:rPr>
                <w:sz w:val="18"/>
              </w:rPr>
            </w:pPr>
            <w:r>
              <w:rPr>
                <w:sz w:val="18"/>
              </w:rPr>
              <w:t>8.1.6</w:t>
            </w:r>
          </w:p>
        </w:tc>
        <w:tc>
          <w:tcPr>
            <w:tcW w:w="1005" w:type="dxa"/>
          </w:tcPr>
          <w:p>
            <w:pPr>
              <w:pStyle w:val="10"/>
              <w:spacing w:before="19"/>
              <w:ind w:right="40"/>
              <w:jc w:val="center"/>
              <w:rPr>
                <w:sz w:val="18"/>
              </w:rPr>
            </w:pPr>
            <w:r>
              <w:rPr>
                <w:sz w:val="18"/>
              </w:rPr>
              <w:t>□</w:t>
            </w:r>
          </w:p>
        </w:tc>
        <w:tc>
          <w:tcPr>
            <w:tcW w:w="2964" w:type="dxa"/>
            <w:gridSpan w:val="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1711" w:type="dxa"/>
            <w:gridSpan w:val="2"/>
            <w:vMerge w:val="continue"/>
            <w:tcBorders>
              <w:top w:val="nil"/>
            </w:tcBorders>
          </w:tcPr>
          <w:p>
            <w:pPr>
              <w:rPr>
                <w:sz w:val="2"/>
                <w:szCs w:val="2"/>
              </w:rPr>
            </w:pPr>
          </w:p>
        </w:tc>
        <w:tc>
          <w:tcPr>
            <w:tcW w:w="1034" w:type="dxa"/>
            <w:gridSpan w:val="2"/>
          </w:tcPr>
          <w:p>
            <w:pPr>
              <w:pStyle w:val="10"/>
              <w:spacing w:before="16"/>
              <w:ind w:left="292"/>
              <w:rPr>
                <w:sz w:val="18"/>
              </w:rPr>
            </w:pPr>
            <w:r>
              <w:rPr>
                <w:sz w:val="18"/>
              </w:rPr>
              <w:t>4.1.7</w:t>
            </w:r>
          </w:p>
        </w:tc>
        <w:tc>
          <w:tcPr>
            <w:tcW w:w="1098" w:type="dxa"/>
            <w:tcBorders>
              <w:right w:val="single" w:color="000000" w:sz="6" w:space="0"/>
            </w:tcBorders>
          </w:tcPr>
          <w:p>
            <w:pPr>
              <w:pStyle w:val="10"/>
              <w:spacing w:before="16"/>
              <w:ind w:left="12"/>
              <w:jc w:val="center"/>
              <w:rPr>
                <w:sz w:val="18"/>
              </w:rPr>
            </w:pPr>
            <w:r>
              <w:rPr>
                <w:sz w:val="18"/>
              </w:rPr>
              <w:t>□</w:t>
            </w:r>
          </w:p>
        </w:tc>
        <w:tc>
          <w:tcPr>
            <w:tcW w:w="971" w:type="dxa"/>
            <w:tcBorders>
              <w:left w:val="single" w:color="000000" w:sz="6" w:space="0"/>
            </w:tcBorders>
          </w:tcPr>
          <w:p>
            <w:pPr>
              <w:pStyle w:val="10"/>
              <w:spacing w:before="16"/>
              <w:ind w:left="256"/>
              <w:rPr>
                <w:sz w:val="18"/>
              </w:rPr>
            </w:pPr>
            <w:r>
              <w:rPr>
                <w:sz w:val="18"/>
              </w:rPr>
              <w:t>5.1.7</w:t>
            </w:r>
          </w:p>
        </w:tc>
        <w:tc>
          <w:tcPr>
            <w:tcW w:w="1014" w:type="dxa"/>
            <w:gridSpan w:val="2"/>
          </w:tcPr>
          <w:p>
            <w:pPr>
              <w:pStyle w:val="10"/>
              <w:spacing w:before="16"/>
              <w:ind w:left="7"/>
              <w:jc w:val="center"/>
              <w:rPr>
                <w:sz w:val="18"/>
              </w:rPr>
            </w:pPr>
            <w:r>
              <w:rPr>
                <w:sz w:val="18"/>
              </w:rPr>
              <w:t>□</w:t>
            </w:r>
          </w:p>
        </w:tc>
        <w:tc>
          <w:tcPr>
            <w:tcW w:w="1058" w:type="dxa"/>
            <w:gridSpan w:val="2"/>
          </w:tcPr>
          <w:p>
            <w:pPr>
              <w:pStyle w:val="10"/>
              <w:rPr>
                <w:rFonts w:ascii="Times New Roman"/>
                <w:sz w:val="18"/>
              </w:rPr>
            </w:pPr>
          </w:p>
        </w:tc>
        <w:tc>
          <w:tcPr>
            <w:tcW w:w="1074" w:type="dxa"/>
            <w:gridSpan w:val="2"/>
          </w:tcPr>
          <w:p>
            <w:pPr>
              <w:pStyle w:val="10"/>
              <w:rPr>
                <w:rFonts w:ascii="Times New Roman"/>
                <w:sz w:val="18"/>
              </w:rPr>
            </w:pPr>
          </w:p>
        </w:tc>
        <w:tc>
          <w:tcPr>
            <w:tcW w:w="1000" w:type="dxa"/>
          </w:tcPr>
          <w:p>
            <w:pPr>
              <w:pStyle w:val="10"/>
              <w:spacing w:before="16"/>
              <w:ind w:left="203" w:right="204"/>
              <w:jc w:val="center"/>
              <w:rPr>
                <w:sz w:val="18"/>
              </w:rPr>
            </w:pPr>
            <w:r>
              <w:rPr>
                <w:sz w:val="18"/>
              </w:rPr>
              <w:t>7.1.7</w:t>
            </w:r>
          </w:p>
        </w:tc>
        <w:tc>
          <w:tcPr>
            <w:tcW w:w="988" w:type="dxa"/>
          </w:tcPr>
          <w:p>
            <w:pPr>
              <w:pStyle w:val="10"/>
              <w:spacing w:before="16"/>
              <w:ind w:right="5"/>
              <w:jc w:val="center"/>
              <w:rPr>
                <w:sz w:val="18"/>
              </w:rPr>
            </w:pPr>
            <w:r>
              <w:rPr>
                <w:sz w:val="18"/>
              </w:rPr>
              <w:t>□</w:t>
            </w:r>
          </w:p>
        </w:tc>
        <w:tc>
          <w:tcPr>
            <w:tcW w:w="1114" w:type="dxa"/>
          </w:tcPr>
          <w:p>
            <w:pPr>
              <w:pStyle w:val="10"/>
              <w:spacing w:before="16"/>
              <w:ind w:left="132" w:right="170"/>
              <w:jc w:val="center"/>
              <w:rPr>
                <w:sz w:val="18"/>
              </w:rPr>
            </w:pPr>
            <w:r>
              <w:rPr>
                <w:sz w:val="18"/>
              </w:rPr>
              <w:t>8.1.7</w:t>
            </w:r>
          </w:p>
        </w:tc>
        <w:tc>
          <w:tcPr>
            <w:tcW w:w="1005" w:type="dxa"/>
          </w:tcPr>
          <w:p>
            <w:pPr>
              <w:pStyle w:val="10"/>
              <w:spacing w:before="16"/>
              <w:ind w:right="40"/>
              <w:jc w:val="center"/>
              <w:rPr>
                <w:sz w:val="18"/>
              </w:rPr>
            </w:pPr>
            <w:r>
              <w:rPr>
                <w:sz w:val="18"/>
              </w:rPr>
              <w:t>□</w:t>
            </w:r>
          </w:p>
        </w:tc>
        <w:tc>
          <w:tcPr>
            <w:tcW w:w="2964" w:type="dxa"/>
            <w:gridSpan w:val="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vMerge w:val="continue"/>
            <w:tcBorders>
              <w:top w:val="nil"/>
            </w:tcBorders>
          </w:tcPr>
          <w:p>
            <w:pPr>
              <w:rPr>
                <w:sz w:val="2"/>
                <w:szCs w:val="2"/>
              </w:rPr>
            </w:pPr>
          </w:p>
        </w:tc>
        <w:tc>
          <w:tcPr>
            <w:tcW w:w="1034" w:type="dxa"/>
            <w:gridSpan w:val="2"/>
          </w:tcPr>
          <w:p>
            <w:pPr>
              <w:pStyle w:val="10"/>
              <w:spacing w:before="19"/>
              <w:ind w:left="292"/>
              <w:rPr>
                <w:sz w:val="18"/>
              </w:rPr>
            </w:pPr>
            <w:r>
              <w:rPr>
                <w:sz w:val="18"/>
              </w:rPr>
              <w:t>4.1.8</w:t>
            </w:r>
          </w:p>
        </w:tc>
        <w:tc>
          <w:tcPr>
            <w:tcW w:w="1098" w:type="dxa"/>
            <w:tcBorders>
              <w:right w:val="single" w:color="000000" w:sz="6" w:space="0"/>
            </w:tcBorders>
          </w:tcPr>
          <w:p>
            <w:pPr>
              <w:pStyle w:val="10"/>
              <w:spacing w:before="19"/>
              <w:ind w:left="12"/>
              <w:jc w:val="center"/>
              <w:rPr>
                <w:sz w:val="18"/>
              </w:rPr>
            </w:pPr>
            <w:r>
              <w:rPr>
                <w:sz w:val="18"/>
              </w:rPr>
              <w:t>□</w:t>
            </w:r>
          </w:p>
        </w:tc>
        <w:tc>
          <w:tcPr>
            <w:tcW w:w="971" w:type="dxa"/>
            <w:tcBorders>
              <w:left w:val="single" w:color="000000" w:sz="6" w:space="0"/>
            </w:tcBorders>
          </w:tcPr>
          <w:p>
            <w:pPr>
              <w:pStyle w:val="10"/>
              <w:spacing w:before="19"/>
              <w:ind w:left="256"/>
              <w:rPr>
                <w:sz w:val="18"/>
              </w:rPr>
            </w:pPr>
            <w:r>
              <w:rPr>
                <w:sz w:val="18"/>
              </w:rPr>
              <w:t>5.1.8</w:t>
            </w:r>
          </w:p>
        </w:tc>
        <w:tc>
          <w:tcPr>
            <w:tcW w:w="1014" w:type="dxa"/>
            <w:gridSpan w:val="2"/>
          </w:tcPr>
          <w:p>
            <w:pPr>
              <w:pStyle w:val="10"/>
              <w:spacing w:before="19"/>
              <w:ind w:left="7"/>
              <w:jc w:val="center"/>
              <w:rPr>
                <w:sz w:val="18"/>
              </w:rPr>
            </w:pPr>
            <w:r>
              <w:rPr>
                <w:sz w:val="18"/>
              </w:rPr>
              <w:t>□</w:t>
            </w:r>
          </w:p>
        </w:tc>
        <w:tc>
          <w:tcPr>
            <w:tcW w:w="1058" w:type="dxa"/>
            <w:gridSpan w:val="2"/>
          </w:tcPr>
          <w:p>
            <w:pPr>
              <w:pStyle w:val="10"/>
              <w:rPr>
                <w:rFonts w:ascii="Times New Roman"/>
                <w:sz w:val="18"/>
              </w:rPr>
            </w:pPr>
          </w:p>
        </w:tc>
        <w:tc>
          <w:tcPr>
            <w:tcW w:w="1074" w:type="dxa"/>
            <w:gridSpan w:val="2"/>
          </w:tcPr>
          <w:p>
            <w:pPr>
              <w:pStyle w:val="10"/>
              <w:rPr>
                <w:rFonts w:ascii="Times New Roman"/>
                <w:sz w:val="18"/>
              </w:rPr>
            </w:pPr>
          </w:p>
        </w:tc>
        <w:tc>
          <w:tcPr>
            <w:tcW w:w="1000" w:type="dxa"/>
          </w:tcPr>
          <w:p>
            <w:pPr>
              <w:pStyle w:val="10"/>
              <w:spacing w:before="19"/>
              <w:ind w:left="203" w:right="204"/>
              <w:jc w:val="center"/>
              <w:rPr>
                <w:sz w:val="18"/>
              </w:rPr>
            </w:pPr>
            <w:r>
              <w:rPr>
                <w:sz w:val="18"/>
              </w:rPr>
              <w:t>7.1.8</w:t>
            </w:r>
          </w:p>
        </w:tc>
        <w:tc>
          <w:tcPr>
            <w:tcW w:w="988" w:type="dxa"/>
          </w:tcPr>
          <w:p>
            <w:pPr>
              <w:pStyle w:val="10"/>
              <w:spacing w:before="19"/>
              <w:ind w:right="5"/>
              <w:jc w:val="center"/>
              <w:rPr>
                <w:sz w:val="18"/>
              </w:rPr>
            </w:pPr>
            <w:r>
              <w:rPr>
                <w:sz w:val="18"/>
              </w:rPr>
              <w:t>□</w:t>
            </w:r>
          </w:p>
        </w:tc>
        <w:tc>
          <w:tcPr>
            <w:tcW w:w="1114" w:type="dxa"/>
          </w:tcPr>
          <w:p>
            <w:pPr>
              <w:pStyle w:val="10"/>
              <w:rPr>
                <w:rFonts w:ascii="Times New Roman"/>
                <w:sz w:val="18"/>
              </w:rPr>
            </w:pPr>
          </w:p>
        </w:tc>
        <w:tc>
          <w:tcPr>
            <w:tcW w:w="1005" w:type="dxa"/>
          </w:tcPr>
          <w:p>
            <w:pPr>
              <w:pStyle w:val="10"/>
              <w:rPr>
                <w:rFonts w:ascii="Times New Roman"/>
                <w:sz w:val="18"/>
              </w:rPr>
            </w:pPr>
          </w:p>
        </w:tc>
        <w:tc>
          <w:tcPr>
            <w:tcW w:w="2964" w:type="dxa"/>
            <w:gridSpan w:val="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vMerge w:val="continue"/>
            <w:tcBorders>
              <w:top w:val="nil"/>
            </w:tcBorders>
          </w:tcPr>
          <w:p>
            <w:pPr>
              <w:rPr>
                <w:sz w:val="2"/>
                <w:szCs w:val="2"/>
              </w:rPr>
            </w:pPr>
          </w:p>
        </w:tc>
        <w:tc>
          <w:tcPr>
            <w:tcW w:w="1034" w:type="dxa"/>
            <w:gridSpan w:val="2"/>
          </w:tcPr>
          <w:p>
            <w:pPr>
              <w:pStyle w:val="10"/>
              <w:rPr>
                <w:rFonts w:ascii="Times New Roman"/>
                <w:sz w:val="18"/>
              </w:rPr>
            </w:pPr>
          </w:p>
        </w:tc>
        <w:tc>
          <w:tcPr>
            <w:tcW w:w="1098" w:type="dxa"/>
            <w:tcBorders>
              <w:right w:val="single" w:color="000000" w:sz="6" w:space="0"/>
            </w:tcBorders>
          </w:tcPr>
          <w:p>
            <w:pPr>
              <w:pStyle w:val="10"/>
              <w:rPr>
                <w:rFonts w:ascii="Times New Roman"/>
                <w:sz w:val="18"/>
              </w:rPr>
            </w:pPr>
          </w:p>
        </w:tc>
        <w:tc>
          <w:tcPr>
            <w:tcW w:w="971" w:type="dxa"/>
            <w:tcBorders>
              <w:left w:val="single" w:color="000000" w:sz="6" w:space="0"/>
            </w:tcBorders>
          </w:tcPr>
          <w:p>
            <w:pPr>
              <w:pStyle w:val="10"/>
              <w:spacing w:before="19"/>
              <w:ind w:left="255"/>
              <w:rPr>
                <w:sz w:val="18"/>
              </w:rPr>
            </w:pPr>
            <w:r>
              <w:rPr>
                <w:sz w:val="18"/>
              </w:rPr>
              <w:t>5.1.9</w:t>
            </w:r>
          </w:p>
        </w:tc>
        <w:tc>
          <w:tcPr>
            <w:tcW w:w="1014" w:type="dxa"/>
            <w:gridSpan w:val="2"/>
          </w:tcPr>
          <w:p>
            <w:pPr>
              <w:pStyle w:val="10"/>
              <w:spacing w:before="19"/>
              <w:ind w:left="6"/>
              <w:jc w:val="center"/>
              <w:rPr>
                <w:sz w:val="18"/>
              </w:rPr>
            </w:pPr>
            <w:r>
              <w:rPr>
                <w:sz w:val="18"/>
              </w:rPr>
              <w:t>□</w:t>
            </w:r>
          </w:p>
        </w:tc>
        <w:tc>
          <w:tcPr>
            <w:tcW w:w="1058" w:type="dxa"/>
            <w:gridSpan w:val="2"/>
          </w:tcPr>
          <w:p>
            <w:pPr>
              <w:pStyle w:val="10"/>
              <w:rPr>
                <w:rFonts w:ascii="Times New Roman"/>
                <w:sz w:val="18"/>
              </w:rPr>
            </w:pPr>
          </w:p>
        </w:tc>
        <w:tc>
          <w:tcPr>
            <w:tcW w:w="1074" w:type="dxa"/>
            <w:gridSpan w:val="2"/>
          </w:tcPr>
          <w:p>
            <w:pPr>
              <w:pStyle w:val="10"/>
              <w:rPr>
                <w:rFonts w:ascii="Times New Roman"/>
                <w:sz w:val="18"/>
              </w:rPr>
            </w:pPr>
          </w:p>
        </w:tc>
        <w:tc>
          <w:tcPr>
            <w:tcW w:w="1000" w:type="dxa"/>
          </w:tcPr>
          <w:p>
            <w:pPr>
              <w:pStyle w:val="10"/>
              <w:spacing w:before="19"/>
              <w:ind w:left="203" w:right="203"/>
              <w:jc w:val="center"/>
              <w:rPr>
                <w:sz w:val="18"/>
              </w:rPr>
            </w:pPr>
            <w:r>
              <w:rPr>
                <w:sz w:val="18"/>
              </w:rPr>
              <w:t>7.1.9</w:t>
            </w:r>
          </w:p>
        </w:tc>
        <w:tc>
          <w:tcPr>
            <w:tcW w:w="988" w:type="dxa"/>
          </w:tcPr>
          <w:p>
            <w:pPr>
              <w:pStyle w:val="10"/>
              <w:spacing w:before="19"/>
              <w:ind w:right="5"/>
              <w:jc w:val="center"/>
              <w:rPr>
                <w:sz w:val="18"/>
              </w:rPr>
            </w:pPr>
            <w:r>
              <w:rPr>
                <w:sz w:val="18"/>
              </w:rPr>
              <w:t>□</w:t>
            </w:r>
          </w:p>
        </w:tc>
        <w:tc>
          <w:tcPr>
            <w:tcW w:w="1114" w:type="dxa"/>
          </w:tcPr>
          <w:p>
            <w:pPr>
              <w:pStyle w:val="10"/>
              <w:rPr>
                <w:rFonts w:ascii="Times New Roman"/>
                <w:sz w:val="18"/>
              </w:rPr>
            </w:pPr>
          </w:p>
        </w:tc>
        <w:tc>
          <w:tcPr>
            <w:tcW w:w="1005" w:type="dxa"/>
          </w:tcPr>
          <w:p>
            <w:pPr>
              <w:pStyle w:val="10"/>
              <w:rPr>
                <w:rFonts w:ascii="Times New Roman"/>
                <w:sz w:val="18"/>
              </w:rPr>
            </w:pPr>
          </w:p>
        </w:tc>
        <w:tc>
          <w:tcPr>
            <w:tcW w:w="2964" w:type="dxa"/>
            <w:gridSpan w:val="3"/>
            <w:vMerge w:val="continue"/>
            <w:tcBorders>
              <w:top w:val="nil"/>
            </w:tcBorders>
          </w:tcPr>
          <w:p>
            <w:pPr>
              <w:rPr>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 w:hRule="atLeast"/>
        </w:trPr>
        <w:tc>
          <w:tcPr>
            <w:tcW w:w="1711" w:type="dxa"/>
            <w:gridSpan w:val="2"/>
          </w:tcPr>
          <w:p>
            <w:pPr>
              <w:pStyle w:val="10"/>
              <w:rPr>
                <w:rFonts w:ascii="Times New Roman"/>
                <w:sz w:val="18"/>
              </w:rPr>
            </w:pPr>
          </w:p>
        </w:tc>
        <w:tc>
          <w:tcPr>
            <w:tcW w:w="1034" w:type="dxa"/>
            <w:gridSpan w:val="2"/>
          </w:tcPr>
          <w:p>
            <w:pPr>
              <w:pStyle w:val="10"/>
              <w:rPr>
                <w:rFonts w:ascii="Times New Roman"/>
                <w:sz w:val="18"/>
              </w:rPr>
            </w:pPr>
          </w:p>
        </w:tc>
        <w:tc>
          <w:tcPr>
            <w:tcW w:w="1098" w:type="dxa"/>
            <w:tcBorders>
              <w:right w:val="single" w:color="000000" w:sz="6" w:space="0"/>
            </w:tcBorders>
          </w:tcPr>
          <w:p>
            <w:pPr>
              <w:pStyle w:val="10"/>
              <w:rPr>
                <w:rFonts w:ascii="Times New Roman"/>
                <w:sz w:val="18"/>
              </w:rPr>
            </w:pPr>
          </w:p>
        </w:tc>
        <w:tc>
          <w:tcPr>
            <w:tcW w:w="971" w:type="dxa"/>
            <w:tcBorders>
              <w:left w:val="single" w:color="000000" w:sz="6" w:space="0"/>
            </w:tcBorders>
          </w:tcPr>
          <w:p>
            <w:pPr>
              <w:pStyle w:val="10"/>
              <w:rPr>
                <w:rFonts w:ascii="Times New Roman"/>
                <w:sz w:val="18"/>
              </w:rPr>
            </w:pPr>
          </w:p>
        </w:tc>
        <w:tc>
          <w:tcPr>
            <w:tcW w:w="1014" w:type="dxa"/>
            <w:gridSpan w:val="2"/>
          </w:tcPr>
          <w:p>
            <w:pPr>
              <w:pStyle w:val="10"/>
              <w:rPr>
                <w:rFonts w:ascii="Times New Roman"/>
                <w:sz w:val="18"/>
              </w:rPr>
            </w:pPr>
          </w:p>
        </w:tc>
        <w:tc>
          <w:tcPr>
            <w:tcW w:w="1058" w:type="dxa"/>
            <w:gridSpan w:val="2"/>
          </w:tcPr>
          <w:p>
            <w:pPr>
              <w:pStyle w:val="10"/>
              <w:rPr>
                <w:rFonts w:ascii="Times New Roman"/>
                <w:sz w:val="18"/>
              </w:rPr>
            </w:pPr>
          </w:p>
        </w:tc>
        <w:tc>
          <w:tcPr>
            <w:tcW w:w="1074" w:type="dxa"/>
            <w:gridSpan w:val="2"/>
          </w:tcPr>
          <w:p>
            <w:pPr>
              <w:pStyle w:val="10"/>
              <w:rPr>
                <w:rFonts w:ascii="Times New Roman"/>
                <w:sz w:val="18"/>
              </w:rPr>
            </w:pPr>
          </w:p>
        </w:tc>
        <w:tc>
          <w:tcPr>
            <w:tcW w:w="1000" w:type="dxa"/>
          </w:tcPr>
          <w:p>
            <w:pPr>
              <w:pStyle w:val="10"/>
              <w:spacing w:before="16"/>
              <w:ind w:left="203" w:right="206"/>
              <w:jc w:val="center"/>
              <w:rPr>
                <w:sz w:val="18"/>
              </w:rPr>
            </w:pPr>
            <w:r>
              <w:rPr>
                <w:sz w:val="18"/>
              </w:rPr>
              <w:t>7.1.10</w:t>
            </w:r>
          </w:p>
        </w:tc>
        <w:tc>
          <w:tcPr>
            <w:tcW w:w="988" w:type="dxa"/>
          </w:tcPr>
          <w:p>
            <w:pPr>
              <w:pStyle w:val="10"/>
              <w:spacing w:before="16"/>
              <w:ind w:right="5"/>
              <w:jc w:val="center"/>
              <w:rPr>
                <w:sz w:val="18"/>
              </w:rPr>
            </w:pPr>
            <w:r>
              <w:rPr>
                <w:sz w:val="18"/>
              </w:rPr>
              <w:t>□</w:t>
            </w:r>
          </w:p>
        </w:tc>
        <w:tc>
          <w:tcPr>
            <w:tcW w:w="1114" w:type="dxa"/>
          </w:tcPr>
          <w:p>
            <w:pPr>
              <w:pStyle w:val="10"/>
              <w:rPr>
                <w:rFonts w:ascii="Times New Roman"/>
                <w:sz w:val="18"/>
              </w:rPr>
            </w:pPr>
          </w:p>
        </w:tc>
        <w:tc>
          <w:tcPr>
            <w:tcW w:w="1005" w:type="dxa"/>
          </w:tcPr>
          <w:p>
            <w:pPr>
              <w:pStyle w:val="10"/>
              <w:rPr>
                <w:rFonts w:ascii="Times New Roman"/>
                <w:sz w:val="18"/>
              </w:rPr>
            </w:pPr>
          </w:p>
        </w:tc>
        <w:tc>
          <w:tcPr>
            <w:tcW w:w="2964" w:type="dxa"/>
            <w:gridSpan w:val="3"/>
          </w:tcPr>
          <w:p>
            <w:pPr>
              <w:pStyle w:val="10"/>
              <w:spacing w:before="16"/>
              <w:ind w:left="751"/>
              <w:rPr>
                <w:sz w:val="18"/>
              </w:rPr>
            </w:pPr>
            <w:r>
              <w:rPr>
                <w:sz w:val="18"/>
              </w:rPr>
              <w:t>绿色建筑审图结论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0" w:hRule="atLeast"/>
        </w:trPr>
        <w:tc>
          <w:tcPr>
            <w:tcW w:w="1711" w:type="dxa"/>
            <w:gridSpan w:val="2"/>
          </w:tcPr>
          <w:p>
            <w:pPr>
              <w:pStyle w:val="10"/>
              <w:spacing w:before="19"/>
              <w:ind w:left="225"/>
              <w:rPr>
                <w:sz w:val="18"/>
              </w:rPr>
            </w:pPr>
            <w:r>
              <w:rPr>
                <w:sz w:val="18"/>
              </w:rPr>
              <w:t>控制项通过情况</w:t>
            </w:r>
          </w:p>
        </w:tc>
        <w:tc>
          <w:tcPr>
            <w:tcW w:w="2132" w:type="dxa"/>
            <w:gridSpan w:val="3"/>
          </w:tcPr>
          <w:p>
            <w:pPr>
              <w:pStyle w:val="10"/>
              <w:tabs>
                <w:tab w:val="left" w:pos="1111"/>
              </w:tabs>
              <w:spacing w:before="19"/>
              <w:ind w:left="297"/>
              <w:rPr>
                <w:sz w:val="18"/>
              </w:rPr>
            </w:pPr>
            <w:r>
              <w:rPr>
                <w:sz w:val="18"/>
              </w:rPr>
              <w:t>□达标</w:t>
            </w:r>
            <w:r>
              <w:rPr>
                <w:sz w:val="18"/>
              </w:rPr>
              <w:tab/>
            </w:r>
            <w:r>
              <w:rPr>
                <w:sz w:val="18"/>
              </w:rPr>
              <w:t>□未达标</w:t>
            </w:r>
          </w:p>
        </w:tc>
        <w:tc>
          <w:tcPr>
            <w:tcW w:w="1985" w:type="dxa"/>
            <w:gridSpan w:val="3"/>
          </w:tcPr>
          <w:p>
            <w:pPr>
              <w:pStyle w:val="10"/>
              <w:tabs>
                <w:tab w:val="left" w:pos="913"/>
              </w:tabs>
              <w:spacing w:before="19"/>
              <w:ind w:left="100"/>
              <w:rPr>
                <w:sz w:val="18"/>
              </w:rPr>
            </w:pPr>
            <w:r>
              <w:rPr>
                <w:sz w:val="18"/>
              </w:rPr>
              <w:t>□达标</w:t>
            </w:r>
            <w:r>
              <w:rPr>
                <w:sz w:val="18"/>
              </w:rPr>
              <w:tab/>
            </w:r>
            <w:r>
              <w:rPr>
                <w:sz w:val="18"/>
              </w:rPr>
              <w:t>□未达标</w:t>
            </w:r>
          </w:p>
        </w:tc>
        <w:tc>
          <w:tcPr>
            <w:tcW w:w="2132" w:type="dxa"/>
            <w:gridSpan w:val="4"/>
          </w:tcPr>
          <w:p>
            <w:pPr>
              <w:pStyle w:val="10"/>
              <w:tabs>
                <w:tab w:val="left" w:pos="1148"/>
              </w:tabs>
              <w:spacing w:before="19"/>
              <w:ind w:left="246"/>
              <w:rPr>
                <w:sz w:val="18"/>
              </w:rPr>
            </w:pPr>
            <w:r>
              <w:rPr>
                <w:sz w:val="18"/>
              </w:rPr>
              <w:t>□达标</w:t>
            </w:r>
            <w:r>
              <w:rPr>
                <w:sz w:val="18"/>
              </w:rPr>
              <w:tab/>
            </w:r>
            <w:r>
              <w:rPr>
                <w:sz w:val="18"/>
              </w:rPr>
              <w:t>□未达标</w:t>
            </w:r>
          </w:p>
        </w:tc>
        <w:tc>
          <w:tcPr>
            <w:tcW w:w="1988" w:type="dxa"/>
            <w:gridSpan w:val="2"/>
          </w:tcPr>
          <w:p>
            <w:pPr>
              <w:pStyle w:val="10"/>
              <w:tabs>
                <w:tab w:val="left" w:pos="1073"/>
              </w:tabs>
              <w:spacing w:before="19"/>
              <w:ind w:left="171"/>
              <w:rPr>
                <w:sz w:val="18"/>
              </w:rPr>
            </w:pPr>
            <w:r>
              <w:rPr>
                <w:sz w:val="18"/>
              </w:rPr>
              <w:t>□达标</w:t>
            </w:r>
            <w:r>
              <w:rPr>
                <w:sz w:val="18"/>
              </w:rPr>
              <w:tab/>
            </w:r>
            <w:r>
              <w:rPr>
                <w:sz w:val="18"/>
              </w:rPr>
              <w:t>□未达标</w:t>
            </w:r>
          </w:p>
        </w:tc>
        <w:tc>
          <w:tcPr>
            <w:tcW w:w="2119" w:type="dxa"/>
            <w:gridSpan w:val="2"/>
          </w:tcPr>
          <w:p>
            <w:pPr>
              <w:pStyle w:val="10"/>
              <w:tabs>
                <w:tab w:val="left" w:pos="1137"/>
              </w:tabs>
              <w:spacing w:before="19"/>
              <w:ind w:left="235"/>
              <w:rPr>
                <w:sz w:val="18"/>
              </w:rPr>
            </w:pPr>
            <w:r>
              <w:rPr>
                <w:sz w:val="18"/>
              </w:rPr>
              <w:t>□达标</w:t>
            </w:r>
            <w:r>
              <w:rPr>
                <w:sz w:val="18"/>
              </w:rPr>
              <w:tab/>
            </w:r>
            <w:r>
              <w:rPr>
                <w:sz w:val="18"/>
              </w:rPr>
              <w:t>□未达标</w:t>
            </w:r>
          </w:p>
        </w:tc>
        <w:tc>
          <w:tcPr>
            <w:tcW w:w="2964" w:type="dxa"/>
            <w:gridSpan w:val="3"/>
          </w:tcPr>
          <w:p>
            <w:pPr>
              <w:pStyle w:val="10"/>
              <w:tabs>
                <w:tab w:val="left" w:pos="912"/>
              </w:tabs>
              <w:spacing w:before="19"/>
              <w:ind w:left="98"/>
              <w:rPr>
                <w:sz w:val="18"/>
              </w:rPr>
            </w:pPr>
            <w:r>
              <w:rPr>
                <w:sz w:val="18"/>
              </w:rPr>
              <w:t>□合格</w:t>
            </w:r>
            <w:r>
              <w:rPr>
                <w:sz w:val="18"/>
              </w:rPr>
              <w:tab/>
            </w:r>
            <w:r>
              <w:rPr>
                <w:sz w:val="18"/>
              </w:rPr>
              <w:t>□不合格</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 w:hRule="atLeast"/>
        </w:trPr>
        <w:tc>
          <w:tcPr>
            <w:tcW w:w="1711" w:type="dxa"/>
            <w:gridSpan w:val="2"/>
            <w:vMerge w:val="restart"/>
          </w:tcPr>
          <w:p>
            <w:pPr>
              <w:pStyle w:val="10"/>
              <w:spacing w:before="3"/>
              <w:rPr>
                <w:rFonts w:ascii="黑体"/>
                <w:sz w:val="13"/>
              </w:rPr>
            </w:pPr>
          </w:p>
          <w:p>
            <w:pPr>
              <w:pStyle w:val="10"/>
              <w:ind w:left="314"/>
              <w:rPr>
                <w:sz w:val="18"/>
              </w:rPr>
            </w:pPr>
            <w:r>
              <w:rPr>
                <w:sz w:val="18"/>
              </w:rPr>
              <w:t>审查人员签字</w:t>
            </w:r>
          </w:p>
        </w:tc>
        <w:tc>
          <w:tcPr>
            <w:tcW w:w="2132" w:type="dxa"/>
            <w:gridSpan w:val="3"/>
          </w:tcPr>
          <w:p>
            <w:pPr>
              <w:pStyle w:val="10"/>
              <w:spacing w:before="19"/>
              <w:ind w:left="110"/>
              <w:rPr>
                <w:sz w:val="18"/>
              </w:rPr>
            </w:pPr>
            <w:r>
              <w:rPr>
                <w:sz w:val="18"/>
              </w:rPr>
              <w:t>审查：</w:t>
            </w:r>
          </w:p>
        </w:tc>
        <w:tc>
          <w:tcPr>
            <w:tcW w:w="1985" w:type="dxa"/>
            <w:gridSpan w:val="3"/>
          </w:tcPr>
          <w:p>
            <w:pPr>
              <w:pStyle w:val="10"/>
              <w:spacing w:line="230" w:lineRule="exact"/>
              <w:ind w:left="100"/>
              <w:rPr>
                <w:sz w:val="18"/>
              </w:rPr>
            </w:pPr>
            <w:r>
              <w:rPr>
                <w:sz w:val="18"/>
              </w:rPr>
              <w:t>审查：</w:t>
            </w:r>
          </w:p>
        </w:tc>
        <w:tc>
          <w:tcPr>
            <w:tcW w:w="2132" w:type="dxa"/>
            <w:gridSpan w:val="4"/>
          </w:tcPr>
          <w:p>
            <w:pPr>
              <w:pStyle w:val="10"/>
              <w:spacing w:line="230" w:lineRule="exact"/>
              <w:ind w:left="99"/>
              <w:rPr>
                <w:sz w:val="18"/>
              </w:rPr>
            </w:pPr>
            <w:r>
              <w:rPr>
                <w:sz w:val="18"/>
              </w:rPr>
              <w:t>审查：</w:t>
            </w:r>
          </w:p>
        </w:tc>
        <w:tc>
          <w:tcPr>
            <w:tcW w:w="1988" w:type="dxa"/>
            <w:gridSpan w:val="2"/>
          </w:tcPr>
          <w:p>
            <w:pPr>
              <w:pStyle w:val="10"/>
              <w:spacing w:line="230" w:lineRule="exact"/>
              <w:ind w:left="101"/>
              <w:rPr>
                <w:sz w:val="18"/>
              </w:rPr>
            </w:pPr>
            <w:r>
              <w:rPr>
                <w:sz w:val="18"/>
              </w:rPr>
              <w:t>审查：</w:t>
            </w:r>
          </w:p>
        </w:tc>
        <w:tc>
          <w:tcPr>
            <w:tcW w:w="2119" w:type="dxa"/>
            <w:gridSpan w:val="2"/>
          </w:tcPr>
          <w:p>
            <w:pPr>
              <w:pStyle w:val="10"/>
              <w:spacing w:line="230" w:lineRule="exact"/>
              <w:ind w:left="90"/>
              <w:rPr>
                <w:sz w:val="18"/>
              </w:rPr>
            </w:pPr>
            <w:r>
              <w:rPr>
                <w:sz w:val="18"/>
              </w:rPr>
              <w:t>审查：</w:t>
            </w:r>
          </w:p>
        </w:tc>
        <w:tc>
          <w:tcPr>
            <w:tcW w:w="2964" w:type="dxa"/>
            <w:gridSpan w:val="3"/>
            <w:vMerge w:val="restart"/>
          </w:tcPr>
          <w:p>
            <w:pPr>
              <w:pStyle w:val="10"/>
              <w:spacing w:line="230" w:lineRule="exact"/>
              <w:ind w:left="98"/>
              <w:rPr>
                <w:sz w:val="18"/>
              </w:rPr>
            </w:pPr>
            <w:r>
              <w:rPr>
                <w:sz w:val="18"/>
              </w:rPr>
              <w:t>绿色建筑施工图审查项目负责人：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94" w:hRule="atLeast"/>
        </w:trPr>
        <w:tc>
          <w:tcPr>
            <w:tcW w:w="1711" w:type="dxa"/>
            <w:gridSpan w:val="2"/>
            <w:vMerge w:val="continue"/>
            <w:tcBorders>
              <w:top w:val="nil"/>
            </w:tcBorders>
          </w:tcPr>
          <w:p>
            <w:pPr>
              <w:rPr>
                <w:sz w:val="2"/>
                <w:szCs w:val="2"/>
              </w:rPr>
            </w:pPr>
          </w:p>
        </w:tc>
        <w:tc>
          <w:tcPr>
            <w:tcW w:w="2132" w:type="dxa"/>
            <w:gridSpan w:val="3"/>
          </w:tcPr>
          <w:p>
            <w:pPr>
              <w:pStyle w:val="10"/>
              <w:spacing w:before="36"/>
              <w:ind w:left="110"/>
              <w:rPr>
                <w:sz w:val="18"/>
              </w:rPr>
            </w:pPr>
            <w:r>
              <w:rPr>
                <w:sz w:val="18"/>
              </w:rPr>
              <w:t>审核：</w:t>
            </w:r>
          </w:p>
        </w:tc>
        <w:tc>
          <w:tcPr>
            <w:tcW w:w="1985" w:type="dxa"/>
            <w:gridSpan w:val="3"/>
          </w:tcPr>
          <w:p>
            <w:pPr>
              <w:pStyle w:val="10"/>
              <w:spacing w:before="36"/>
              <w:ind w:left="100"/>
              <w:rPr>
                <w:sz w:val="18"/>
              </w:rPr>
            </w:pPr>
            <w:r>
              <w:rPr>
                <w:sz w:val="18"/>
              </w:rPr>
              <w:t>审核：</w:t>
            </w:r>
          </w:p>
        </w:tc>
        <w:tc>
          <w:tcPr>
            <w:tcW w:w="2132" w:type="dxa"/>
            <w:gridSpan w:val="4"/>
          </w:tcPr>
          <w:p>
            <w:pPr>
              <w:pStyle w:val="10"/>
              <w:spacing w:before="36"/>
              <w:ind w:left="99"/>
              <w:rPr>
                <w:sz w:val="18"/>
              </w:rPr>
            </w:pPr>
            <w:r>
              <w:rPr>
                <w:sz w:val="18"/>
              </w:rPr>
              <w:t>审核：</w:t>
            </w:r>
          </w:p>
        </w:tc>
        <w:tc>
          <w:tcPr>
            <w:tcW w:w="1988" w:type="dxa"/>
            <w:gridSpan w:val="2"/>
          </w:tcPr>
          <w:p>
            <w:pPr>
              <w:pStyle w:val="10"/>
              <w:spacing w:before="36"/>
              <w:ind w:left="101"/>
              <w:rPr>
                <w:sz w:val="18"/>
              </w:rPr>
            </w:pPr>
            <w:r>
              <w:rPr>
                <w:sz w:val="18"/>
              </w:rPr>
              <w:t>审核：</w:t>
            </w:r>
          </w:p>
        </w:tc>
        <w:tc>
          <w:tcPr>
            <w:tcW w:w="2119" w:type="dxa"/>
            <w:gridSpan w:val="2"/>
          </w:tcPr>
          <w:p>
            <w:pPr>
              <w:pStyle w:val="10"/>
              <w:spacing w:before="36"/>
              <w:ind w:left="91"/>
              <w:rPr>
                <w:sz w:val="18"/>
              </w:rPr>
            </w:pPr>
            <w:r>
              <w:rPr>
                <w:sz w:val="18"/>
              </w:rPr>
              <w:t>审核：</w:t>
            </w:r>
          </w:p>
        </w:tc>
        <w:tc>
          <w:tcPr>
            <w:tcW w:w="2964" w:type="dxa"/>
            <w:gridSpan w:val="3"/>
            <w:vMerge w:val="continue"/>
            <w:tcBorders>
              <w:top w:val="nil"/>
            </w:tcBorders>
          </w:tcPr>
          <w:p>
            <w:pPr>
              <w:rPr>
                <w:sz w:val="2"/>
                <w:szCs w:val="2"/>
              </w:rPr>
            </w:pPr>
          </w:p>
        </w:tc>
      </w:tr>
    </w:tbl>
    <w:p>
      <w:pPr>
        <w:spacing w:before="12"/>
        <w:ind w:left="132" w:right="0" w:firstLine="0"/>
        <w:jc w:val="left"/>
        <w:rPr>
          <w:sz w:val="18"/>
        </w:rPr>
      </w:pPr>
      <w:r>
        <w:rPr>
          <w:sz w:val="18"/>
        </w:rPr>
        <w:t>注：1.本表由施工图审查单位填写，相关审查人员须在对应的签字栏签字，并加盖审查单位审查章。</w:t>
      </w:r>
    </w:p>
    <w:p>
      <w:pPr>
        <w:pStyle w:val="9"/>
        <w:numPr>
          <w:ilvl w:val="0"/>
          <w:numId w:val="6"/>
        </w:numPr>
        <w:tabs>
          <w:tab w:val="left" w:pos="765"/>
        </w:tabs>
        <w:spacing w:before="9" w:after="0" w:line="240" w:lineRule="auto"/>
        <w:ind w:left="764" w:right="0" w:hanging="274"/>
        <w:jc w:val="left"/>
        <w:rPr>
          <w:sz w:val="18"/>
        </w:rPr>
      </w:pPr>
      <w:r>
        <w:rPr>
          <w:spacing w:val="-1"/>
          <w:sz w:val="18"/>
        </w:rPr>
        <w:t>本审查依据《绿色建筑评价标准》</w:t>
      </w:r>
      <w:r>
        <w:rPr>
          <w:sz w:val="18"/>
        </w:rPr>
        <w:t>GB/T50378</w:t>
      </w:r>
      <w:r>
        <w:rPr>
          <w:spacing w:val="-7"/>
          <w:sz w:val="18"/>
        </w:rPr>
        <w:t xml:space="preserve"> 和《黑龙江省绿色建筑施工图审查要点》</w:t>
      </w:r>
      <w:r>
        <w:rPr>
          <w:sz w:val="18"/>
        </w:rPr>
        <w:t>(2019</w:t>
      </w:r>
      <w:r>
        <w:rPr>
          <w:spacing w:val="-12"/>
          <w:sz w:val="18"/>
        </w:rPr>
        <w:t xml:space="preserve"> 试行版</w:t>
      </w:r>
      <w:r>
        <w:rPr>
          <w:sz w:val="18"/>
        </w:rPr>
        <w:t>），</w:t>
      </w:r>
      <w:r>
        <w:rPr>
          <w:spacing w:val="-1"/>
          <w:sz w:val="18"/>
        </w:rPr>
        <w:t>表中章节编号为《绿色建筑评价标准》</w:t>
      </w:r>
      <w:r>
        <w:rPr>
          <w:sz w:val="18"/>
        </w:rPr>
        <w:t>GB/T50378</w:t>
      </w:r>
      <w:r>
        <w:rPr>
          <w:spacing w:val="-7"/>
          <w:sz w:val="18"/>
        </w:rPr>
        <w:t xml:space="preserve"> 对应章节编号。</w:t>
      </w:r>
    </w:p>
    <w:p>
      <w:pPr>
        <w:pStyle w:val="9"/>
        <w:numPr>
          <w:ilvl w:val="0"/>
          <w:numId w:val="6"/>
        </w:numPr>
        <w:tabs>
          <w:tab w:val="left" w:pos="762"/>
        </w:tabs>
        <w:spacing w:before="9" w:after="0" w:line="240" w:lineRule="auto"/>
        <w:ind w:left="761" w:right="0" w:hanging="182"/>
        <w:jc w:val="left"/>
        <w:rPr>
          <w:b/>
          <w:sz w:val="16"/>
        </w:rPr>
      </w:pPr>
      <w:r>
        <w:rPr>
          <w:b/>
          <w:sz w:val="18"/>
        </w:rPr>
        <w:t>依据国家《绿色建筑评价标准》GB/T50378</w:t>
      </w:r>
      <w:r>
        <w:rPr>
          <w:b/>
          <w:spacing w:val="-31"/>
          <w:sz w:val="18"/>
        </w:rPr>
        <w:t xml:space="preserve"> 第 </w:t>
      </w:r>
      <w:r>
        <w:rPr>
          <w:b/>
          <w:sz w:val="18"/>
        </w:rPr>
        <w:t>3.2.7</w:t>
      </w:r>
      <w:r>
        <w:rPr>
          <w:b/>
          <w:spacing w:val="-8"/>
          <w:sz w:val="18"/>
        </w:rPr>
        <w:t xml:space="preserve"> 条规定，当满足全部控制项要求时，绿色建筑等级应为基本级。</w:t>
      </w:r>
    </w:p>
    <w:p>
      <w:pPr>
        <w:pStyle w:val="9"/>
        <w:numPr>
          <w:ilvl w:val="0"/>
          <w:numId w:val="6"/>
        </w:numPr>
        <w:tabs>
          <w:tab w:val="left" w:pos="764"/>
        </w:tabs>
        <w:spacing w:before="10" w:after="0" w:line="249" w:lineRule="auto"/>
        <w:ind w:left="413" w:right="1121" w:firstLine="77"/>
        <w:jc w:val="left"/>
        <w:rPr>
          <w:sz w:val="18"/>
        </w:rPr>
      </w:pPr>
      <w:r>
        <w:rPr>
          <w:spacing w:val="-3"/>
          <w:sz w:val="18"/>
        </w:rPr>
        <w:t>控制项达标项在“□”处填“√”，不达标项的“□”不填，不参评项在“□”处填“■”，视分项全部参评项通过与否判断该分项的控制项通过与否,选择填写控制项审</w:t>
      </w:r>
      <w:r>
        <w:rPr>
          <w:sz w:val="18"/>
        </w:rPr>
        <w:t>查结果</w:t>
      </w:r>
    </w:p>
    <w:p>
      <w:pPr>
        <w:spacing w:after="0" w:line="249" w:lineRule="auto"/>
        <w:jc w:val="left"/>
        <w:rPr>
          <w:sz w:val="18"/>
        </w:rPr>
        <w:sectPr>
          <w:footerReference r:id="rId5" w:type="default"/>
          <w:footerReference r:id="rId6" w:type="even"/>
          <w:pgSz w:w="16850" w:h="11910" w:orient="landscape"/>
          <w:pgMar w:top="1060" w:right="580" w:bottom="1180" w:left="1000" w:header="0" w:footer="995" w:gutter="0"/>
        </w:sectPr>
      </w:pPr>
    </w:p>
    <w:p>
      <w:pPr>
        <w:pStyle w:val="2"/>
        <w:numPr>
          <w:ilvl w:val="0"/>
          <w:numId w:val="4"/>
        </w:numPr>
        <w:tabs>
          <w:tab w:val="left" w:pos="3641"/>
        </w:tabs>
        <w:spacing w:before="57" w:after="0" w:line="240" w:lineRule="auto"/>
        <w:ind w:left="3640" w:right="100" w:hanging="278"/>
        <w:jc w:val="left"/>
      </w:pPr>
      <w:bookmarkStart w:id="17" w:name="_bookmark6"/>
      <w:bookmarkEnd w:id="17"/>
      <w:bookmarkStart w:id="18" w:name="_bookmark6"/>
      <w:bookmarkEnd w:id="18"/>
      <w:bookmarkStart w:id="19" w:name="4 安 全 耐 久"/>
      <w:bookmarkEnd w:id="19"/>
      <w:r>
        <w:rPr>
          <w:spacing w:val="-1"/>
        </w:rPr>
        <w:t>安 全 耐 久</w:t>
      </w:r>
    </w:p>
    <w:p>
      <w:pPr>
        <w:pStyle w:val="9"/>
        <w:numPr>
          <w:ilvl w:val="1"/>
          <w:numId w:val="4"/>
        </w:numPr>
        <w:tabs>
          <w:tab w:val="left" w:pos="4040"/>
        </w:tabs>
        <w:spacing w:before="189" w:after="0" w:line="240" w:lineRule="auto"/>
        <w:ind w:left="4039" w:right="0" w:hanging="370"/>
        <w:jc w:val="left"/>
        <w:rPr>
          <w:rFonts w:hint="eastAsia" w:ascii="黑体" w:eastAsia="黑体"/>
          <w:sz w:val="21"/>
        </w:rPr>
      </w:pPr>
      <w:bookmarkStart w:id="20" w:name="4.1 控 制 项"/>
      <w:bookmarkEnd w:id="20"/>
      <w:bookmarkStart w:id="21" w:name="_bookmark7"/>
      <w:bookmarkEnd w:id="21"/>
      <w:bookmarkStart w:id="22" w:name="_bookmark7"/>
      <w:bookmarkEnd w:id="22"/>
      <w:r>
        <w:rPr>
          <w:rFonts w:hint="eastAsia" w:ascii="黑体" w:eastAsia="黑体"/>
          <w:spacing w:val="-1"/>
          <w:sz w:val="21"/>
        </w:rPr>
        <w:t>控 制 项</w:t>
      </w:r>
    </w:p>
    <w:p>
      <w:pPr>
        <w:pStyle w:val="3"/>
        <w:spacing w:before="8"/>
        <w:rPr>
          <w:rFonts w:ascii="黑体"/>
          <w:sz w:val="25"/>
        </w:rPr>
      </w:pPr>
    </w:p>
    <w:p>
      <w:pPr>
        <w:pStyle w:val="9"/>
        <w:numPr>
          <w:ilvl w:val="2"/>
          <w:numId w:val="7"/>
        </w:numPr>
        <w:tabs>
          <w:tab w:val="left" w:pos="858"/>
        </w:tabs>
        <w:spacing w:before="0" w:after="0" w:line="446" w:lineRule="auto"/>
        <w:ind w:left="120" w:right="212" w:firstLine="0"/>
        <w:jc w:val="both"/>
        <w:rPr>
          <w:sz w:val="21"/>
        </w:rPr>
      </w:pPr>
      <w:r>
        <w:rPr>
          <w:spacing w:val="-3"/>
          <w:sz w:val="21"/>
        </w:rPr>
        <w:t>场地应避开滑坡、泥石流、地下矿产采空区等地质危险地段，易发生洪涝地区应有</w:t>
      </w:r>
      <w:r>
        <w:rPr>
          <w:spacing w:val="-9"/>
          <w:sz w:val="21"/>
        </w:rPr>
        <w:t>可靠的防洪涝基础设施；场地应无危险化学品、易燃易爆危险源的威胁，应无电磁辐射、含</w:t>
      </w:r>
      <w:r>
        <w:rPr>
          <w:spacing w:val="-5"/>
          <w:sz w:val="21"/>
        </w:rPr>
        <w:t>氡土壤的危害。</w:t>
      </w:r>
    </w:p>
    <w:p>
      <w:pPr>
        <w:pStyle w:val="3"/>
        <w:spacing w:line="446" w:lineRule="auto"/>
        <w:ind w:left="120" w:right="212" w:firstLine="419"/>
        <w:jc w:val="both"/>
      </w:pPr>
      <w:r>
        <w:rPr>
          <w:spacing w:val="-12"/>
        </w:rPr>
        <w:t>审查说明主要内容：场地的防洪设计应符合现行国家标准《防洪标准》</w:t>
      </w:r>
      <w:r>
        <w:rPr>
          <w:rFonts w:ascii="Times New Roman" w:eastAsia="Times New Roman"/>
        </w:rPr>
        <w:t>GB</w:t>
      </w:r>
      <w:r>
        <w:rPr>
          <w:rFonts w:ascii="Times New Roman" w:eastAsia="Times New Roman"/>
          <w:spacing w:val="15"/>
        </w:rPr>
        <w:t xml:space="preserve"> </w:t>
      </w:r>
      <w:r>
        <w:rPr>
          <w:rFonts w:ascii="Times New Roman" w:eastAsia="Times New Roman"/>
        </w:rPr>
        <w:t>50201</w:t>
      </w:r>
      <w:r>
        <w:rPr>
          <w:rFonts w:ascii="Times New Roman" w:eastAsia="Times New Roman"/>
          <w:spacing w:val="18"/>
        </w:rPr>
        <w:t xml:space="preserve"> </w:t>
      </w:r>
      <w:r>
        <w:rPr>
          <w:spacing w:val="-17"/>
        </w:rPr>
        <w:t>和《城</w:t>
      </w:r>
      <w:r>
        <w:rPr>
          <w:spacing w:val="-7"/>
        </w:rPr>
        <w:t>市防洪工程设计规范》</w:t>
      </w:r>
      <w:r>
        <w:rPr>
          <w:rFonts w:ascii="Times New Roman" w:eastAsia="Times New Roman"/>
        </w:rPr>
        <w:t>GB/T</w:t>
      </w:r>
      <w:r>
        <w:rPr>
          <w:rFonts w:ascii="Times New Roman" w:eastAsia="Times New Roman"/>
          <w:spacing w:val="10"/>
        </w:rPr>
        <w:t xml:space="preserve">  </w:t>
      </w:r>
      <w:r>
        <w:rPr>
          <w:rFonts w:ascii="Times New Roman" w:eastAsia="Times New Roman"/>
        </w:rPr>
        <w:t>50805</w:t>
      </w:r>
      <w:r>
        <w:rPr>
          <w:rFonts w:ascii="Times New Roman" w:eastAsia="Times New Roman"/>
          <w:spacing w:val="24"/>
        </w:rPr>
        <w:t xml:space="preserve"> </w:t>
      </w:r>
      <w:r>
        <w:rPr>
          <w:spacing w:val="-3"/>
        </w:rPr>
        <w:t>的有关规定，选址尚应符合现行国家标准《城市抗震防</w:t>
      </w:r>
    </w:p>
    <w:p>
      <w:pPr>
        <w:pStyle w:val="3"/>
        <w:ind w:left="120"/>
      </w:pPr>
      <w:r>
        <w:rPr>
          <w:spacing w:val="-4"/>
        </w:rPr>
        <w:t>灾规划标准》</w:t>
      </w:r>
      <w:r>
        <w:rPr>
          <w:rFonts w:ascii="Times New Roman" w:eastAsia="Times New Roman"/>
        </w:rPr>
        <w:t>GB</w:t>
      </w:r>
      <w:r>
        <w:rPr>
          <w:rFonts w:ascii="Times New Roman" w:eastAsia="Times New Roman"/>
          <w:spacing w:val="6"/>
        </w:rPr>
        <w:t xml:space="preserve"> </w:t>
      </w:r>
      <w:r>
        <w:rPr>
          <w:rFonts w:ascii="Times New Roman" w:eastAsia="Times New Roman"/>
        </w:rPr>
        <w:t>50143</w:t>
      </w:r>
      <w:r>
        <w:rPr>
          <w:rFonts w:ascii="Times New Roman" w:eastAsia="Times New Roman"/>
          <w:spacing w:val="9"/>
        </w:rPr>
        <w:t xml:space="preserve"> </w:t>
      </w:r>
      <w:r>
        <w:rPr>
          <w:spacing w:val="-5"/>
        </w:rPr>
        <w:t>和《建筑抗震设计规范》</w:t>
      </w:r>
      <w:r>
        <w:rPr>
          <w:rFonts w:ascii="Times New Roman" w:eastAsia="Times New Roman"/>
        </w:rPr>
        <w:t>GB</w:t>
      </w:r>
      <w:r>
        <w:rPr>
          <w:rFonts w:ascii="Times New Roman" w:eastAsia="Times New Roman"/>
          <w:spacing w:val="5"/>
        </w:rPr>
        <w:t xml:space="preserve"> </w:t>
      </w:r>
      <w:r>
        <w:rPr>
          <w:rFonts w:ascii="Times New Roman" w:eastAsia="Times New Roman"/>
        </w:rPr>
        <w:t>50011</w:t>
      </w:r>
      <w:r>
        <w:rPr>
          <w:rFonts w:ascii="Times New Roman" w:eastAsia="Times New Roman"/>
          <w:spacing w:val="9"/>
        </w:rPr>
        <w:t xml:space="preserve"> </w:t>
      </w:r>
      <w:r>
        <w:rPr>
          <w:spacing w:val="-5"/>
        </w:rPr>
        <w:t>的规定；电磁辐射应符合现行国</w:t>
      </w:r>
    </w:p>
    <w:p>
      <w:pPr>
        <w:pStyle w:val="3"/>
        <w:spacing w:before="11"/>
        <w:rPr>
          <w:sz w:val="17"/>
        </w:rPr>
      </w:pPr>
    </w:p>
    <w:p>
      <w:pPr>
        <w:pStyle w:val="3"/>
        <w:spacing w:before="1"/>
        <w:ind w:left="120"/>
      </w:pPr>
      <w:r>
        <w:rPr>
          <w:spacing w:val="-8"/>
        </w:rPr>
        <w:t>家标准《电磁环境控制限值》</w:t>
      </w:r>
      <w:r>
        <w:rPr>
          <w:rFonts w:ascii="Times New Roman" w:eastAsia="Times New Roman"/>
        </w:rPr>
        <w:t>GB</w:t>
      </w:r>
      <w:r>
        <w:rPr>
          <w:rFonts w:ascii="Times New Roman" w:eastAsia="Times New Roman"/>
          <w:spacing w:val="22"/>
        </w:rPr>
        <w:t xml:space="preserve"> </w:t>
      </w:r>
      <w:r>
        <w:rPr>
          <w:rFonts w:ascii="Times New Roman" w:eastAsia="Times New Roman"/>
        </w:rPr>
        <w:t>8702</w:t>
      </w:r>
      <w:r>
        <w:rPr>
          <w:rFonts w:ascii="Times New Roman" w:eastAsia="Times New Roman"/>
          <w:spacing w:val="18"/>
        </w:rPr>
        <w:t xml:space="preserve"> </w:t>
      </w:r>
      <w:r>
        <w:rPr>
          <w:spacing w:val="-6"/>
        </w:rPr>
        <w:t>的有关规定；土壤中氡浓度的控制应符合现行国家标</w:t>
      </w:r>
    </w:p>
    <w:p>
      <w:pPr>
        <w:pStyle w:val="3"/>
        <w:spacing w:before="1"/>
        <w:rPr>
          <w:sz w:val="18"/>
        </w:rPr>
      </w:pPr>
    </w:p>
    <w:p>
      <w:pPr>
        <w:pStyle w:val="3"/>
        <w:spacing w:before="1" w:line="446" w:lineRule="auto"/>
        <w:ind w:left="120" w:right="216"/>
        <w:jc w:val="both"/>
      </w:pPr>
      <w:r>
        <w:t>准《民用建筑工程室内环境污染控制规范》</w:t>
      </w:r>
      <w:r>
        <w:rPr>
          <w:rFonts w:ascii="Times New Roman" w:eastAsia="Times New Roman"/>
        </w:rPr>
        <w:t xml:space="preserve">GB 50325 </w:t>
      </w:r>
      <w:r>
        <w:t>的有关规定；场地及周边的加油站、加气站等危险源应满足国家现行相关标准中关于安全防护距离等的控制要求。</w:t>
      </w:r>
    </w:p>
    <w:p>
      <w:pPr>
        <w:pStyle w:val="3"/>
        <w:spacing w:line="446" w:lineRule="auto"/>
        <w:ind w:left="120" w:right="212" w:firstLine="420"/>
        <w:jc w:val="both"/>
      </w:pPr>
      <w:r>
        <w:rPr>
          <w:spacing w:val="-10"/>
        </w:rPr>
        <w:t>本条的审查方法：审查项目区位图、场地地形图、勘察报告、环评报告、检测报告或论</w:t>
      </w:r>
      <w:r>
        <w:rPr>
          <w:spacing w:val="-11"/>
        </w:rPr>
        <w:t>证报告等相关设计文件，项目所在区域有已开采的地下矿产时，须申请审查方提供当地地矿</w:t>
      </w:r>
      <w:r>
        <w:rPr>
          <w:spacing w:val="-6"/>
        </w:rPr>
        <w:t>主管部门出具的项目场地是否位于地下矿产采空区内的证明。</w:t>
      </w:r>
    </w:p>
    <w:p>
      <w:pPr>
        <w:pStyle w:val="9"/>
        <w:numPr>
          <w:ilvl w:val="2"/>
          <w:numId w:val="7"/>
        </w:numPr>
        <w:tabs>
          <w:tab w:val="left" w:pos="858"/>
        </w:tabs>
        <w:spacing w:before="0" w:after="0" w:line="446" w:lineRule="auto"/>
        <w:ind w:left="120" w:right="212" w:firstLine="0"/>
        <w:jc w:val="both"/>
        <w:rPr>
          <w:sz w:val="21"/>
        </w:rPr>
      </w:pPr>
      <w:r>
        <w:rPr>
          <w:spacing w:val="-3"/>
          <w:sz w:val="21"/>
        </w:rPr>
        <w:t>建筑结构应满足承载力和建筑使用功能要求。建筑外墙、屋面、门窗、幕墙、外保温等围护结构和外装饰构件应满足安全、耐久和防护的要求。</w:t>
      </w:r>
    </w:p>
    <w:p>
      <w:pPr>
        <w:pStyle w:val="3"/>
        <w:ind w:left="540"/>
      </w:pPr>
      <w:r>
        <w:t>审查说明主要内容：</w:t>
      </w:r>
    </w:p>
    <w:p>
      <w:pPr>
        <w:pStyle w:val="3"/>
        <w:spacing w:before="8"/>
        <w:rPr>
          <w:sz w:val="17"/>
        </w:rPr>
      </w:pPr>
    </w:p>
    <w:p>
      <w:pPr>
        <w:pStyle w:val="9"/>
        <w:numPr>
          <w:ilvl w:val="3"/>
          <w:numId w:val="7"/>
        </w:numPr>
        <w:tabs>
          <w:tab w:val="left" w:pos="860"/>
        </w:tabs>
        <w:spacing w:before="0" w:after="0" w:line="446" w:lineRule="auto"/>
        <w:ind w:left="120" w:right="212" w:firstLine="423"/>
        <w:jc w:val="both"/>
        <w:rPr>
          <w:sz w:val="21"/>
        </w:rPr>
      </w:pPr>
      <w:r>
        <w:rPr>
          <w:spacing w:val="-3"/>
          <w:sz w:val="21"/>
        </w:rPr>
        <w:t>结构设计应满足承载能力极限状态计算和正常使用极限状态验算的要求，并应符合国家现行相关标准的规定。</w:t>
      </w:r>
    </w:p>
    <w:p>
      <w:pPr>
        <w:pStyle w:val="9"/>
        <w:numPr>
          <w:ilvl w:val="3"/>
          <w:numId w:val="7"/>
        </w:numPr>
        <w:tabs>
          <w:tab w:val="left" w:pos="860"/>
        </w:tabs>
        <w:spacing w:before="0" w:after="0" w:line="446" w:lineRule="auto"/>
        <w:ind w:left="120" w:right="212" w:firstLine="423"/>
        <w:jc w:val="both"/>
        <w:rPr>
          <w:sz w:val="21"/>
        </w:rPr>
      </w:pPr>
      <w:r>
        <w:rPr>
          <w:spacing w:val="-3"/>
          <w:sz w:val="21"/>
        </w:rPr>
        <w:t>设计说明及相关设计图应明确建筑外墙、屋面、门窗、幕墙、外保温等围护结构和</w:t>
      </w:r>
      <w:r>
        <w:rPr>
          <w:spacing w:val="-9"/>
          <w:sz w:val="21"/>
        </w:rPr>
        <w:t>外装饰构件与建筑主体结构连接可靠，且能适应主体结构在多遇地震及各种荷载作用下的变</w:t>
      </w:r>
      <w:r>
        <w:rPr>
          <w:spacing w:val="-3"/>
          <w:sz w:val="21"/>
        </w:rPr>
        <w:t>形，满足安全、耐久、防护要求。</w:t>
      </w:r>
    </w:p>
    <w:p>
      <w:pPr>
        <w:pStyle w:val="9"/>
        <w:numPr>
          <w:ilvl w:val="3"/>
          <w:numId w:val="7"/>
        </w:numPr>
        <w:tabs>
          <w:tab w:val="left" w:pos="860"/>
        </w:tabs>
        <w:spacing w:before="0" w:after="0" w:line="446" w:lineRule="auto"/>
        <w:ind w:left="120" w:right="212" w:firstLine="423"/>
        <w:jc w:val="both"/>
        <w:rPr>
          <w:sz w:val="21"/>
        </w:rPr>
      </w:pPr>
      <w:r>
        <w:rPr>
          <w:spacing w:val="-3"/>
          <w:sz w:val="21"/>
        </w:rPr>
        <w:t>设计说明及相关设计图应明确建筑外墙、屋面、门窗、幕墙及外保温等围护结构和建筑外侧设置装饰构件的防水、防渗等设计要求。</w:t>
      </w:r>
    </w:p>
    <w:p>
      <w:pPr>
        <w:pStyle w:val="3"/>
        <w:ind w:left="540"/>
      </w:pPr>
      <w:r>
        <w:rPr>
          <w:spacing w:val="-9"/>
        </w:rPr>
        <w:t>本条的审查方法：审查相关设计文件</w:t>
      </w:r>
      <w:r>
        <w:t>（</w:t>
      </w:r>
      <w:r>
        <w:rPr>
          <w:spacing w:val="-12"/>
        </w:rPr>
        <w:t>设计说明、构造做法表、详图、结构计算书等</w:t>
      </w:r>
      <w:r>
        <w:rPr>
          <w:spacing w:val="-36"/>
        </w:rPr>
        <w:t>）</w:t>
      </w:r>
      <w:r>
        <w:t>。</w:t>
      </w:r>
    </w:p>
    <w:p>
      <w:pPr>
        <w:pStyle w:val="3"/>
        <w:spacing w:before="11"/>
        <w:rPr>
          <w:sz w:val="17"/>
        </w:rPr>
      </w:pPr>
    </w:p>
    <w:p>
      <w:pPr>
        <w:pStyle w:val="9"/>
        <w:numPr>
          <w:ilvl w:val="2"/>
          <w:numId w:val="7"/>
        </w:numPr>
        <w:tabs>
          <w:tab w:val="left" w:pos="858"/>
        </w:tabs>
        <w:spacing w:before="0" w:after="0" w:line="446" w:lineRule="auto"/>
        <w:ind w:left="120" w:right="212" w:firstLine="0"/>
        <w:jc w:val="both"/>
        <w:rPr>
          <w:sz w:val="21"/>
        </w:rPr>
      </w:pPr>
      <w:r>
        <w:rPr>
          <w:spacing w:val="-3"/>
          <w:sz w:val="21"/>
        </w:rPr>
        <w:t>外遮阳、太阳能设施、空调室外机位、外墙花池、女儿墙上设置的接闪带等外部设施应与建筑主体结构统一设计、施工，并应具备安装、检修与维护条件。</w:t>
      </w:r>
    </w:p>
    <w:p>
      <w:pPr>
        <w:pStyle w:val="3"/>
        <w:ind w:left="540"/>
      </w:pPr>
      <w:r>
        <w:t>审查说明主要内容：</w:t>
      </w:r>
    </w:p>
    <w:p>
      <w:pPr>
        <w:spacing w:after="0"/>
        <w:sectPr>
          <w:pgSz w:w="11910" w:h="16850"/>
          <w:pgMar w:top="1380" w:right="1580" w:bottom="1400" w:left="1680" w:header="0" w:footer="1204" w:gutter="0"/>
        </w:sectPr>
      </w:pPr>
    </w:p>
    <w:p>
      <w:pPr>
        <w:pStyle w:val="3"/>
        <w:spacing w:before="50" w:line="446" w:lineRule="auto"/>
        <w:ind w:left="119" w:right="107" w:firstLine="420"/>
      </w:pPr>
      <w:r>
        <w:rPr>
          <w:spacing w:val="-11"/>
        </w:rPr>
        <w:t>外遮阳、太阳能设施、空调室外机位、外墙花池、女儿墙上设置的接闪带等外部设施应</w:t>
      </w:r>
      <w:r>
        <w:rPr>
          <w:spacing w:val="-6"/>
        </w:rPr>
        <w:t xml:space="preserve">与建筑主体结构统一设计、施工，确保连接可靠，满足安全、防护以及局部保温构造完整， </w:t>
      </w:r>
      <w:r>
        <w:rPr>
          <w:spacing w:val="-5"/>
        </w:rPr>
        <w:t>防止室内环境产生结露现象，并应符合《建筑遮阳工程技术规范》</w:t>
      </w:r>
      <w:r>
        <w:rPr>
          <w:rFonts w:ascii="Times New Roman" w:eastAsia="Times New Roman"/>
        </w:rPr>
        <w:t>JGJ 237</w:t>
      </w:r>
      <w:r>
        <w:rPr>
          <w:spacing w:val="-3"/>
        </w:rPr>
        <w:t>、《民用建筑太</w:t>
      </w:r>
      <w:r>
        <w:rPr>
          <w:spacing w:val="-9"/>
        </w:rPr>
        <w:t>阳能热水系统应用技术标准》</w:t>
      </w:r>
      <w:r>
        <w:rPr>
          <w:rFonts w:ascii="Times New Roman" w:eastAsia="Times New Roman"/>
        </w:rPr>
        <w:t>GB 50364</w:t>
      </w:r>
      <w:r>
        <w:rPr>
          <w:spacing w:val="-17"/>
        </w:rPr>
        <w:t>、《民用建筑太阳能光伏系统应用技术规范》</w:t>
      </w:r>
      <w:r>
        <w:rPr>
          <w:rFonts w:ascii="Times New Roman" w:eastAsia="Times New Roman"/>
        </w:rPr>
        <w:t>JGJ 203</w:t>
      </w:r>
      <w:r>
        <w:t>、</w:t>
      </w:r>
    </w:p>
    <w:p>
      <w:pPr>
        <w:pStyle w:val="3"/>
        <w:spacing w:line="267" w:lineRule="exact"/>
        <w:ind w:left="119"/>
      </w:pPr>
      <w:r>
        <w:rPr>
          <w:spacing w:val="-3"/>
        </w:rPr>
        <w:t>《装配式混凝土建筑技术标准》</w:t>
      </w:r>
      <w:r>
        <w:rPr>
          <w:rFonts w:ascii="Times New Roman" w:eastAsia="Times New Roman"/>
        </w:rPr>
        <w:t>GB</w:t>
      </w:r>
      <w:r>
        <w:rPr>
          <w:rFonts w:ascii="Times New Roman" w:eastAsia="Times New Roman"/>
          <w:spacing w:val="26"/>
        </w:rPr>
        <w:t xml:space="preserve"> </w:t>
      </w:r>
      <w:r>
        <w:rPr>
          <w:rFonts w:ascii="Times New Roman" w:eastAsia="Times New Roman"/>
        </w:rPr>
        <w:t>51231</w:t>
      </w:r>
      <w:r>
        <w:rPr>
          <w:spacing w:val="-3"/>
        </w:rPr>
        <w:t>等现行技术标准的规定。</w:t>
      </w:r>
    </w:p>
    <w:p>
      <w:pPr>
        <w:pStyle w:val="3"/>
        <w:spacing w:before="1"/>
        <w:rPr>
          <w:sz w:val="18"/>
        </w:rPr>
      </w:pPr>
    </w:p>
    <w:p>
      <w:pPr>
        <w:pStyle w:val="3"/>
        <w:spacing w:before="1" w:line="446" w:lineRule="auto"/>
        <w:ind w:left="119" w:right="119" w:firstLine="420"/>
      </w:pPr>
      <w:r>
        <w:rPr>
          <w:spacing w:val="-3"/>
        </w:rPr>
        <w:t>在建筑设计时，应考虑安装在建筑外部的设备定期检修和维护条件，如设置检修通道、</w:t>
      </w:r>
      <w:r>
        <w:rPr>
          <w:spacing w:val="-9"/>
        </w:rPr>
        <w:t>马道或吊篮固定端等。当设备安装与主体结构不同时施工时，应设置预埋件，并在设计文件</w:t>
      </w:r>
      <w:r>
        <w:rPr>
          <w:spacing w:val="-10"/>
        </w:rPr>
        <w:t>中明确预埋件的检测验证参数及要求，确保其安全性与耐久性。新建或改建建筑设计时应预留与主体结构连接牢固的外部设备安装位置、条件，应与拟安装的设备的机型大小匹配，并</w:t>
      </w:r>
      <w:r>
        <w:rPr>
          <w:spacing w:val="-5"/>
        </w:rPr>
        <w:t>应同时预留安装、检修操作空间，保障装、检修、维护人员安全。</w:t>
      </w:r>
    </w:p>
    <w:p>
      <w:pPr>
        <w:pStyle w:val="3"/>
        <w:spacing w:line="265" w:lineRule="exact"/>
        <w:ind w:left="119"/>
      </w:pPr>
      <w:r>
        <w:rPr>
          <w:spacing w:val="-12"/>
        </w:rPr>
        <w:t>本条的评价方法为：审查相关设计文件</w:t>
      </w:r>
      <w:r>
        <w:t>（</w:t>
      </w:r>
      <w:r>
        <w:rPr>
          <w:spacing w:val="-19"/>
        </w:rPr>
        <w:t>设计说明、平面、立面、剖面图、详图、计算书等</w:t>
      </w:r>
      <w:r>
        <w:rPr>
          <w:spacing w:val="-53"/>
        </w:rPr>
        <w:t>）</w:t>
      </w:r>
      <w:r>
        <w:t>。</w:t>
      </w:r>
    </w:p>
    <w:p>
      <w:pPr>
        <w:pStyle w:val="3"/>
        <w:spacing w:before="1"/>
        <w:rPr>
          <w:sz w:val="18"/>
        </w:rPr>
      </w:pPr>
    </w:p>
    <w:p>
      <w:pPr>
        <w:pStyle w:val="9"/>
        <w:numPr>
          <w:ilvl w:val="2"/>
          <w:numId w:val="7"/>
        </w:numPr>
        <w:tabs>
          <w:tab w:val="left" w:pos="856"/>
          <w:tab w:val="left" w:pos="857"/>
        </w:tabs>
        <w:spacing w:before="0" w:after="0" w:line="446" w:lineRule="auto"/>
        <w:ind w:left="119" w:right="431" w:firstLine="1"/>
        <w:jc w:val="left"/>
        <w:rPr>
          <w:sz w:val="21"/>
        </w:rPr>
      </w:pPr>
      <w:r>
        <w:rPr>
          <w:spacing w:val="-3"/>
          <w:sz w:val="21"/>
        </w:rPr>
        <w:t>建筑内部的非结构构件、设备及附属设施等应连接牢固并能适应主体结构变形。审查说明主要内容：</w:t>
      </w:r>
    </w:p>
    <w:p>
      <w:pPr>
        <w:pStyle w:val="9"/>
        <w:numPr>
          <w:ilvl w:val="0"/>
          <w:numId w:val="8"/>
        </w:numPr>
        <w:tabs>
          <w:tab w:val="left" w:pos="859"/>
          <w:tab w:val="left" w:pos="860"/>
        </w:tabs>
        <w:spacing w:before="0" w:after="0" w:line="446" w:lineRule="auto"/>
        <w:ind w:left="119" w:right="220" w:firstLine="423"/>
        <w:jc w:val="left"/>
        <w:rPr>
          <w:sz w:val="21"/>
        </w:rPr>
      </w:pPr>
      <w:r>
        <w:rPr>
          <w:spacing w:val="-3"/>
          <w:sz w:val="21"/>
        </w:rPr>
        <w:t>门窗、防护栏杆等应满足国家现行相关设计标准要求并安装牢固，防止跌落事故发生；且应根据腐蚀环境选用材料或进行耐腐蚀处理。</w:t>
      </w:r>
    </w:p>
    <w:p>
      <w:pPr>
        <w:pStyle w:val="9"/>
        <w:numPr>
          <w:ilvl w:val="0"/>
          <w:numId w:val="8"/>
        </w:numPr>
        <w:tabs>
          <w:tab w:val="left" w:pos="859"/>
          <w:tab w:val="left" w:pos="860"/>
        </w:tabs>
        <w:spacing w:before="0" w:after="0" w:line="446" w:lineRule="auto"/>
        <w:ind w:left="119" w:right="220" w:firstLine="423"/>
        <w:jc w:val="left"/>
        <w:rPr>
          <w:sz w:val="21"/>
        </w:rPr>
      </w:pPr>
      <w:r>
        <w:rPr>
          <w:spacing w:val="-3"/>
          <w:sz w:val="21"/>
        </w:rPr>
        <w:t>室内装饰装修除应符合国家现行相关标准的规定外，还需对承重材料的力学性能进行检测验证。</w:t>
      </w:r>
    </w:p>
    <w:p>
      <w:pPr>
        <w:pStyle w:val="9"/>
        <w:numPr>
          <w:ilvl w:val="0"/>
          <w:numId w:val="8"/>
        </w:numPr>
        <w:tabs>
          <w:tab w:val="left" w:pos="859"/>
          <w:tab w:val="left" w:pos="860"/>
        </w:tabs>
        <w:spacing w:before="0" w:after="0" w:line="446" w:lineRule="auto"/>
        <w:ind w:left="119" w:right="220" w:firstLine="423"/>
        <w:jc w:val="left"/>
        <w:rPr>
          <w:sz w:val="21"/>
        </w:rPr>
      </w:pPr>
      <w:r>
        <w:rPr>
          <w:spacing w:val="-3"/>
          <w:sz w:val="21"/>
        </w:rPr>
        <w:t>装饰构件之间以及装饰构件与建筑墙体、楼板等构件之间的连接力学性能应满足设计要求，连接可靠并能适合主体结构在地震作用之外各种荷载作用下的变形。</w:t>
      </w:r>
    </w:p>
    <w:p>
      <w:pPr>
        <w:pStyle w:val="9"/>
        <w:numPr>
          <w:ilvl w:val="0"/>
          <w:numId w:val="8"/>
        </w:numPr>
        <w:tabs>
          <w:tab w:val="left" w:pos="860"/>
        </w:tabs>
        <w:spacing w:before="0" w:after="0" w:line="446" w:lineRule="auto"/>
        <w:ind w:left="119" w:right="213" w:firstLine="423"/>
        <w:jc w:val="both"/>
        <w:rPr>
          <w:sz w:val="21"/>
        </w:rPr>
      </w:pPr>
      <w:r>
        <w:rPr>
          <w:spacing w:val="-3"/>
          <w:sz w:val="21"/>
        </w:rPr>
        <w:t>建筑部品、非结构构件及附属设备等应采用机械固定、焊接、预埋等牢固性构件连</w:t>
      </w:r>
      <w:r>
        <w:rPr>
          <w:spacing w:val="-7"/>
          <w:sz w:val="21"/>
        </w:rPr>
        <w:t>接方式或其他一体化建造方式与建筑主体结构可靠连接，防止由于个别构件破坏引起连续性</w:t>
      </w:r>
      <w:r>
        <w:rPr>
          <w:spacing w:val="-5"/>
          <w:sz w:val="21"/>
        </w:rPr>
        <w:t>破坏或倒塌。以膨胀螺栓、捆绑、支架等连接或安装方式均不能视为一体化措施。</w:t>
      </w:r>
    </w:p>
    <w:p>
      <w:pPr>
        <w:pStyle w:val="3"/>
        <w:spacing w:line="268" w:lineRule="exact"/>
        <w:ind w:left="539"/>
      </w:pPr>
      <w:r>
        <w:t>本条的审查方法为：</w:t>
      </w:r>
    </w:p>
    <w:p>
      <w:pPr>
        <w:pStyle w:val="3"/>
        <w:spacing w:before="10"/>
        <w:rPr>
          <w:sz w:val="17"/>
        </w:rPr>
      </w:pPr>
    </w:p>
    <w:p>
      <w:pPr>
        <w:pStyle w:val="9"/>
        <w:numPr>
          <w:ilvl w:val="0"/>
          <w:numId w:val="9"/>
        </w:numPr>
        <w:tabs>
          <w:tab w:val="left" w:pos="859"/>
          <w:tab w:val="left" w:pos="860"/>
        </w:tabs>
        <w:spacing w:before="0" w:after="0" w:line="446" w:lineRule="auto"/>
        <w:ind w:left="119" w:right="213" w:firstLine="423"/>
        <w:jc w:val="left"/>
        <w:rPr>
          <w:sz w:val="21"/>
        </w:rPr>
      </w:pPr>
      <w:r>
        <w:rPr>
          <w:spacing w:val="-3"/>
          <w:sz w:val="21"/>
        </w:rPr>
        <w:t>审查相关设计文件，各连接件、配件、预埋件的力学性能，计算书，施工图等相关设计文件、产品设计要求等。</w:t>
      </w:r>
    </w:p>
    <w:p>
      <w:pPr>
        <w:pStyle w:val="9"/>
        <w:numPr>
          <w:ilvl w:val="0"/>
          <w:numId w:val="9"/>
        </w:numPr>
        <w:tabs>
          <w:tab w:val="left" w:pos="856"/>
          <w:tab w:val="left" w:pos="857"/>
        </w:tabs>
        <w:spacing w:before="0" w:after="0" w:line="267" w:lineRule="exact"/>
        <w:ind w:left="856" w:right="0" w:hanging="316"/>
        <w:jc w:val="left"/>
        <w:rPr>
          <w:sz w:val="21"/>
        </w:rPr>
      </w:pPr>
      <w:r>
        <w:rPr>
          <w:spacing w:val="-3"/>
          <w:sz w:val="21"/>
        </w:rPr>
        <w:t>审查产品说明书、力学及耐久性能测试或试验报告。</w:t>
      </w:r>
    </w:p>
    <w:p>
      <w:pPr>
        <w:spacing w:after="0" w:line="267" w:lineRule="exact"/>
        <w:jc w:val="left"/>
        <w:rPr>
          <w:sz w:val="21"/>
        </w:rPr>
        <w:sectPr>
          <w:footerReference r:id="rId7" w:type="default"/>
          <w:footerReference r:id="rId8" w:type="even"/>
          <w:pgSz w:w="11910" w:h="16850"/>
          <w:pgMar w:top="1580" w:right="1580" w:bottom="1180" w:left="1680" w:header="0" w:footer="997" w:gutter="0"/>
          <w:pgNumType w:start="6"/>
        </w:sectPr>
      </w:pPr>
    </w:p>
    <w:p>
      <w:pPr>
        <w:pStyle w:val="9"/>
        <w:numPr>
          <w:ilvl w:val="2"/>
          <w:numId w:val="7"/>
        </w:numPr>
        <w:tabs>
          <w:tab w:val="left" w:pos="856"/>
          <w:tab w:val="left" w:pos="857"/>
        </w:tabs>
        <w:spacing w:before="50" w:after="0" w:line="446" w:lineRule="auto"/>
        <w:ind w:left="120" w:right="222" w:firstLine="0"/>
        <w:jc w:val="left"/>
        <w:rPr>
          <w:sz w:val="21"/>
        </w:rPr>
      </w:pPr>
      <w:r>
        <w:rPr>
          <w:spacing w:val="-3"/>
          <w:sz w:val="21"/>
        </w:rPr>
        <w:t>建筑外门窗必须安装牢固，其抗风压性能和水密性能应符合国家现行有关标准的规定。</w:t>
      </w:r>
    </w:p>
    <w:p>
      <w:pPr>
        <w:pStyle w:val="3"/>
        <w:ind w:left="540"/>
      </w:pPr>
      <w:r>
        <w:t>审查说明主要内容：</w:t>
      </w:r>
    </w:p>
    <w:p>
      <w:pPr>
        <w:pStyle w:val="3"/>
        <w:spacing w:before="12"/>
        <w:rPr>
          <w:sz w:val="17"/>
        </w:rPr>
      </w:pPr>
    </w:p>
    <w:p>
      <w:pPr>
        <w:pStyle w:val="9"/>
        <w:numPr>
          <w:ilvl w:val="0"/>
          <w:numId w:val="10"/>
        </w:numPr>
        <w:tabs>
          <w:tab w:val="left" w:pos="860"/>
        </w:tabs>
        <w:spacing w:before="0" w:after="0" w:line="446" w:lineRule="auto"/>
        <w:ind w:left="120" w:right="212" w:firstLine="422"/>
        <w:jc w:val="both"/>
        <w:rPr>
          <w:sz w:val="21"/>
        </w:rPr>
      </w:pPr>
      <w:r>
        <w:rPr>
          <w:spacing w:val="-3"/>
          <w:sz w:val="21"/>
        </w:rPr>
        <w:t>建筑设计的外门窗应以满足严寒地区环境条件下建筑物使用功能要求为目标，根据建筑功能、高度等基础条件，给出符合《塑料门窗工程技术规程》</w:t>
      </w:r>
      <w:r>
        <w:rPr>
          <w:rFonts w:ascii="Times New Roman" w:eastAsia="Times New Roman"/>
          <w:sz w:val="21"/>
        </w:rPr>
        <w:t>JGJ</w:t>
      </w:r>
      <w:r>
        <w:rPr>
          <w:rFonts w:ascii="Times New Roman" w:eastAsia="Times New Roman"/>
          <w:spacing w:val="38"/>
          <w:sz w:val="21"/>
        </w:rPr>
        <w:t xml:space="preserve"> </w:t>
      </w:r>
      <w:r>
        <w:rPr>
          <w:rFonts w:ascii="Times New Roman" w:eastAsia="Times New Roman"/>
          <w:sz w:val="21"/>
        </w:rPr>
        <w:t>103</w:t>
      </w:r>
      <w:r>
        <w:rPr>
          <w:spacing w:val="-3"/>
          <w:sz w:val="21"/>
        </w:rPr>
        <w:t>、《铝合金门窗工程技术规范》</w:t>
      </w:r>
      <w:r>
        <w:rPr>
          <w:rFonts w:ascii="Times New Roman" w:eastAsia="Times New Roman"/>
          <w:sz w:val="21"/>
        </w:rPr>
        <w:t>JGJ</w:t>
      </w:r>
      <w:r>
        <w:rPr>
          <w:rFonts w:ascii="Times New Roman" w:eastAsia="Times New Roman"/>
          <w:spacing w:val="-1"/>
          <w:sz w:val="21"/>
        </w:rPr>
        <w:t xml:space="preserve"> </w:t>
      </w:r>
      <w:r>
        <w:rPr>
          <w:rFonts w:ascii="Times New Roman" w:eastAsia="Times New Roman"/>
          <w:sz w:val="21"/>
        </w:rPr>
        <w:t>214</w:t>
      </w:r>
      <w:r>
        <w:rPr>
          <w:rFonts w:ascii="Times New Roman" w:eastAsia="Times New Roman"/>
          <w:spacing w:val="-2"/>
          <w:sz w:val="21"/>
        </w:rPr>
        <w:t xml:space="preserve"> </w:t>
      </w:r>
      <w:r>
        <w:rPr>
          <w:spacing w:val="-3"/>
          <w:sz w:val="21"/>
        </w:rPr>
        <w:t>等现行相关标准的规定的安装设计要求。</w:t>
      </w:r>
    </w:p>
    <w:p>
      <w:pPr>
        <w:pStyle w:val="9"/>
        <w:numPr>
          <w:ilvl w:val="0"/>
          <w:numId w:val="10"/>
        </w:numPr>
        <w:tabs>
          <w:tab w:val="left" w:pos="860"/>
        </w:tabs>
        <w:spacing w:before="0" w:after="0" w:line="446" w:lineRule="auto"/>
        <w:ind w:left="120" w:right="212" w:firstLine="422"/>
        <w:jc w:val="both"/>
        <w:rPr>
          <w:sz w:val="21"/>
        </w:rPr>
      </w:pPr>
      <w:r>
        <w:rPr>
          <w:spacing w:val="-3"/>
          <w:sz w:val="21"/>
        </w:rPr>
        <w:t>建筑设计说明等相关设计文件中，应结合建筑性质、高度等基础条件，明确确定外</w:t>
      </w:r>
      <w:r>
        <w:rPr>
          <w:spacing w:val="-10"/>
          <w:sz w:val="21"/>
        </w:rPr>
        <w:t>门窗的抗风压性能、水密性能指标和等级，并应符合《建筑外门窗气密、水密、抗风压性能</w:t>
      </w:r>
      <w:r>
        <w:rPr>
          <w:spacing w:val="-5"/>
          <w:sz w:val="21"/>
        </w:rPr>
        <w:t>分级及检测方法》</w:t>
      </w:r>
      <w:r>
        <w:rPr>
          <w:rFonts w:ascii="Times New Roman" w:eastAsia="Times New Roman"/>
          <w:sz w:val="21"/>
        </w:rPr>
        <w:t xml:space="preserve">GB/T 7106 </w:t>
      </w:r>
      <w:r>
        <w:rPr>
          <w:spacing w:val="-3"/>
          <w:sz w:val="21"/>
        </w:rPr>
        <w:t>现行标准的要求。</w:t>
      </w:r>
    </w:p>
    <w:p>
      <w:pPr>
        <w:pStyle w:val="3"/>
        <w:spacing w:line="268" w:lineRule="exact"/>
        <w:ind w:left="540"/>
      </w:pPr>
      <w:r>
        <w:t>本条的审查方法为：</w:t>
      </w:r>
    </w:p>
    <w:p>
      <w:pPr>
        <w:pStyle w:val="3"/>
        <w:spacing w:before="11"/>
        <w:rPr>
          <w:sz w:val="17"/>
        </w:rPr>
      </w:pPr>
    </w:p>
    <w:p>
      <w:pPr>
        <w:pStyle w:val="3"/>
        <w:ind w:left="540"/>
      </w:pPr>
      <w:r>
        <w:t>审查相关设计文件（设计说明、门窗表、详图等）。</w:t>
      </w:r>
    </w:p>
    <w:p>
      <w:pPr>
        <w:pStyle w:val="3"/>
        <w:spacing w:before="2"/>
        <w:rPr>
          <w:sz w:val="18"/>
        </w:rPr>
      </w:pPr>
    </w:p>
    <w:p>
      <w:pPr>
        <w:pStyle w:val="9"/>
        <w:numPr>
          <w:ilvl w:val="2"/>
          <w:numId w:val="7"/>
        </w:numPr>
        <w:tabs>
          <w:tab w:val="left" w:pos="857"/>
          <w:tab w:val="left" w:pos="858"/>
        </w:tabs>
        <w:spacing w:before="0" w:after="0" w:line="446" w:lineRule="auto"/>
        <w:ind w:left="120" w:right="214" w:firstLine="0"/>
        <w:jc w:val="left"/>
        <w:rPr>
          <w:sz w:val="21"/>
        </w:rPr>
      </w:pPr>
      <w:r>
        <w:rPr>
          <w:spacing w:val="-8"/>
          <w:sz w:val="21"/>
        </w:rPr>
        <w:t>卫生间、浴室和厨房的地面应设置防水层 ，卫生间、浴室的墙面、天棚应设置防潮</w:t>
      </w:r>
      <w:r>
        <w:rPr>
          <w:spacing w:val="-3"/>
          <w:sz w:val="21"/>
        </w:rPr>
        <w:t>层，厨房外墙内侧宜设置防潮层。</w:t>
      </w:r>
    </w:p>
    <w:p>
      <w:pPr>
        <w:pStyle w:val="3"/>
        <w:spacing w:line="267" w:lineRule="exact"/>
        <w:ind w:left="540"/>
      </w:pPr>
      <w:r>
        <w:t>审查说明的主要内容：</w:t>
      </w:r>
    </w:p>
    <w:p>
      <w:pPr>
        <w:pStyle w:val="3"/>
        <w:spacing w:before="2"/>
        <w:rPr>
          <w:sz w:val="18"/>
        </w:rPr>
      </w:pPr>
    </w:p>
    <w:p>
      <w:pPr>
        <w:pStyle w:val="9"/>
        <w:numPr>
          <w:ilvl w:val="0"/>
          <w:numId w:val="11"/>
        </w:numPr>
        <w:tabs>
          <w:tab w:val="left" w:pos="859"/>
          <w:tab w:val="left" w:pos="860"/>
        </w:tabs>
        <w:spacing w:before="0" w:after="0" w:line="446" w:lineRule="auto"/>
        <w:ind w:left="120" w:right="213" w:firstLine="422"/>
        <w:jc w:val="left"/>
        <w:rPr>
          <w:sz w:val="21"/>
        </w:rPr>
      </w:pPr>
      <w:r>
        <w:rPr>
          <w:spacing w:val="-3"/>
          <w:sz w:val="21"/>
        </w:rPr>
        <w:t>设计说明、构造做法表应明确卫生间、浴室和厨房的地面设置防水层。相关构造应有具体设计要求。</w:t>
      </w:r>
    </w:p>
    <w:p>
      <w:pPr>
        <w:pStyle w:val="9"/>
        <w:numPr>
          <w:ilvl w:val="0"/>
          <w:numId w:val="11"/>
        </w:numPr>
        <w:tabs>
          <w:tab w:val="left" w:pos="859"/>
          <w:tab w:val="left" w:pos="860"/>
        </w:tabs>
        <w:spacing w:before="0" w:after="0" w:line="446" w:lineRule="auto"/>
        <w:ind w:left="120" w:right="213" w:firstLine="422"/>
        <w:jc w:val="left"/>
        <w:rPr>
          <w:sz w:val="21"/>
        </w:rPr>
      </w:pPr>
      <w:r>
        <w:rPr>
          <w:spacing w:val="-3"/>
          <w:sz w:val="21"/>
        </w:rPr>
        <w:t>设计说明、构造做法表中应明确卫生间和浴室的墙面、天棚设置防潮层，厨房外墙内侧设置防潮层。相关构造应有具体的设计要求。</w:t>
      </w:r>
    </w:p>
    <w:p>
      <w:pPr>
        <w:pStyle w:val="9"/>
        <w:numPr>
          <w:ilvl w:val="0"/>
          <w:numId w:val="11"/>
        </w:numPr>
        <w:tabs>
          <w:tab w:val="left" w:pos="859"/>
          <w:tab w:val="left" w:pos="860"/>
        </w:tabs>
        <w:spacing w:before="0" w:after="0" w:line="240" w:lineRule="auto"/>
        <w:ind w:left="859" w:right="0" w:hanging="317"/>
        <w:jc w:val="left"/>
        <w:rPr>
          <w:sz w:val="21"/>
        </w:rPr>
      </w:pPr>
      <w:r>
        <w:rPr>
          <w:spacing w:val="-3"/>
          <w:sz w:val="21"/>
        </w:rPr>
        <w:t>防水层和防潮层设计应符合《住宅室内防水工程技术规范》</w:t>
      </w:r>
      <w:r>
        <w:rPr>
          <w:rFonts w:ascii="Times New Roman" w:eastAsia="Times New Roman"/>
          <w:sz w:val="21"/>
        </w:rPr>
        <w:t>JGJ 298</w:t>
      </w:r>
      <w:r>
        <w:rPr>
          <w:spacing w:val="-3"/>
          <w:sz w:val="21"/>
        </w:rPr>
        <w:t>的规定。</w:t>
      </w:r>
    </w:p>
    <w:p>
      <w:pPr>
        <w:pStyle w:val="3"/>
        <w:spacing w:before="10"/>
        <w:rPr>
          <w:sz w:val="17"/>
        </w:rPr>
      </w:pPr>
    </w:p>
    <w:p>
      <w:pPr>
        <w:pStyle w:val="3"/>
        <w:ind w:left="540"/>
      </w:pPr>
      <w:r>
        <w:t>本条的审查方法为：审查相关设计文件（建筑专业设计说明、构造做法表、详图等）。</w:t>
      </w:r>
    </w:p>
    <w:p>
      <w:pPr>
        <w:pStyle w:val="3"/>
        <w:spacing w:before="2"/>
        <w:rPr>
          <w:sz w:val="18"/>
        </w:rPr>
      </w:pPr>
    </w:p>
    <w:p>
      <w:pPr>
        <w:pStyle w:val="9"/>
        <w:numPr>
          <w:ilvl w:val="2"/>
          <w:numId w:val="7"/>
        </w:numPr>
        <w:tabs>
          <w:tab w:val="left" w:pos="856"/>
          <w:tab w:val="left" w:pos="858"/>
        </w:tabs>
        <w:spacing w:before="0" w:after="0" w:line="446" w:lineRule="auto"/>
        <w:ind w:left="540" w:right="433" w:hanging="420"/>
        <w:jc w:val="left"/>
        <w:rPr>
          <w:sz w:val="21"/>
        </w:rPr>
      </w:pPr>
      <w:r>
        <w:rPr>
          <w:spacing w:val="-3"/>
          <w:sz w:val="21"/>
        </w:rPr>
        <w:t>走廊、疏散通道等通行空间应满足紧急疏散、应急救护等要求，且应保持畅通。审查说明主要内容：</w:t>
      </w:r>
    </w:p>
    <w:p>
      <w:pPr>
        <w:pStyle w:val="9"/>
        <w:numPr>
          <w:ilvl w:val="0"/>
          <w:numId w:val="12"/>
        </w:numPr>
        <w:tabs>
          <w:tab w:val="left" w:pos="859"/>
          <w:tab w:val="left" w:pos="860"/>
        </w:tabs>
        <w:spacing w:before="0" w:after="0" w:line="446" w:lineRule="auto"/>
        <w:ind w:left="120" w:right="212" w:firstLine="422"/>
        <w:jc w:val="left"/>
        <w:rPr>
          <w:sz w:val="21"/>
        </w:rPr>
      </w:pPr>
      <w:r>
        <w:rPr>
          <w:spacing w:val="-3"/>
          <w:sz w:val="21"/>
        </w:rPr>
        <w:t>设计说明应明确建筑物的使用性质、建筑高度、规模和耐火等级等数据，设计依据其合理设置安全疏散、紧急救护和避难设施。</w:t>
      </w:r>
    </w:p>
    <w:p>
      <w:pPr>
        <w:pStyle w:val="9"/>
        <w:numPr>
          <w:ilvl w:val="0"/>
          <w:numId w:val="12"/>
        </w:numPr>
        <w:tabs>
          <w:tab w:val="left" w:pos="860"/>
        </w:tabs>
        <w:spacing w:before="0" w:after="0" w:line="446" w:lineRule="auto"/>
        <w:ind w:left="120" w:right="212" w:firstLine="422"/>
        <w:jc w:val="both"/>
        <w:rPr>
          <w:sz w:val="21"/>
        </w:rPr>
      </w:pPr>
      <w:r>
        <w:rPr>
          <w:spacing w:val="-3"/>
          <w:sz w:val="21"/>
        </w:rPr>
        <w:t>相关设计文件应明确安全出口和疏散门的位置、数量、宽度、疏散距离及疏散楼梯</w:t>
      </w:r>
      <w:r>
        <w:rPr>
          <w:spacing w:val="-11"/>
          <w:sz w:val="21"/>
        </w:rPr>
        <w:t>间的形式，满足人员安全疏散、应急救护等要求。通行空间门开启方向、位置的设计，应符</w:t>
      </w:r>
      <w:r>
        <w:rPr>
          <w:spacing w:val="-6"/>
          <w:sz w:val="21"/>
        </w:rPr>
        <w:t>合相关标准的规定。</w:t>
      </w:r>
    </w:p>
    <w:p>
      <w:pPr>
        <w:spacing w:after="0" w:line="446" w:lineRule="auto"/>
        <w:jc w:val="both"/>
        <w:rPr>
          <w:sz w:val="21"/>
        </w:rPr>
        <w:sectPr>
          <w:pgSz w:w="11910" w:h="16850"/>
          <w:pgMar w:top="1580" w:right="1580" w:bottom="1400" w:left="1680" w:header="0" w:footer="1204" w:gutter="0"/>
        </w:sectPr>
      </w:pPr>
    </w:p>
    <w:p>
      <w:pPr>
        <w:pStyle w:val="9"/>
        <w:numPr>
          <w:ilvl w:val="0"/>
          <w:numId w:val="12"/>
        </w:numPr>
        <w:tabs>
          <w:tab w:val="left" w:pos="860"/>
        </w:tabs>
        <w:spacing w:before="50" w:after="0" w:line="446" w:lineRule="auto"/>
        <w:ind w:left="120" w:right="213" w:firstLine="422"/>
        <w:jc w:val="both"/>
        <w:rPr>
          <w:sz w:val="21"/>
        </w:rPr>
      </w:pPr>
      <w:r>
        <w:rPr>
          <w:spacing w:val="-5"/>
          <w:sz w:val="21"/>
        </w:rPr>
        <w:t>走廊、疏散通道等设计应满足《建筑设计防火规范》</w:t>
      </w:r>
      <w:r>
        <w:rPr>
          <w:rFonts w:ascii="Times New Roman" w:eastAsia="Times New Roman"/>
          <w:sz w:val="21"/>
        </w:rPr>
        <w:t>GB</w:t>
      </w:r>
      <w:r>
        <w:rPr>
          <w:rFonts w:ascii="Times New Roman" w:eastAsia="Times New Roman"/>
          <w:spacing w:val="25"/>
          <w:sz w:val="21"/>
        </w:rPr>
        <w:t xml:space="preserve"> </w:t>
      </w:r>
      <w:r>
        <w:rPr>
          <w:rFonts w:ascii="Times New Roman" w:eastAsia="Times New Roman"/>
          <w:sz w:val="21"/>
        </w:rPr>
        <w:t>50016</w:t>
      </w:r>
      <w:r>
        <w:rPr>
          <w:spacing w:val="-4"/>
          <w:sz w:val="21"/>
        </w:rPr>
        <w:t>、《防灾避难场所设计规范》</w:t>
      </w:r>
      <w:r>
        <w:rPr>
          <w:rFonts w:ascii="Times New Roman" w:eastAsia="Times New Roman"/>
          <w:sz w:val="21"/>
        </w:rPr>
        <w:t>GB</w:t>
      </w:r>
      <w:r>
        <w:rPr>
          <w:rFonts w:ascii="Times New Roman" w:eastAsia="Times New Roman"/>
          <w:spacing w:val="-2"/>
          <w:sz w:val="21"/>
        </w:rPr>
        <w:t xml:space="preserve"> </w:t>
      </w:r>
      <w:r>
        <w:rPr>
          <w:rFonts w:ascii="Times New Roman" w:eastAsia="Times New Roman"/>
          <w:sz w:val="21"/>
        </w:rPr>
        <w:t xml:space="preserve">51143 </w:t>
      </w:r>
      <w:r>
        <w:rPr>
          <w:spacing w:val="-3"/>
          <w:sz w:val="21"/>
        </w:rPr>
        <w:t>等规定。</w:t>
      </w:r>
    </w:p>
    <w:p>
      <w:pPr>
        <w:pStyle w:val="9"/>
        <w:numPr>
          <w:ilvl w:val="0"/>
          <w:numId w:val="12"/>
        </w:numPr>
        <w:tabs>
          <w:tab w:val="left" w:pos="859"/>
        </w:tabs>
        <w:spacing w:before="0" w:after="0" w:line="446" w:lineRule="auto"/>
        <w:ind w:left="119" w:right="213" w:firstLine="423"/>
        <w:jc w:val="both"/>
        <w:rPr>
          <w:sz w:val="21"/>
        </w:rPr>
      </w:pPr>
      <w:r>
        <w:rPr>
          <w:spacing w:val="-3"/>
          <w:sz w:val="21"/>
        </w:rPr>
        <w:t>总图、园林景观总平面布置、建筑平面等的阳台、花池、机电配电装置和园林景观</w:t>
      </w:r>
      <w:r>
        <w:rPr>
          <w:spacing w:val="-11"/>
          <w:sz w:val="21"/>
        </w:rPr>
        <w:t>等设计，不应有对人员活动、步行交通、消防疏散产生影响的设施凸向走廊、疏散通道等通</w:t>
      </w:r>
      <w:r>
        <w:rPr>
          <w:spacing w:val="-6"/>
          <w:sz w:val="21"/>
        </w:rPr>
        <w:t>行空间，保证走廊、疏散通道的通行路线畅通，视线清晰，避免埋下安全隐患。</w:t>
      </w:r>
    </w:p>
    <w:p>
      <w:pPr>
        <w:pStyle w:val="3"/>
        <w:spacing w:line="446" w:lineRule="auto"/>
        <w:ind w:left="119" w:right="213" w:firstLine="420"/>
        <w:jc w:val="both"/>
      </w:pPr>
      <w:r>
        <w:rPr>
          <w:spacing w:val="-7"/>
        </w:rPr>
        <w:t>本条的审查方法为：审查相关设计文件</w:t>
      </w:r>
      <w:r>
        <w:rPr>
          <w:spacing w:val="-3"/>
        </w:rPr>
        <w:t>（</w:t>
      </w:r>
      <w:r>
        <w:rPr>
          <w:spacing w:val="-9"/>
        </w:rPr>
        <w:t>建筑设计说明、消防专篇、总平面图、建筑平</w:t>
      </w:r>
      <w:r>
        <w:rPr>
          <w:spacing w:val="-5"/>
        </w:rPr>
        <w:t>面图、园林设计说明、园林景观总平面图等</w:t>
      </w:r>
      <w:r>
        <w:rPr>
          <w:spacing w:val="-3"/>
        </w:rPr>
        <w:t>）</w:t>
      </w:r>
      <w:r>
        <w:t>。</w:t>
      </w:r>
    </w:p>
    <w:p>
      <w:pPr>
        <w:pStyle w:val="9"/>
        <w:numPr>
          <w:ilvl w:val="2"/>
          <w:numId w:val="7"/>
        </w:numPr>
        <w:tabs>
          <w:tab w:val="left" w:pos="856"/>
          <w:tab w:val="left" w:pos="857"/>
        </w:tabs>
        <w:spacing w:before="0" w:after="0" w:line="446" w:lineRule="auto"/>
        <w:ind w:left="539" w:right="4005" w:hanging="420"/>
        <w:jc w:val="left"/>
        <w:rPr>
          <w:sz w:val="21"/>
        </w:rPr>
      </w:pPr>
      <w:r>
        <w:rPr>
          <w:spacing w:val="-4"/>
          <w:sz w:val="21"/>
        </w:rPr>
        <w:t>应具有安全防护的警示和引导标识系统。</w:t>
      </w:r>
      <w:r>
        <w:rPr>
          <w:spacing w:val="-3"/>
          <w:sz w:val="21"/>
        </w:rPr>
        <w:t>审查说明主要内容：</w:t>
      </w:r>
    </w:p>
    <w:p>
      <w:pPr>
        <w:pStyle w:val="9"/>
        <w:numPr>
          <w:ilvl w:val="0"/>
          <w:numId w:val="13"/>
        </w:numPr>
        <w:tabs>
          <w:tab w:val="left" w:pos="859"/>
        </w:tabs>
        <w:spacing w:before="0" w:after="0" w:line="446" w:lineRule="auto"/>
        <w:ind w:left="119" w:right="220" w:firstLine="423"/>
        <w:jc w:val="both"/>
        <w:rPr>
          <w:sz w:val="21"/>
        </w:rPr>
      </w:pPr>
      <w:r>
        <w:rPr>
          <w:spacing w:val="-3"/>
          <w:sz w:val="21"/>
        </w:rPr>
        <w:t>设计说明及标识系统设计应明确场地及建筑公共场所和其他有必要提醒人们注意安全的场所设置具有警示和引导功能的安全标志。</w:t>
      </w:r>
    </w:p>
    <w:p>
      <w:pPr>
        <w:pStyle w:val="9"/>
        <w:numPr>
          <w:ilvl w:val="0"/>
          <w:numId w:val="13"/>
        </w:numPr>
        <w:tabs>
          <w:tab w:val="left" w:pos="858"/>
          <w:tab w:val="left" w:pos="859"/>
        </w:tabs>
        <w:spacing w:before="0" w:after="0" w:line="240" w:lineRule="auto"/>
        <w:ind w:left="858" w:right="0" w:hanging="316"/>
        <w:jc w:val="left"/>
        <w:rPr>
          <w:rFonts w:ascii="Times New Roman" w:eastAsia="Times New Roman"/>
          <w:sz w:val="21"/>
        </w:rPr>
      </w:pPr>
      <w:r>
        <w:rPr>
          <w:spacing w:val="-13"/>
          <w:sz w:val="21"/>
        </w:rPr>
        <w:t>具有警示和引导功能标识系统的设计，应符合《安全标志及使用导则》</w:t>
      </w:r>
      <w:r>
        <w:rPr>
          <w:rFonts w:ascii="Times New Roman" w:eastAsia="Times New Roman"/>
          <w:sz w:val="21"/>
        </w:rPr>
        <w:t>GB</w:t>
      </w:r>
      <w:r>
        <w:rPr>
          <w:rFonts w:ascii="Times New Roman" w:eastAsia="Times New Roman"/>
          <w:spacing w:val="6"/>
          <w:sz w:val="21"/>
        </w:rPr>
        <w:t xml:space="preserve"> </w:t>
      </w:r>
      <w:r>
        <w:rPr>
          <w:rFonts w:ascii="Times New Roman" w:eastAsia="Times New Roman"/>
          <w:sz w:val="21"/>
        </w:rPr>
        <w:t>2894-2008</w:t>
      </w:r>
    </w:p>
    <w:p>
      <w:pPr>
        <w:pStyle w:val="3"/>
        <w:spacing w:before="8"/>
        <w:rPr>
          <w:rFonts w:ascii="Times New Roman"/>
          <w:sz w:val="19"/>
        </w:rPr>
      </w:pPr>
    </w:p>
    <w:p>
      <w:pPr>
        <w:pStyle w:val="3"/>
        <w:ind w:left="119"/>
      </w:pPr>
      <w:r>
        <w:t>的要求。</w:t>
      </w:r>
    </w:p>
    <w:p>
      <w:pPr>
        <w:pStyle w:val="3"/>
        <w:spacing w:before="12"/>
        <w:rPr>
          <w:sz w:val="17"/>
        </w:rPr>
      </w:pPr>
    </w:p>
    <w:p>
      <w:pPr>
        <w:pStyle w:val="3"/>
        <w:ind w:left="539"/>
      </w:pPr>
      <w:r>
        <w:t>本条的审查方法：审查相关设计文件(标识系统设计与设置说明等文件)。</w:t>
      </w:r>
    </w:p>
    <w:p>
      <w:pPr>
        <w:spacing w:after="0"/>
        <w:sectPr>
          <w:pgSz w:w="11910" w:h="16850"/>
          <w:pgMar w:top="1580" w:right="1580" w:bottom="1180" w:left="1680" w:header="0" w:footer="997" w:gutter="0"/>
        </w:sectPr>
      </w:pPr>
    </w:p>
    <w:p>
      <w:pPr>
        <w:spacing w:before="57"/>
        <w:ind w:left="3362" w:right="0" w:firstLine="0"/>
        <w:jc w:val="left"/>
        <w:rPr>
          <w:rFonts w:hint="eastAsia" w:ascii="黑体" w:eastAsia="黑体"/>
          <w:sz w:val="28"/>
        </w:rPr>
      </w:pPr>
      <w:bookmarkStart w:id="23" w:name="_bookmark8"/>
      <w:bookmarkEnd w:id="23"/>
      <w:bookmarkStart w:id="24" w:name="5 健 康 舒 适"/>
      <w:bookmarkEnd w:id="24"/>
      <w:r>
        <w:rPr>
          <w:rFonts w:ascii="Times New Roman" w:eastAsia="Times New Roman"/>
          <w:b/>
          <w:sz w:val="28"/>
        </w:rPr>
        <w:t xml:space="preserve">5 </w:t>
      </w:r>
      <w:r>
        <w:rPr>
          <w:rFonts w:hint="eastAsia" w:ascii="黑体" w:eastAsia="黑体"/>
          <w:sz w:val="28"/>
        </w:rPr>
        <w:t>健 康 舒 适</w:t>
      </w:r>
    </w:p>
    <w:p>
      <w:pPr>
        <w:spacing w:before="189"/>
        <w:ind w:left="3669" w:right="0" w:firstLine="0"/>
        <w:jc w:val="left"/>
        <w:rPr>
          <w:rFonts w:hint="eastAsia" w:ascii="黑体" w:eastAsia="黑体"/>
          <w:sz w:val="21"/>
        </w:rPr>
      </w:pPr>
      <w:bookmarkStart w:id="25" w:name="5.1 控 制 项"/>
      <w:bookmarkEnd w:id="25"/>
      <w:bookmarkStart w:id="26" w:name="_bookmark9"/>
      <w:bookmarkEnd w:id="26"/>
      <w:r>
        <w:rPr>
          <w:rFonts w:ascii="Times New Roman" w:eastAsia="Times New Roman"/>
          <w:b/>
          <w:sz w:val="21"/>
        </w:rPr>
        <w:t xml:space="preserve">5.1 </w:t>
      </w:r>
      <w:r>
        <w:rPr>
          <w:rFonts w:hint="eastAsia" w:ascii="黑体" w:eastAsia="黑体"/>
          <w:sz w:val="21"/>
        </w:rPr>
        <w:t>控 制 项</w:t>
      </w:r>
    </w:p>
    <w:p>
      <w:pPr>
        <w:pStyle w:val="3"/>
        <w:spacing w:before="8"/>
        <w:rPr>
          <w:rFonts w:ascii="黑体"/>
          <w:sz w:val="25"/>
        </w:rPr>
      </w:pPr>
    </w:p>
    <w:p>
      <w:pPr>
        <w:pStyle w:val="9"/>
        <w:numPr>
          <w:ilvl w:val="2"/>
          <w:numId w:val="14"/>
        </w:numPr>
        <w:tabs>
          <w:tab w:val="left" w:pos="859"/>
          <w:tab w:val="left" w:pos="860"/>
        </w:tabs>
        <w:spacing w:before="0" w:after="0" w:line="446" w:lineRule="auto"/>
        <w:ind w:left="120" w:right="106" w:firstLine="0"/>
        <w:jc w:val="left"/>
        <w:rPr>
          <w:sz w:val="21"/>
        </w:rPr>
      </w:pPr>
      <w:r>
        <w:rPr>
          <w:spacing w:val="-3"/>
          <w:sz w:val="21"/>
        </w:rPr>
        <w:t>室内空气中的氨、甲醛、苯、总挥发性有机物、氡等污染物浓度应符合现行国家标</w:t>
      </w:r>
      <w:r>
        <w:rPr>
          <w:spacing w:val="-7"/>
          <w:sz w:val="21"/>
        </w:rPr>
        <w:t>准《室内空气质量标准》</w:t>
      </w:r>
      <w:r>
        <w:rPr>
          <w:rFonts w:ascii="Times New Roman" w:eastAsia="Times New Roman"/>
          <w:sz w:val="21"/>
        </w:rPr>
        <w:t>GB/T</w:t>
      </w:r>
      <w:r>
        <w:rPr>
          <w:rFonts w:ascii="Times New Roman" w:eastAsia="Times New Roman"/>
          <w:spacing w:val="12"/>
          <w:sz w:val="21"/>
        </w:rPr>
        <w:t xml:space="preserve"> </w:t>
      </w:r>
      <w:r>
        <w:rPr>
          <w:rFonts w:ascii="Times New Roman" w:eastAsia="Times New Roman"/>
          <w:sz w:val="21"/>
        </w:rPr>
        <w:t>18883</w:t>
      </w:r>
      <w:r>
        <w:rPr>
          <w:rFonts w:ascii="Times New Roman" w:eastAsia="Times New Roman"/>
          <w:spacing w:val="17"/>
          <w:sz w:val="21"/>
        </w:rPr>
        <w:t xml:space="preserve"> </w:t>
      </w:r>
      <w:r>
        <w:rPr>
          <w:spacing w:val="-5"/>
          <w:sz w:val="21"/>
        </w:rPr>
        <w:t xml:space="preserve">的有关规定。建筑室内和建筑主出入口处应禁止吸烟， </w:t>
      </w:r>
      <w:r>
        <w:rPr>
          <w:spacing w:val="-4"/>
          <w:sz w:val="21"/>
        </w:rPr>
        <w:t>并应在醒目位置设置禁烟标志。</w:t>
      </w:r>
    </w:p>
    <w:p>
      <w:pPr>
        <w:pStyle w:val="3"/>
        <w:spacing w:line="268" w:lineRule="exact"/>
        <w:ind w:left="540"/>
      </w:pPr>
      <w:r>
        <w:t>审查说明主要内容：</w:t>
      </w:r>
    </w:p>
    <w:p>
      <w:pPr>
        <w:pStyle w:val="3"/>
        <w:spacing w:before="2"/>
        <w:rPr>
          <w:sz w:val="18"/>
        </w:rPr>
      </w:pPr>
    </w:p>
    <w:p>
      <w:pPr>
        <w:pStyle w:val="9"/>
        <w:numPr>
          <w:ilvl w:val="3"/>
          <w:numId w:val="14"/>
        </w:numPr>
        <w:tabs>
          <w:tab w:val="left" w:pos="859"/>
          <w:tab w:val="left" w:pos="860"/>
        </w:tabs>
        <w:spacing w:before="0" w:after="0" w:line="240" w:lineRule="auto"/>
        <w:ind w:left="859" w:right="0" w:hanging="316"/>
        <w:jc w:val="left"/>
        <w:rPr>
          <w:sz w:val="21"/>
        </w:rPr>
      </w:pPr>
      <w:r>
        <w:rPr>
          <w:spacing w:val="-3"/>
          <w:sz w:val="21"/>
        </w:rPr>
        <w:t>对于非全装修建筑项目，本条不参评。</w:t>
      </w:r>
    </w:p>
    <w:p>
      <w:pPr>
        <w:pStyle w:val="3"/>
        <w:rPr>
          <w:sz w:val="18"/>
        </w:rPr>
      </w:pPr>
    </w:p>
    <w:p>
      <w:pPr>
        <w:pStyle w:val="9"/>
        <w:numPr>
          <w:ilvl w:val="3"/>
          <w:numId w:val="14"/>
        </w:numPr>
        <w:tabs>
          <w:tab w:val="left" w:pos="860"/>
        </w:tabs>
        <w:spacing w:before="0" w:after="0" w:line="446" w:lineRule="auto"/>
        <w:ind w:left="120" w:right="212" w:firstLine="423"/>
        <w:jc w:val="both"/>
        <w:rPr>
          <w:sz w:val="21"/>
        </w:rPr>
      </w:pPr>
      <w:r>
        <w:rPr>
          <w:spacing w:val="-3"/>
          <w:sz w:val="21"/>
        </w:rPr>
        <w:t xml:space="preserve">对于全装修建筑项目，以各种装修材料、家具制品主要污染物的释放特征为基础， </w:t>
      </w:r>
      <w:r>
        <w:rPr>
          <w:spacing w:val="-9"/>
          <w:sz w:val="21"/>
        </w:rPr>
        <w:t>以总量控制为原则，可仅对室内空气中的甲醛、苯、总挥发性有机物进行浓度评估。装饰装</w:t>
      </w:r>
      <w:r>
        <w:rPr>
          <w:spacing w:val="-11"/>
          <w:sz w:val="21"/>
        </w:rPr>
        <w:t>修施工图设计、说明文件中应体现装修材料种类、用量、禁止吸烟措施等内容，同时提供预</w:t>
      </w:r>
      <w:r>
        <w:rPr>
          <w:spacing w:val="-6"/>
          <w:sz w:val="21"/>
        </w:rPr>
        <w:t>评估分析报告。</w:t>
      </w:r>
    </w:p>
    <w:p>
      <w:pPr>
        <w:pStyle w:val="3"/>
        <w:spacing w:line="446" w:lineRule="auto"/>
        <w:ind w:left="120" w:right="212" w:firstLine="420"/>
        <w:jc w:val="both"/>
      </w:pPr>
      <w:r>
        <w:rPr>
          <w:spacing w:val="-7"/>
        </w:rPr>
        <w:t>建材污染物释放特征及评估计算方法可参考现行行业标准《住宅建筑室内空气污染控制</w:t>
      </w:r>
      <w:r>
        <w:rPr>
          <w:spacing w:val="-5"/>
        </w:rPr>
        <w:t>技术标准》</w:t>
      </w:r>
      <w:r>
        <w:rPr>
          <w:rFonts w:ascii="Times New Roman" w:eastAsia="Times New Roman"/>
        </w:rPr>
        <w:t>JGJ/T 436</w:t>
      </w:r>
      <w:r>
        <w:rPr>
          <w:spacing w:val="-3"/>
        </w:rPr>
        <w:t>和《公共建筑室内空气质量控制设计标准》</w:t>
      </w:r>
      <w:r>
        <w:rPr>
          <w:rFonts w:ascii="Times New Roman" w:eastAsia="Times New Roman"/>
        </w:rPr>
        <w:t>JGJ/T 461</w:t>
      </w:r>
      <w:r>
        <w:rPr>
          <w:spacing w:val="-3"/>
        </w:rPr>
        <w:t>的相关规定。</w:t>
      </w:r>
    </w:p>
    <w:p>
      <w:pPr>
        <w:pStyle w:val="3"/>
        <w:spacing w:line="446" w:lineRule="auto"/>
        <w:ind w:left="120" w:right="214" w:firstLine="419"/>
        <w:jc w:val="both"/>
      </w:pPr>
      <w:r>
        <w:rPr>
          <w:spacing w:val="-10"/>
        </w:rPr>
        <w:t>本条的审查方法为：审查相关设计文件、预评估分析报告。设计说明中应明确污染物浓</w:t>
      </w:r>
      <w:r>
        <w:rPr>
          <w:spacing w:val="-3"/>
        </w:rPr>
        <w:t>度水平控制指标。</w:t>
      </w:r>
    </w:p>
    <w:p>
      <w:pPr>
        <w:pStyle w:val="9"/>
        <w:numPr>
          <w:ilvl w:val="2"/>
          <w:numId w:val="14"/>
        </w:numPr>
        <w:tabs>
          <w:tab w:val="left" w:pos="859"/>
          <w:tab w:val="left" w:pos="860"/>
        </w:tabs>
        <w:spacing w:before="0" w:after="0" w:line="446" w:lineRule="auto"/>
        <w:ind w:left="120" w:right="212" w:firstLine="0"/>
        <w:jc w:val="left"/>
        <w:rPr>
          <w:sz w:val="21"/>
        </w:rPr>
      </w:pPr>
      <w:r>
        <w:rPr>
          <w:spacing w:val="-3"/>
          <w:sz w:val="21"/>
        </w:rPr>
        <w:t>应采取措施避免厨房、餐厅、打印复印室、卫生间、地下车库等区域的空气和污染物串通到其他空间；应防止厨房、卫生间的排气倒灌。</w:t>
      </w:r>
    </w:p>
    <w:p>
      <w:pPr>
        <w:pStyle w:val="3"/>
        <w:spacing w:line="267" w:lineRule="exact"/>
        <w:ind w:left="540"/>
      </w:pPr>
      <w:r>
        <w:t>审查说明主要内容：</w:t>
      </w:r>
    </w:p>
    <w:p>
      <w:pPr>
        <w:pStyle w:val="3"/>
        <w:spacing w:before="12"/>
        <w:rPr>
          <w:sz w:val="17"/>
        </w:rPr>
      </w:pPr>
    </w:p>
    <w:p>
      <w:pPr>
        <w:pStyle w:val="9"/>
        <w:numPr>
          <w:ilvl w:val="0"/>
          <w:numId w:val="15"/>
        </w:numPr>
        <w:tabs>
          <w:tab w:val="left" w:pos="861"/>
        </w:tabs>
        <w:spacing w:before="0" w:after="0" w:line="446" w:lineRule="auto"/>
        <w:ind w:left="121" w:right="212" w:firstLine="422"/>
        <w:jc w:val="both"/>
        <w:rPr>
          <w:sz w:val="21"/>
        </w:rPr>
      </w:pPr>
      <w:r>
        <w:rPr>
          <w:spacing w:val="-3"/>
          <w:sz w:val="21"/>
        </w:rPr>
        <w:t>建筑设计说明及施工图设计中应明确进、排气道的设置位置、断面、形状、尺寸、</w:t>
      </w:r>
      <w:r>
        <w:rPr>
          <w:spacing w:val="-10"/>
          <w:sz w:val="21"/>
        </w:rPr>
        <w:t>内壁的相关设计及要求，应明确是否设置防倒灌的设施设备。明确地下车库与上部建筑通道</w:t>
      </w:r>
      <w:r>
        <w:rPr>
          <w:spacing w:val="-5"/>
          <w:sz w:val="21"/>
        </w:rPr>
        <w:t>门的气密性设计满足要求，并设置闭门器。</w:t>
      </w:r>
    </w:p>
    <w:p>
      <w:pPr>
        <w:pStyle w:val="9"/>
        <w:numPr>
          <w:ilvl w:val="0"/>
          <w:numId w:val="15"/>
        </w:numPr>
        <w:tabs>
          <w:tab w:val="left" w:pos="861"/>
        </w:tabs>
        <w:spacing w:before="0" w:after="0" w:line="446" w:lineRule="auto"/>
        <w:ind w:left="121" w:right="212" w:firstLine="422"/>
        <w:jc w:val="both"/>
        <w:rPr>
          <w:sz w:val="21"/>
        </w:rPr>
      </w:pPr>
      <w:r>
        <w:rPr>
          <w:spacing w:val="-3"/>
          <w:sz w:val="21"/>
        </w:rPr>
        <w:t>暖通设计说明中应明确厨房、餐厅、打印复印室、卫生间、地下车库等区域的通风设计换气次数，应保证上述区域为负压。</w:t>
      </w:r>
    </w:p>
    <w:p>
      <w:pPr>
        <w:pStyle w:val="9"/>
        <w:numPr>
          <w:ilvl w:val="0"/>
          <w:numId w:val="15"/>
        </w:numPr>
        <w:tabs>
          <w:tab w:val="left" w:pos="861"/>
        </w:tabs>
        <w:spacing w:before="0" w:after="0" w:line="446" w:lineRule="auto"/>
        <w:ind w:left="121" w:right="212" w:firstLine="422"/>
        <w:jc w:val="both"/>
        <w:rPr>
          <w:sz w:val="21"/>
        </w:rPr>
      </w:pPr>
      <w:r>
        <w:rPr>
          <w:spacing w:val="-3"/>
          <w:sz w:val="21"/>
        </w:rPr>
        <w:t>暖通平面图中上述区域通风系统设置应与设计说明一致，卫生间、餐厅等避免气味</w:t>
      </w:r>
      <w:r>
        <w:rPr>
          <w:spacing w:val="-10"/>
          <w:sz w:val="21"/>
        </w:rPr>
        <w:t>反灌进入主要房间，取风口与排风口位置应避免短路，排风口位置应避免污染空气串通到其</w:t>
      </w:r>
      <w:r>
        <w:rPr>
          <w:spacing w:val="-5"/>
          <w:sz w:val="21"/>
        </w:rPr>
        <w:t>他空间或室外人员活动场所。</w:t>
      </w:r>
    </w:p>
    <w:p>
      <w:pPr>
        <w:pStyle w:val="3"/>
        <w:spacing w:line="268" w:lineRule="exact"/>
        <w:ind w:left="541"/>
      </w:pPr>
      <w:r>
        <w:t>本条的审查方法为：审查相关设计文件。</w:t>
      </w:r>
    </w:p>
    <w:p>
      <w:pPr>
        <w:pStyle w:val="3"/>
        <w:spacing w:before="11"/>
        <w:rPr>
          <w:sz w:val="17"/>
        </w:rPr>
      </w:pPr>
    </w:p>
    <w:p>
      <w:pPr>
        <w:pStyle w:val="9"/>
        <w:numPr>
          <w:ilvl w:val="2"/>
          <w:numId w:val="14"/>
        </w:numPr>
        <w:tabs>
          <w:tab w:val="left" w:pos="857"/>
          <w:tab w:val="left" w:pos="858"/>
        </w:tabs>
        <w:spacing w:before="0" w:after="0" w:line="240" w:lineRule="auto"/>
        <w:ind w:left="857" w:right="0" w:hanging="736"/>
        <w:jc w:val="left"/>
        <w:rPr>
          <w:sz w:val="21"/>
        </w:rPr>
      </w:pPr>
      <w:r>
        <w:rPr>
          <w:spacing w:val="-3"/>
          <w:sz w:val="21"/>
        </w:rPr>
        <w:t>给水排水系统的设置应符合下列规定:</w:t>
      </w:r>
    </w:p>
    <w:p>
      <w:pPr>
        <w:spacing w:after="0" w:line="240" w:lineRule="auto"/>
        <w:jc w:val="left"/>
        <w:rPr>
          <w:sz w:val="21"/>
        </w:rPr>
        <w:sectPr>
          <w:pgSz w:w="11910" w:h="16850"/>
          <w:pgMar w:top="1380" w:right="1580" w:bottom="1400" w:left="1680" w:header="0" w:footer="1204" w:gutter="0"/>
        </w:sectPr>
      </w:pPr>
    </w:p>
    <w:p>
      <w:pPr>
        <w:pStyle w:val="9"/>
        <w:numPr>
          <w:ilvl w:val="0"/>
          <w:numId w:val="16"/>
        </w:numPr>
        <w:tabs>
          <w:tab w:val="left" w:pos="859"/>
          <w:tab w:val="left" w:pos="860"/>
        </w:tabs>
        <w:spacing w:before="50" w:after="0" w:line="240" w:lineRule="auto"/>
        <w:ind w:left="859" w:right="0" w:hanging="317"/>
        <w:jc w:val="left"/>
        <w:rPr>
          <w:sz w:val="21"/>
        </w:rPr>
      </w:pPr>
      <w:r>
        <w:rPr>
          <w:spacing w:val="-3"/>
          <w:sz w:val="21"/>
        </w:rPr>
        <w:t>生活饮用水水质应满足现行国家标准《生活饮用水卫生标准》</w:t>
      </w:r>
      <w:r>
        <w:rPr>
          <w:rFonts w:ascii="Times New Roman" w:eastAsia="Times New Roman"/>
          <w:sz w:val="21"/>
        </w:rPr>
        <w:t>GB</w:t>
      </w:r>
      <w:r>
        <w:rPr>
          <w:rFonts w:ascii="Times New Roman" w:eastAsia="Times New Roman"/>
          <w:spacing w:val="1"/>
          <w:sz w:val="21"/>
        </w:rPr>
        <w:t xml:space="preserve"> </w:t>
      </w:r>
      <w:r>
        <w:rPr>
          <w:rFonts w:ascii="Times New Roman" w:eastAsia="Times New Roman"/>
          <w:sz w:val="21"/>
        </w:rPr>
        <w:t>5749</w:t>
      </w:r>
      <w:r>
        <w:rPr>
          <w:rFonts w:ascii="Times New Roman" w:eastAsia="Times New Roman"/>
          <w:spacing w:val="4"/>
          <w:sz w:val="21"/>
        </w:rPr>
        <w:t xml:space="preserve"> </w:t>
      </w:r>
      <w:r>
        <w:rPr>
          <w:spacing w:val="-2"/>
          <w:sz w:val="21"/>
        </w:rPr>
        <w:t>的要求。</w:t>
      </w:r>
    </w:p>
    <w:p>
      <w:pPr>
        <w:pStyle w:val="3"/>
        <w:spacing w:before="12"/>
        <w:rPr>
          <w:sz w:val="17"/>
        </w:rPr>
      </w:pPr>
    </w:p>
    <w:p>
      <w:pPr>
        <w:pStyle w:val="9"/>
        <w:numPr>
          <w:ilvl w:val="0"/>
          <w:numId w:val="16"/>
        </w:numPr>
        <w:tabs>
          <w:tab w:val="left" w:pos="859"/>
          <w:tab w:val="left" w:pos="860"/>
        </w:tabs>
        <w:spacing w:before="0" w:after="0" w:line="240" w:lineRule="auto"/>
        <w:ind w:left="859" w:right="0" w:hanging="317"/>
        <w:jc w:val="left"/>
        <w:rPr>
          <w:sz w:val="21"/>
        </w:rPr>
      </w:pPr>
      <w:r>
        <w:rPr>
          <w:spacing w:val="-5"/>
          <w:sz w:val="21"/>
        </w:rPr>
        <w:t xml:space="preserve">应使用构造内自带水封的便器,且其水封深度不应小于 </w:t>
      </w:r>
      <w:r>
        <w:rPr>
          <w:rFonts w:ascii="Times New Roman" w:eastAsia="Times New Roman"/>
          <w:spacing w:val="-3"/>
          <w:sz w:val="21"/>
        </w:rPr>
        <w:t>50mm</w:t>
      </w:r>
      <w:r>
        <w:rPr>
          <w:sz w:val="21"/>
        </w:rPr>
        <w:t>。</w:t>
      </w:r>
    </w:p>
    <w:p>
      <w:pPr>
        <w:pStyle w:val="3"/>
        <w:spacing w:before="2"/>
        <w:rPr>
          <w:sz w:val="18"/>
        </w:rPr>
      </w:pPr>
    </w:p>
    <w:p>
      <w:pPr>
        <w:pStyle w:val="9"/>
        <w:numPr>
          <w:ilvl w:val="0"/>
          <w:numId w:val="16"/>
        </w:numPr>
        <w:tabs>
          <w:tab w:val="left" w:pos="859"/>
          <w:tab w:val="left" w:pos="860"/>
        </w:tabs>
        <w:spacing w:before="0" w:after="0" w:line="446" w:lineRule="auto"/>
        <w:ind w:left="540" w:right="2531" w:firstLine="2"/>
        <w:jc w:val="left"/>
        <w:rPr>
          <w:sz w:val="21"/>
        </w:rPr>
      </w:pPr>
      <w:r>
        <w:rPr>
          <w:spacing w:val="-4"/>
          <w:sz w:val="21"/>
        </w:rPr>
        <w:t>非传统水源管道和设备应设置明确、清晰的永久性标识。</w:t>
      </w:r>
      <w:r>
        <w:rPr>
          <w:spacing w:val="-3"/>
          <w:sz w:val="21"/>
        </w:rPr>
        <w:t>审查说明主要内容：</w:t>
      </w:r>
    </w:p>
    <w:p>
      <w:pPr>
        <w:pStyle w:val="9"/>
        <w:numPr>
          <w:ilvl w:val="0"/>
          <w:numId w:val="17"/>
        </w:numPr>
        <w:tabs>
          <w:tab w:val="left" w:pos="859"/>
          <w:tab w:val="left" w:pos="860"/>
        </w:tabs>
        <w:spacing w:before="0" w:after="0" w:line="446" w:lineRule="auto"/>
        <w:ind w:left="120" w:right="212" w:firstLine="422"/>
        <w:jc w:val="left"/>
        <w:rPr>
          <w:sz w:val="21"/>
        </w:rPr>
      </w:pPr>
      <w:r>
        <w:rPr>
          <w:spacing w:val="-5"/>
          <w:sz w:val="21"/>
        </w:rPr>
        <w:t xml:space="preserve">若建筑未设置储水设施本条第 </w:t>
      </w:r>
      <w:r>
        <w:rPr>
          <w:rFonts w:ascii="Times New Roman" w:eastAsia="Times New Roman"/>
          <w:sz w:val="21"/>
        </w:rPr>
        <w:t>1</w:t>
      </w:r>
      <w:r>
        <w:rPr>
          <w:rFonts w:ascii="Times New Roman" w:eastAsia="Times New Roman"/>
          <w:spacing w:val="20"/>
          <w:sz w:val="21"/>
        </w:rPr>
        <w:t xml:space="preserve"> </w:t>
      </w:r>
      <w:r>
        <w:rPr>
          <w:spacing w:val="-3"/>
          <w:sz w:val="21"/>
        </w:rPr>
        <w:t>款直接通过。若建筑设置储水设施，写明生活饮用水水质应满足现行国家标准《生活饮用水卫生标准》</w:t>
      </w:r>
      <w:r>
        <w:rPr>
          <w:rFonts w:ascii="Times New Roman" w:eastAsia="Times New Roman"/>
          <w:sz w:val="21"/>
        </w:rPr>
        <w:t>GB</w:t>
      </w:r>
      <w:r>
        <w:rPr>
          <w:rFonts w:ascii="Times New Roman" w:eastAsia="Times New Roman"/>
          <w:spacing w:val="1"/>
          <w:sz w:val="21"/>
        </w:rPr>
        <w:t xml:space="preserve"> </w:t>
      </w:r>
      <w:r>
        <w:rPr>
          <w:rFonts w:ascii="Times New Roman" w:eastAsia="Times New Roman"/>
          <w:sz w:val="21"/>
        </w:rPr>
        <w:t>5749</w:t>
      </w:r>
      <w:r>
        <w:rPr>
          <w:rFonts w:ascii="Times New Roman" w:eastAsia="Times New Roman"/>
          <w:spacing w:val="-2"/>
          <w:sz w:val="21"/>
        </w:rPr>
        <w:t xml:space="preserve"> </w:t>
      </w:r>
      <w:r>
        <w:rPr>
          <w:spacing w:val="-2"/>
          <w:sz w:val="21"/>
        </w:rPr>
        <w:t>的要求。</w:t>
      </w:r>
    </w:p>
    <w:p>
      <w:pPr>
        <w:pStyle w:val="9"/>
        <w:numPr>
          <w:ilvl w:val="0"/>
          <w:numId w:val="17"/>
        </w:numPr>
        <w:tabs>
          <w:tab w:val="left" w:pos="859"/>
          <w:tab w:val="left" w:pos="860"/>
        </w:tabs>
        <w:spacing w:before="0" w:after="0" w:line="240" w:lineRule="auto"/>
        <w:ind w:left="859" w:right="0" w:hanging="317"/>
        <w:jc w:val="left"/>
        <w:rPr>
          <w:sz w:val="21"/>
        </w:rPr>
      </w:pPr>
      <w:r>
        <w:rPr>
          <w:spacing w:val="-5"/>
          <w:sz w:val="21"/>
        </w:rPr>
        <w:t xml:space="preserve">写明有无使用构造内自带水封的便器,且其水封深度不应小于 </w:t>
      </w:r>
      <w:r>
        <w:rPr>
          <w:rFonts w:ascii="Times New Roman" w:eastAsia="Times New Roman"/>
          <w:sz w:val="21"/>
        </w:rPr>
        <w:t>50mm</w:t>
      </w:r>
      <w:r>
        <w:rPr>
          <w:sz w:val="21"/>
        </w:rPr>
        <w:t>。</w:t>
      </w:r>
    </w:p>
    <w:p>
      <w:pPr>
        <w:pStyle w:val="3"/>
        <w:spacing w:before="10"/>
        <w:rPr>
          <w:sz w:val="17"/>
        </w:rPr>
      </w:pPr>
    </w:p>
    <w:p>
      <w:pPr>
        <w:pStyle w:val="9"/>
        <w:numPr>
          <w:ilvl w:val="0"/>
          <w:numId w:val="17"/>
        </w:numPr>
        <w:tabs>
          <w:tab w:val="left" w:pos="859"/>
          <w:tab w:val="left" w:pos="860"/>
        </w:tabs>
        <w:spacing w:before="0" w:after="0" w:line="446" w:lineRule="auto"/>
        <w:ind w:left="540" w:right="1900" w:firstLine="2"/>
        <w:jc w:val="left"/>
        <w:rPr>
          <w:sz w:val="21"/>
        </w:rPr>
      </w:pPr>
      <w:r>
        <w:rPr>
          <w:spacing w:val="-4"/>
          <w:sz w:val="21"/>
        </w:rPr>
        <w:t>写明非传统水源管道和设备如何设置明确、清晰的永久性标识。</w:t>
      </w:r>
      <w:r>
        <w:rPr>
          <w:spacing w:val="-3"/>
          <w:sz w:val="21"/>
        </w:rPr>
        <w:t>本条的审查方法：审核相关设计文件，产品性能参数。</w:t>
      </w:r>
    </w:p>
    <w:p>
      <w:pPr>
        <w:pStyle w:val="9"/>
        <w:numPr>
          <w:ilvl w:val="2"/>
          <w:numId w:val="14"/>
        </w:numPr>
        <w:tabs>
          <w:tab w:val="left" w:pos="856"/>
          <w:tab w:val="left" w:pos="857"/>
        </w:tabs>
        <w:spacing w:before="0" w:after="0" w:line="240" w:lineRule="auto"/>
        <w:ind w:left="856" w:right="0" w:hanging="736"/>
        <w:jc w:val="left"/>
        <w:rPr>
          <w:sz w:val="21"/>
        </w:rPr>
      </w:pPr>
      <w:r>
        <w:rPr>
          <w:spacing w:val="-3"/>
          <w:sz w:val="21"/>
        </w:rPr>
        <w:t>主要功能房间的室内噪声级和隔声性能应符合下列规定：</w:t>
      </w:r>
    </w:p>
    <w:p>
      <w:pPr>
        <w:pStyle w:val="3"/>
        <w:spacing w:before="12"/>
        <w:rPr>
          <w:sz w:val="17"/>
        </w:rPr>
      </w:pPr>
    </w:p>
    <w:p>
      <w:pPr>
        <w:pStyle w:val="9"/>
        <w:numPr>
          <w:ilvl w:val="0"/>
          <w:numId w:val="18"/>
        </w:numPr>
        <w:tabs>
          <w:tab w:val="left" w:pos="859"/>
          <w:tab w:val="left" w:pos="860"/>
        </w:tabs>
        <w:spacing w:before="0" w:after="0" w:line="240" w:lineRule="auto"/>
        <w:ind w:left="859" w:right="0" w:hanging="317"/>
        <w:jc w:val="left"/>
        <w:rPr>
          <w:sz w:val="21"/>
        </w:rPr>
      </w:pPr>
      <w:r>
        <w:rPr>
          <w:spacing w:val="-11"/>
          <w:sz w:val="21"/>
        </w:rPr>
        <w:t>室内噪声级应满足现行国家标准《民用建筑隔声设计规范》</w:t>
      </w:r>
      <w:r>
        <w:rPr>
          <w:rFonts w:ascii="Times New Roman" w:eastAsia="Times New Roman"/>
          <w:sz w:val="21"/>
        </w:rPr>
        <w:t>GB</w:t>
      </w:r>
      <w:r>
        <w:rPr>
          <w:rFonts w:ascii="Times New Roman" w:eastAsia="Times New Roman"/>
          <w:spacing w:val="33"/>
          <w:sz w:val="21"/>
        </w:rPr>
        <w:t xml:space="preserve"> </w:t>
      </w:r>
      <w:r>
        <w:rPr>
          <w:rFonts w:ascii="Times New Roman" w:eastAsia="Times New Roman"/>
          <w:sz w:val="21"/>
        </w:rPr>
        <w:t>50118</w:t>
      </w:r>
      <w:r>
        <w:rPr>
          <w:spacing w:val="-3"/>
          <w:sz w:val="21"/>
        </w:rPr>
        <w:t>中的低限要求；</w:t>
      </w:r>
    </w:p>
    <w:p>
      <w:pPr>
        <w:pStyle w:val="3"/>
        <w:spacing w:before="2"/>
        <w:rPr>
          <w:sz w:val="18"/>
        </w:rPr>
      </w:pPr>
    </w:p>
    <w:p>
      <w:pPr>
        <w:pStyle w:val="9"/>
        <w:numPr>
          <w:ilvl w:val="0"/>
          <w:numId w:val="18"/>
        </w:numPr>
        <w:tabs>
          <w:tab w:val="left" w:pos="858"/>
          <w:tab w:val="left" w:pos="859"/>
        </w:tabs>
        <w:spacing w:before="0" w:after="0" w:line="240" w:lineRule="auto"/>
        <w:ind w:left="858" w:right="0" w:hanging="316"/>
        <w:jc w:val="left"/>
        <w:rPr>
          <w:sz w:val="21"/>
        </w:rPr>
      </w:pPr>
      <w:r>
        <w:rPr>
          <w:spacing w:val="-11"/>
          <w:sz w:val="21"/>
        </w:rPr>
        <w:t>外墙、隔墙、楼板和门窗的隔声性能应满足现行国家标准《民用建筑隔声设计规范》</w:t>
      </w:r>
    </w:p>
    <w:p>
      <w:pPr>
        <w:pStyle w:val="3"/>
        <w:rPr>
          <w:sz w:val="18"/>
        </w:rPr>
      </w:pPr>
    </w:p>
    <w:p>
      <w:pPr>
        <w:pStyle w:val="3"/>
        <w:spacing w:line="446" w:lineRule="auto"/>
        <w:ind w:left="539" w:right="6189" w:hanging="421"/>
      </w:pPr>
      <w:r>
        <w:rPr>
          <w:rFonts w:ascii="Times New Roman" w:eastAsia="Times New Roman"/>
        </w:rPr>
        <w:t>GB 50118</w:t>
      </w:r>
      <w:r>
        <w:t>中的低限要求。审查说明主要内容：</w:t>
      </w:r>
    </w:p>
    <w:p>
      <w:pPr>
        <w:pStyle w:val="9"/>
        <w:numPr>
          <w:ilvl w:val="0"/>
          <w:numId w:val="19"/>
        </w:numPr>
        <w:tabs>
          <w:tab w:val="left" w:pos="859"/>
          <w:tab w:val="left" w:pos="860"/>
        </w:tabs>
        <w:spacing w:before="0" w:after="0" w:line="446" w:lineRule="auto"/>
        <w:ind w:left="120" w:right="213" w:firstLine="422"/>
        <w:jc w:val="left"/>
        <w:rPr>
          <w:sz w:val="21"/>
        </w:rPr>
      </w:pPr>
      <w:r>
        <w:rPr>
          <w:spacing w:val="-3"/>
          <w:sz w:val="21"/>
        </w:rPr>
        <w:t>建筑设计说明应明确主要功能房间的室内噪声级满足现行国家标准《民用建筑隔声设计规范》</w:t>
      </w:r>
      <w:r>
        <w:rPr>
          <w:rFonts w:ascii="Times New Roman" w:eastAsia="Times New Roman"/>
          <w:sz w:val="21"/>
        </w:rPr>
        <w:t>GB</w:t>
      </w:r>
      <w:r>
        <w:rPr>
          <w:rFonts w:ascii="Times New Roman" w:eastAsia="Times New Roman"/>
          <w:spacing w:val="3"/>
          <w:sz w:val="21"/>
        </w:rPr>
        <w:t xml:space="preserve"> </w:t>
      </w:r>
      <w:r>
        <w:rPr>
          <w:rFonts w:ascii="Times New Roman" w:eastAsia="Times New Roman"/>
          <w:spacing w:val="-3"/>
          <w:sz w:val="21"/>
        </w:rPr>
        <w:t>50118</w:t>
      </w:r>
      <w:r>
        <w:rPr>
          <w:rFonts w:ascii="Times New Roman" w:eastAsia="Times New Roman"/>
          <w:spacing w:val="7"/>
          <w:sz w:val="21"/>
        </w:rPr>
        <w:t xml:space="preserve"> </w:t>
      </w:r>
      <w:r>
        <w:rPr>
          <w:spacing w:val="-3"/>
          <w:sz w:val="21"/>
        </w:rPr>
        <w:t>中的低限，并提供有相关内容的环评报告或噪声分析报告。</w:t>
      </w:r>
    </w:p>
    <w:p>
      <w:pPr>
        <w:pStyle w:val="9"/>
        <w:numPr>
          <w:ilvl w:val="0"/>
          <w:numId w:val="19"/>
        </w:numPr>
        <w:tabs>
          <w:tab w:val="left" w:pos="860"/>
        </w:tabs>
        <w:spacing w:before="0" w:after="0" w:line="446" w:lineRule="auto"/>
        <w:ind w:left="120" w:right="213" w:firstLine="422"/>
        <w:jc w:val="both"/>
        <w:rPr>
          <w:sz w:val="21"/>
        </w:rPr>
      </w:pPr>
      <w:r>
        <w:rPr>
          <w:spacing w:val="-3"/>
          <w:sz w:val="21"/>
        </w:rPr>
        <w:t>建筑设计说明应明确主要功能房间的外墙、隔墙、楼板和门窗的隔声性能满足现行国家标准《民用建筑隔声设计规范》</w:t>
      </w:r>
      <w:r>
        <w:rPr>
          <w:rFonts w:ascii="Times New Roman" w:eastAsia="Times New Roman"/>
          <w:sz w:val="21"/>
        </w:rPr>
        <w:t>GB</w:t>
      </w:r>
      <w:r>
        <w:rPr>
          <w:rFonts w:ascii="Times New Roman" w:eastAsia="Times New Roman"/>
          <w:spacing w:val="44"/>
          <w:sz w:val="21"/>
        </w:rPr>
        <w:t xml:space="preserve"> </w:t>
      </w:r>
      <w:r>
        <w:rPr>
          <w:rFonts w:ascii="Times New Roman" w:eastAsia="Times New Roman"/>
          <w:spacing w:val="-3"/>
          <w:sz w:val="21"/>
        </w:rPr>
        <w:t>50118</w:t>
      </w:r>
      <w:r>
        <w:rPr>
          <w:spacing w:val="-3"/>
          <w:sz w:val="21"/>
        </w:rPr>
        <w:t>中的低限要求。并提供使用的部品、材料相</w:t>
      </w:r>
      <w:r>
        <w:rPr>
          <w:spacing w:val="-1"/>
          <w:sz w:val="21"/>
        </w:rPr>
        <w:t>应参数。</w:t>
      </w:r>
    </w:p>
    <w:p>
      <w:pPr>
        <w:pStyle w:val="9"/>
        <w:numPr>
          <w:ilvl w:val="0"/>
          <w:numId w:val="19"/>
        </w:numPr>
        <w:tabs>
          <w:tab w:val="left" w:pos="859"/>
          <w:tab w:val="left" w:pos="860"/>
        </w:tabs>
        <w:spacing w:before="0" w:after="0" w:line="446" w:lineRule="auto"/>
        <w:ind w:left="120" w:right="111" w:firstLine="422"/>
        <w:jc w:val="left"/>
        <w:rPr>
          <w:sz w:val="21"/>
        </w:rPr>
      </w:pPr>
      <w:r>
        <w:rPr>
          <w:spacing w:val="-3"/>
          <w:sz w:val="21"/>
        </w:rPr>
        <w:t>在设备表中应明确标注通风空调、供水设备、电梯等设备设施的噪声级。在设备专</w:t>
      </w:r>
      <w:r>
        <w:rPr>
          <w:spacing w:val="-7"/>
          <w:sz w:val="21"/>
        </w:rPr>
        <w:t>业设计说明中 明确主要功能房间的室内噪声级满足现行国家标准《民用建筑隔声设计规范》</w:t>
      </w:r>
      <w:r>
        <w:rPr>
          <w:rFonts w:ascii="Times New Roman" w:eastAsia="Times New Roman"/>
          <w:sz w:val="21"/>
        </w:rPr>
        <w:t>GB</w:t>
      </w:r>
      <w:r>
        <w:rPr>
          <w:rFonts w:ascii="Times New Roman" w:eastAsia="Times New Roman"/>
          <w:spacing w:val="26"/>
          <w:sz w:val="21"/>
        </w:rPr>
        <w:t xml:space="preserve"> </w:t>
      </w:r>
      <w:r>
        <w:rPr>
          <w:rFonts w:ascii="Times New Roman" w:eastAsia="Times New Roman"/>
          <w:spacing w:val="-3"/>
          <w:sz w:val="21"/>
        </w:rPr>
        <w:t>50118</w:t>
      </w:r>
      <w:r>
        <w:rPr>
          <w:spacing w:val="-1"/>
          <w:sz w:val="21"/>
        </w:rPr>
        <w:t>中的低限。对噪声级超标的房间，设计图中应有明确并达标的降噪、隔声构造措施。</w:t>
      </w:r>
    </w:p>
    <w:p>
      <w:pPr>
        <w:pStyle w:val="3"/>
        <w:spacing w:line="446" w:lineRule="auto"/>
        <w:ind w:left="120" w:right="216" w:firstLine="420"/>
      </w:pPr>
      <w:r>
        <w:rPr>
          <w:spacing w:val="-6"/>
        </w:rPr>
        <w:t>本条的审查方法为：审查相关设计文件</w:t>
      </w:r>
      <w:r>
        <w:t>（</w:t>
      </w:r>
      <w:r>
        <w:rPr>
          <w:spacing w:val="-7"/>
        </w:rPr>
        <w:t>设计说明、构造做法表、详图等</w:t>
      </w:r>
      <w:r>
        <w:rPr>
          <w:spacing w:val="-17"/>
        </w:rPr>
        <w:t>）</w:t>
      </w:r>
      <w:r>
        <w:rPr>
          <w:spacing w:val="-6"/>
        </w:rPr>
        <w:t>、环评报告</w:t>
      </w:r>
      <w:r>
        <w:rPr>
          <w:spacing w:val="-3"/>
        </w:rPr>
        <w:t>或噪声分析报告。</w:t>
      </w:r>
    </w:p>
    <w:p>
      <w:pPr>
        <w:pStyle w:val="9"/>
        <w:numPr>
          <w:ilvl w:val="2"/>
          <w:numId w:val="14"/>
        </w:numPr>
        <w:tabs>
          <w:tab w:val="left" w:pos="856"/>
          <w:tab w:val="left" w:pos="857"/>
        </w:tabs>
        <w:spacing w:before="0" w:after="0" w:line="267" w:lineRule="exact"/>
        <w:ind w:left="856" w:right="0" w:hanging="736"/>
        <w:jc w:val="left"/>
        <w:rPr>
          <w:sz w:val="21"/>
        </w:rPr>
      </w:pPr>
      <w:r>
        <w:rPr>
          <w:spacing w:val="-3"/>
          <w:sz w:val="21"/>
        </w:rPr>
        <w:t>建筑照明应符合下列规定：</w:t>
      </w:r>
    </w:p>
    <w:p>
      <w:pPr>
        <w:pStyle w:val="3"/>
        <w:spacing w:before="11"/>
        <w:rPr>
          <w:sz w:val="17"/>
        </w:rPr>
      </w:pPr>
    </w:p>
    <w:p>
      <w:pPr>
        <w:pStyle w:val="9"/>
        <w:numPr>
          <w:ilvl w:val="0"/>
          <w:numId w:val="20"/>
        </w:numPr>
        <w:tabs>
          <w:tab w:val="left" w:pos="859"/>
          <w:tab w:val="left" w:pos="860"/>
        </w:tabs>
        <w:spacing w:before="0" w:after="0" w:line="240" w:lineRule="auto"/>
        <w:ind w:left="859" w:right="0" w:hanging="317"/>
        <w:jc w:val="left"/>
        <w:rPr>
          <w:sz w:val="21"/>
        </w:rPr>
      </w:pPr>
      <w:r>
        <w:rPr>
          <w:spacing w:val="-3"/>
          <w:sz w:val="21"/>
        </w:rPr>
        <w:t>照明数量和质量应符合现行国家标准《建筑照明设计标准》</w:t>
      </w:r>
      <w:r>
        <w:rPr>
          <w:rFonts w:ascii="Times New Roman" w:eastAsia="Times New Roman"/>
          <w:sz w:val="21"/>
        </w:rPr>
        <w:t>GB</w:t>
      </w:r>
      <w:r>
        <w:rPr>
          <w:rFonts w:ascii="Times New Roman" w:eastAsia="Times New Roman"/>
          <w:spacing w:val="3"/>
          <w:sz w:val="21"/>
        </w:rPr>
        <w:t xml:space="preserve"> </w:t>
      </w:r>
      <w:r>
        <w:rPr>
          <w:rFonts w:ascii="Times New Roman" w:eastAsia="Times New Roman"/>
          <w:sz w:val="21"/>
        </w:rPr>
        <w:t xml:space="preserve">50034 </w:t>
      </w:r>
      <w:r>
        <w:rPr>
          <w:spacing w:val="-2"/>
          <w:sz w:val="21"/>
        </w:rPr>
        <w:t>的规定。</w:t>
      </w:r>
    </w:p>
    <w:p>
      <w:pPr>
        <w:spacing w:after="0" w:line="240" w:lineRule="auto"/>
        <w:jc w:val="left"/>
        <w:rPr>
          <w:sz w:val="21"/>
        </w:rPr>
        <w:sectPr>
          <w:pgSz w:w="11910" w:h="16850"/>
          <w:pgMar w:top="1580" w:right="1580" w:bottom="1180" w:left="1680" w:header="0" w:footer="997" w:gutter="0"/>
        </w:sectPr>
      </w:pPr>
    </w:p>
    <w:p>
      <w:pPr>
        <w:pStyle w:val="3"/>
        <w:spacing w:before="50"/>
        <w:ind w:left="540"/>
        <w:rPr>
          <w:rFonts w:ascii="Times New Roman" w:eastAsia="Times New Roman"/>
        </w:rPr>
      </w:pPr>
      <w:r>
        <w:t>审查说明主要内容：建筑照明数量和质量应符合现行国家《建筑照明设计标准》</w:t>
      </w:r>
      <w:r>
        <w:rPr>
          <w:rFonts w:ascii="Times New Roman" w:eastAsia="Times New Roman"/>
        </w:rPr>
        <w:t>GB</w:t>
      </w:r>
    </w:p>
    <w:p>
      <w:pPr>
        <w:pStyle w:val="3"/>
        <w:rPr>
          <w:rFonts w:ascii="Times New Roman"/>
          <w:sz w:val="20"/>
        </w:rPr>
      </w:pPr>
    </w:p>
    <w:p>
      <w:pPr>
        <w:pStyle w:val="3"/>
        <w:ind w:left="119"/>
      </w:pPr>
      <w:r>
        <w:rPr>
          <w:rFonts w:ascii="Times New Roman" w:eastAsia="Times New Roman"/>
        </w:rPr>
        <w:t xml:space="preserve">50034 </w:t>
      </w:r>
      <w:r>
        <w:t>的规定，并提供计算分析报告。</w:t>
      </w:r>
    </w:p>
    <w:p>
      <w:pPr>
        <w:pStyle w:val="3"/>
        <w:spacing w:before="2"/>
        <w:rPr>
          <w:sz w:val="18"/>
        </w:rPr>
      </w:pPr>
    </w:p>
    <w:p>
      <w:pPr>
        <w:pStyle w:val="3"/>
        <w:ind w:left="540"/>
      </w:pPr>
      <w:r>
        <w:t>本条的审查方法为：审查相关设计文件、计算分析报告。</w:t>
      </w:r>
    </w:p>
    <w:p>
      <w:pPr>
        <w:pStyle w:val="3"/>
        <w:spacing w:before="12"/>
        <w:rPr>
          <w:sz w:val="17"/>
        </w:rPr>
      </w:pPr>
    </w:p>
    <w:p>
      <w:pPr>
        <w:pStyle w:val="9"/>
        <w:numPr>
          <w:ilvl w:val="0"/>
          <w:numId w:val="20"/>
        </w:numPr>
        <w:tabs>
          <w:tab w:val="left" w:pos="859"/>
          <w:tab w:val="left" w:pos="860"/>
        </w:tabs>
        <w:spacing w:before="0" w:after="0" w:line="240" w:lineRule="auto"/>
        <w:ind w:left="859" w:right="0" w:hanging="317"/>
        <w:jc w:val="left"/>
        <w:rPr>
          <w:rFonts w:ascii="Times New Roman" w:eastAsia="Times New Roman"/>
          <w:sz w:val="21"/>
        </w:rPr>
      </w:pPr>
      <w:r>
        <w:rPr>
          <w:spacing w:val="-6"/>
          <w:sz w:val="21"/>
        </w:rPr>
        <w:t>人员长期停留的场所应采用符合现行国家标准《灯和灯系统的光生物安全性》</w:t>
      </w:r>
      <w:r>
        <w:rPr>
          <w:rFonts w:ascii="Times New Roman" w:eastAsia="Times New Roman"/>
          <w:sz w:val="21"/>
        </w:rPr>
        <w:t>GB/T</w:t>
      </w:r>
    </w:p>
    <w:p>
      <w:pPr>
        <w:pStyle w:val="3"/>
        <w:rPr>
          <w:rFonts w:ascii="Times New Roman"/>
          <w:sz w:val="20"/>
        </w:rPr>
      </w:pPr>
    </w:p>
    <w:p>
      <w:pPr>
        <w:pStyle w:val="3"/>
        <w:ind w:left="119"/>
      </w:pPr>
      <w:r>
        <w:rPr>
          <w:rFonts w:ascii="Times New Roman" w:eastAsia="Times New Roman"/>
        </w:rPr>
        <w:t xml:space="preserve">20145 </w:t>
      </w:r>
      <w:r>
        <w:t>规定的无危险类照明产品。</w:t>
      </w:r>
    </w:p>
    <w:p>
      <w:pPr>
        <w:pStyle w:val="3"/>
        <w:spacing w:before="2"/>
        <w:rPr>
          <w:sz w:val="18"/>
        </w:rPr>
      </w:pPr>
    </w:p>
    <w:p>
      <w:pPr>
        <w:pStyle w:val="3"/>
        <w:spacing w:line="446" w:lineRule="auto"/>
        <w:ind w:left="119" w:right="213" w:firstLine="420"/>
      </w:pPr>
      <w:r>
        <w:rPr>
          <w:spacing w:val="-12"/>
        </w:rPr>
        <w:t>审查说明主要内容：设计文件明确建筑内人员长期停留的场所选用的照明产品符合现行</w:t>
      </w:r>
      <w:r>
        <w:rPr>
          <w:spacing w:val="-6"/>
        </w:rPr>
        <w:t>国家标准《灯和灯系统的光生物安全性》</w:t>
      </w:r>
      <w:r>
        <w:rPr>
          <w:rFonts w:ascii="Times New Roman" w:eastAsia="Times New Roman"/>
        </w:rPr>
        <w:t xml:space="preserve">GB/T 20145 </w:t>
      </w:r>
      <w:r>
        <w:rPr>
          <w:spacing w:val="-3"/>
        </w:rPr>
        <w:t>无危险类的规定。</w:t>
      </w:r>
    </w:p>
    <w:p>
      <w:pPr>
        <w:pStyle w:val="3"/>
        <w:spacing w:line="267" w:lineRule="exact"/>
        <w:ind w:left="539"/>
      </w:pPr>
      <w:r>
        <w:t>本条的审查方法为：审查相关设计文件。</w:t>
      </w:r>
    </w:p>
    <w:p>
      <w:pPr>
        <w:pStyle w:val="3"/>
        <w:spacing w:before="2"/>
        <w:rPr>
          <w:sz w:val="18"/>
        </w:rPr>
      </w:pPr>
    </w:p>
    <w:p>
      <w:pPr>
        <w:pStyle w:val="9"/>
        <w:numPr>
          <w:ilvl w:val="0"/>
          <w:numId w:val="20"/>
        </w:numPr>
        <w:tabs>
          <w:tab w:val="left" w:pos="859"/>
          <w:tab w:val="left" w:pos="860"/>
        </w:tabs>
        <w:spacing w:before="0" w:after="0" w:line="446" w:lineRule="auto"/>
        <w:ind w:left="119" w:right="213" w:firstLine="423"/>
        <w:jc w:val="left"/>
        <w:rPr>
          <w:sz w:val="21"/>
        </w:rPr>
      </w:pPr>
      <w:r>
        <w:rPr>
          <w:spacing w:val="-6"/>
          <w:sz w:val="21"/>
        </w:rPr>
        <w:t xml:space="preserve">选用 </w:t>
      </w:r>
      <w:r>
        <w:rPr>
          <w:rFonts w:ascii="Times New Roman" w:eastAsia="Times New Roman"/>
          <w:sz w:val="21"/>
        </w:rPr>
        <w:t>LED</w:t>
      </w:r>
      <w:r>
        <w:rPr>
          <w:rFonts w:ascii="Times New Roman" w:eastAsia="Times New Roman"/>
          <w:spacing w:val="42"/>
          <w:sz w:val="21"/>
        </w:rPr>
        <w:t xml:space="preserve"> </w:t>
      </w:r>
      <w:r>
        <w:rPr>
          <w:spacing w:val="-3"/>
          <w:sz w:val="21"/>
        </w:rPr>
        <w:t>照明产品的光输出波形的波动深度应满足现行国家标准《</w:t>
      </w:r>
      <w:r>
        <w:rPr>
          <w:rFonts w:ascii="Times New Roman" w:eastAsia="Times New Roman"/>
          <w:spacing w:val="-3"/>
          <w:sz w:val="21"/>
        </w:rPr>
        <w:t>LED</w:t>
      </w:r>
      <w:r>
        <w:rPr>
          <w:rFonts w:ascii="Times New Roman" w:eastAsia="Times New Roman"/>
          <w:spacing w:val="39"/>
          <w:sz w:val="21"/>
        </w:rPr>
        <w:t xml:space="preserve"> </w:t>
      </w:r>
      <w:r>
        <w:rPr>
          <w:spacing w:val="-1"/>
          <w:sz w:val="21"/>
        </w:rPr>
        <w:t>室内照明</w:t>
      </w:r>
      <w:r>
        <w:rPr>
          <w:spacing w:val="-3"/>
          <w:sz w:val="21"/>
        </w:rPr>
        <w:t>应用技术要求》</w:t>
      </w:r>
      <w:r>
        <w:rPr>
          <w:rFonts w:ascii="Times New Roman" w:eastAsia="Times New Roman"/>
          <w:sz w:val="21"/>
        </w:rPr>
        <w:t>GB/T</w:t>
      </w:r>
      <w:r>
        <w:rPr>
          <w:rFonts w:ascii="Times New Roman" w:eastAsia="Times New Roman"/>
          <w:spacing w:val="-4"/>
          <w:sz w:val="21"/>
        </w:rPr>
        <w:t xml:space="preserve"> </w:t>
      </w:r>
      <w:r>
        <w:rPr>
          <w:rFonts w:ascii="Times New Roman" w:eastAsia="Times New Roman"/>
          <w:sz w:val="21"/>
        </w:rPr>
        <w:t xml:space="preserve">31831 </w:t>
      </w:r>
      <w:r>
        <w:rPr>
          <w:spacing w:val="-2"/>
          <w:sz w:val="21"/>
        </w:rPr>
        <w:t>的规定。</w:t>
      </w:r>
    </w:p>
    <w:p>
      <w:pPr>
        <w:pStyle w:val="3"/>
        <w:spacing w:line="446" w:lineRule="auto"/>
        <w:ind w:left="119" w:right="165" w:firstLine="419"/>
      </w:pPr>
      <w:r>
        <w:t xml:space="preserve">审查说明主要内容：设计文件明确选用的 </w:t>
      </w:r>
      <w:r>
        <w:rPr>
          <w:rFonts w:ascii="Times New Roman" w:eastAsia="Times New Roman"/>
        </w:rPr>
        <w:t xml:space="preserve">LED </w:t>
      </w:r>
      <w:r>
        <w:t>照明产品光输出波形的波动深度符合现行国家标准《</w:t>
      </w:r>
      <w:r>
        <w:rPr>
          <w:rFonts w:ascii="Times New Roman" w:eastAsia="Times New Roman"/>
        </w:rPr>
        <w:t xml:space="preserve">LED </w:t>
      </w:r>
      <w:r>
        <w:t>室内照明应用技术要求》</w:t>
      </w:r>
      <w:r>
        <w:rPr>
          <w:rFonts w:ascii="Times New Roman" w:eastAsia="Times New Roman"/>
        </w:rPr>
        <w:t xml:space="preserve">GB/T 31831 </w:t>
      </w:r>
      <w:r>
        <w:t>的规定。</w:t>
      </w:r>
    </w:p>
    <w:p>
      <w:pPr>
        <w:pStyle w:val="3"/>
        <w:ind w:left="539"/>
      </w:pPr>
      <w:r>
        <w:t>本条的审查方法为：审查相关设计文件。</w:t>
      </w:r>
    </w:p>
    <w:p>
      <w:pPr>
        <w:pStyle w:val="3"/>
        <w:spacing w:before="10"/>
        <w:rPr>
          <w:sz w:val="17"/>
        </w:rPr>
      </w:pPr>
    </w:p>
    <w:p>
      <w:pPr>
        <w:pStyle w:val="9"/>
        <w:numPr>
          <w:ilvl w:val="2"/>
          <w:numId w:val="14"/>
        </w:numPr>
        <w:tabs>
          <w:tab w:val="left" w:pos="856"/>
          <w:tab w:val="left" w:pos="857"/>
        </w:tabs>
        <w:spacing w:before="0" w:after="0" w:line="446" w:lineRule="auto"/>
        <w:ind w:left="119" w:right="109" w:firstLine="0"/>
        <w:jc w:val="left"/>
        <w:rPr>
          <w:sz w:val="21"/>
        </w:rPr>
      </w:pPr>
      <w:r>
        <w:rPr>
          <w:spacing w:val="-9"/>
          <w:sz w:val="21"/>
        </w:rPr>
        <w:t>应采取措施保障室内热环境。采用集中供暖空调系统的建筑，房间内的温度、湿度、</w:t>
      </w:r>
      <w:r>
        <w:rPr>
          <w:spacing w:val="-11"/>
          <w:sz w:val="21"/>
        </w:rPr>
        <w:t>新风量等设计参数应符合现行国家标准《民用建筑供暖通风与空气调节设计规范》</w:t>
      </w:r>
      <w:r>
        <w:rPr>
          <w:rFonts w:ascii="Times New Roman" w:eastAsia="Times New Roman"/>
          <w:sz w:val="21"/>
        </w:rPr>
        <w:t>GB</w:t>
      </w:r>
      <w:r>
        <w:rPr>
          <w:rFonts w:ascii="Times New Roman" w:eastAsia="Times New Roman"/>
          <w:spacing w:val="11"/>
          <w:sz w:val="21"/>
        </w:rPr>
        <w:t xml:space="preserve"> </w:t>
      </w:r>
      <w:r>
        <w:rPr>
          <w:rFonts w:ascii="Times New Roman" w:eastAsia="Times New Roman"/>
          <w:sz w:val="21"/>
        </w:rPr>
        <w:t xml:space="preserve">50736 </w:t>
      </w:r>
      <w:r>
        <w:rPr>
          <w:spacing w:val="-2"/>
          <w:sz w:val="21"/>
        </w:rPr>
        <w:t>的有关规定；</w:t>
      </w:r>
    </w:p>
    <w:p>
      <w:pPr>
        <w:pStyle w:val="3"/>
        <w:spacing w:line="268" w:lineRule="exact"/>
        <w:ind w:left="539"/>
      </w:pPr>
      <w:r>
        <w:t>审查说明主要内容：</w:t>
      </w:r>
    </w:p>
    <w:p>
      <w:pPr>
        <w:pStyle w:val="3"/>
        <w:spacing w:before="1"/>
        <w:rPr>
          <w:sz w:val="18"/>
        </w:rPr>
      </w:pPr>
    </w:p>
    <w:p>
      <w:pPr>
        <w:pStyle w:val="9"/>
        <w:numPr>
          <w:ilvl w:val="0"/>
          <w:numId w:val="21"/>
        </w:numPr>
        <w:tabs>
          <w:tab w:val="left" w:pos="859"/>
          <w:tab w:val="left" w:pos="860"/>
        </w:tabs>
        <w:spacing w:before="1" w:after="0" w:line="446" w:lineRule="auto"/>
        <w:ind w:left="119" w:right="215" w:firstLine="423"/>
        <w:jc w:val="left"/>
        <w:rPr>
          <w:sz w:val="21"/>
        </w:rPr>
      </w:pPr>
      <w:r>
        <w:rPr>
          <w:spacing w:val="-4"/>
          <w:sz w:val="21"/>
        </w:rPr>
        <w:t xml:space="preserve">设计说明应明确：集中供暖建筑室内供暖计算温度，并符合 </w:t>
      </w:r>
      <w:r>
        <w:rPr>
          <w:rFonts w:ascii="Times New Roman" w:eastAsia="Times New Roman"/>
          <w:sz w:val="21"/>
        </w:rPr>
        <w:t>GB</w:t>
      </w:r>
      <w:r>
        <w:rPr>
          <w:rFonts w:ascii="Times New Roman" w:eastAsia="Times New Roman"/>
          <w:spacing w:val="14"/>
          <w:sz w:val="21"/>
        </w:rPr>
        <w:t xml:space="preserve"> </w:t>
      </w:r>
      <w:r>
        <w:rPr>
          <w:rFonts w:ascii="Times New Roman" w:eastAsia="Times New Roman"/>
          <w:sz w:val="21"/>
        </w:rPr>
        <w:t>50736</w:t>
      </w:r>
      <w:r>
        <w:rPr>
          <w:rFonts w:ascii="Times New Roman" w:eastAsia="Times New Roman"/>
          <w:spacing w:val="24"/>
          <w:sz w:val="21"/>
        </w:rPr>
        <w:t xml:space="preserve"> </w:t>
      </w:r>
      <w:r>
        <w:rPr>
          <w:spacing w:val="-3"/>
          <w:sz w:val="21"/>
        </w:rPr>
        <w:t>的规定；集</w:t>
      </w:r>
      <w:r>
        <w:rPr>
          <w:spacing w:val="-5"/>
          <w:sz w:val="21"/>
        </w:rPr>
        <w:t xml:space="preserve">中空调建筑室内空调计算温度、湿度、新风量等，并符合 </w:t>
      </w:r>
      <w:r>
        <w:rPr>
          <w:rFonts w:ascii="Times New Roman" w:eastAsia="Times New Roman"/>
          <w:sz w:val="21"/>
        </w:rPr>
        <w:t>GB</w:t>
      </w:r>
      <w:r>
        <w:rPr>
          <w:rFonts w:ascii="Times New Roman" w:eastAsia="Times New Roman"/>
          <w:spacing w:val="2"/>
          <w:sz w:val="21"/>
        </w:rPr>
        <w:t xml:space="preserve"> </w:t>
      </w:r>
      <w:r>
        <w:rPr>
          <w:rFonts w:ascii="Times New Roman" w:eastAsia="Times New Roman"/>
          <w:sz w:val="21"/>
        </w:rPr>
        <w:t>50736</w:t>
      </w:r>
      <w:r>
        <w:rPr>
          <w:rFonts w:ascii="Times New Roman" w:eastAsia="Times New Roman"/>
          <w:spacing w:val="1"/>
          <w:sz w:val="21"/>
        </w:rPr>
        <w:t xml:space="preserve"> </w:t>
      </w:r>
      <w:r>
        <w:rPr>
          <w:spacing w:val="-2"/>
          <w:sz w:val="21"/>
        </w:rPr>
        <w:t>的规定。</w:t>
      </w:r>
    </w:p>
    <w:p>
      <w:pPr>
        <w:pStyle w:val="9"/>
        <w:numPr>
          <w:ilvl w:val="0"/>
          <w:numId w:val="21"/>
        </w:numPr>
        <w:tabs>
          <w:tab w:val="left" w:pos="859"/>
          <w:tab w:val="left" w:pos="860"/>
        </w:tabs>
        <w:spacing w:before="0" w:after="0" w:line="267" w:lineRule="exact"/>
        <w:ind w:left="859" w:right="0" w:hanging="317"/>
        <w:jc w:val="left"/>
        <w:rPr>
          <w:sz w:val="21"/>
        </w:rPr>
      </w:pPr>
      <w:r>
        <w:rPr>
          <w:spacing w:val="-3"/>
          <w:sz w:val="21"/>
        </w:rPr>
        <w:t>空气湿度调节、冬季新风加热有合理的设计方案。</w:t>
      </w:r>
    </w:p>
    <w:p>
      <w:pPr>
        <w:pStyle w:val="3"/>
        <w:spacing w:before="1"/>
        <w:rPr>
          <w:sz w:val="18"/>
        </w:rPr>
      </w:pPr>
    </w:p>
    <w:p>
      <w:pPr>
        <w:pStyle w:val="3"/>
        <w:spacing w:before="1"/>
        <w:ind w:left="539"/>
      </w:pPr>
      <w:r>
        <w:t>本条的审查方法为：审查设计文件（说明书、负荷计算书）。</w:t>
      </w:r>
    </w:p>
    <w:p>
      <w:pPr>
        <w:pStyle w:val="3"/>
        <w:spacing w:before="12"/>
        <w:rPr>
          <w:sz w:val="17"/>
        </w:rPr>
      </w:pPr>
    </w:p>
    <w:p>
      <w:pPr>
        <w:pStyle w:val="9"/>
        <w:numPr>
          <w:ilvl w:val="2"/>
          <w:numId w:val="14"/>
        </w:numPr>
        <w:tabs>
          <w:tab w:val="left" w:pos="856"/>
          <w:tab w:val="left" w:pos="858"/>
        </w:tabs>
        <w:spacing w:before="0" w:after="0" w:line="240" w:lineRule="auto"/>
        <w:ind w:left="857" w:right="0" w:hanging="737"/>
        <w:jc w:val="left"/>
        <w:rPr>
          <w:sz w:val="21"/>
        </w:rPr>
      </w:pPr>
      <w:r>
        <w:rPr>
          <w:spacing w:val="-3"/>
          <w:sz w:val="21"/>
        </w:rPr>
        <w:t>围护结构热工性能应符合下列规定：</w:t>
      </w:r>
    </w:p>
    <w:p>
      <w:pPr>
        <w:pStyle w:val="3"/>
        <w:spacing w:before="12"/>
        <w:rPr>
          <w:sz w:val="17"/>
        </w:rPr>
      </w:pPr>
    </w:p>
    <w:p>
      <w:pPr>
        <w:pStyle w:val="9"/>
        <w:numPr>
          <w:ilvl w:val="0"/>
          <w:numId w:val="22"/>
        </w:numPr>
        <w:tabs>
          <w:tab w:val="left" w:pos="859"/>
          <w:tab w:val="left" w:pos="860"/>
        </w:tabs>
        <w:spacing w:before="0" w:after="0" w:line="240" w:lineRule="auto"/>
        <w:ind w:left="859" w:right="0" w:hanging="317"/>
        <w:jc w:val="left"/>
        <w:rPr>
          <w:sz w:val="21"/>
        </w:rPr>
      </w:pPr>
      <w:r>
        <w:rPr>
          <w:spacing w:val="-3"/>
          <w:sz w:val="21"/>
        </w:rPr>
        <w:t>在室内设计温度、湿度条件下，建筑非透光围护结构内表面不得结露。</w:t>
      </w:r>
    </w:p>
    <w:p>
      <w:pPr>
        <w:pStyle w:val="3"/>
        <w:spacing w:before="2"/>
        <w:rPr>
          <w:sz w:val="18"/>
        </w:rPr>
      </w:pPr>
    </w:p>
    <w:p>
      <w:pPr>
        <w:pStyle w:val="9"/>
        <w:numPr>
          <w:ilvl w:val="0"/>
          <w:numId w:val="22"/>
        </w:numPr>
        <w:tabs>
          <w:tab w:val="left" w:pos="859"/>
          <w:tab w:val="left" w:pos="860"/>
        </w:tabs>
        <w:spacing w:before="0" w:after="0" w:line="446" w:lineRule="auto"/>
        <w:ind w:left="120" w:right="215" w:firstLine="422"/>
        <w:jc w:val="left"/>
        <w:rPr>
          <w:sz w:val="21"/>
        </w:rPr>
      </w:pPr>
      <w:r>
        <w:rPr>
          <w:spacing w:val="-16"/>
          <w:sz w:val="21"/>
        </w:rPr>
        <w:t>供暖建筑的屋面、外墙内部不应产生冷凝。如果产生冷凝，内部冷凝验算应符合《民</w:t>
      </w:r>
      <w:r>
        <w:rPr>
          <w:spacing w:val="-3"/>
          <w:sz w:val="21"/>
        </w:rPr>
        <w:t>用建筑热工设计规范》</w:t>
      </w:r>
      <w:r>
        <w:rPr>
          <w:rFonts w:ascii="Times New Roman" w:eastAsia="Times New Roman"/>
          <w:sz w:val="21"/>
        </w:rPr>
        <w:t>GB</w:t>
      </w:r>
      <w:r>
        <w:rPr>
          <w:rFonts w:ascii="Times New Roman" w:eastAsia="Times New Roman"/>
          <w:spacing w:val="-2"/>
          <w:sz w:val="21"/>
        </w:rPr>
        <w:t xml:space="preserve"> </w:t>
      </w:r>
      <w:r>
        <w:rPr>
          <w:rFonts w:ascii="Times New Roman" w:eastAsia="Times New Roman"/>
          <w:sz w:val="21"/>
        </w:rPr>
        <w:t>50176</w:t>
      </w:r>
      <w:r>
        <w:rPr>
          <w:spacing w:val="-2"/>
          <w:sz w:val="21"/>
        </w:rPr>
        <w:t>的要求。</w:t>
      </w:r>
    </w:p>
    <w:p>
      <w:pPr>
        <w:pStyle w:val="9"/>
        <w:numPr>
          <w:ilvl w:val="0"/>
          <w:numId w:val="22"/>
        </w:numPr>
        <w:tabs>
          <w:tab w:val="left" w:pos="859"/>
          <w:tab w:val="left" w:pos="860"/>
        </w:tabs>
        <w:spacing w:before="0" w:after="0" w:line="446" w:lineRule="auto"/>
        <w:ind w:left="120" w:right="109" w:firstLine="422"/>
        <w:jc w:val="left"/>
        <w:rPr>
          <w:sz w:val="21"/>
        </w:rPr>
      </w:pPr>
      <w:r>
        <w:rPr>
          <w:spacing w:val="-3"/>
          <w:sz w:val="21"/>
        </w:rPr>
        <w:t>屋顶、外墙、外门窗的保温、隔热性能应满足现行国家标准《民用建筑热工设计规</w:t>
      </w:r>
      <w:r>
        <w:rPr>
          <w:spacing w:val="-7"/>
          <w:sz w:val="21"/>
        </w:rPr>
        <w:t>范》</w:t>
      </w:r>
      <w:r>
        <w:rPr>
          <w:rFonts w:ascii="Times New Roman" w:eastAsia="Times New Roman"/>
          <w:sz w:val="21"/>
        </w:rPr>
        <w:t>GB</w:t>
      </w:r>
      <w:r>
        <w:rPr>
          <w:rFonts w:ascii="Times New Roman" w:eastAsia="Times New Roman"/>
          <w:spacing w:val="13"/>
          <w:sz w:val="21"/>
        </w:rPr>
        <w:t xml:space="preserve"> </w:t>
      </w:r>
      <w:r>
        <w:rPr>
          <w:rFonts w:ascii="Times New Roman" w:eastAsia="Times New Roman"/>
          <w:sz w:val="21"/>
        </w:rPr>
        <w:t>50176</w:t>
      </w:r>
      <w:r>
        <w:rPr>
          <w:spacing w:val="-6"/>
          <w:sz w:val="21"/>
        </w:rPr>
        <w:t>、《公共建筑节能设计标准》</w:t>
      </w:r>
      <w:r>
        <w:rPr>
          <w:rFonts w:ascii="Times New Roman" w:eastAsia="Times New Roman"/>
          <w:sz w:val="21"/>
        </w:rPr>
        <w:t>GB</w:t>
      </w:r>
      <w:r>
        <w:rPr>
          <w:rFonts w:ascii="Times New Roman" w:eastAsia="Times New Roman"/>
          <w:spacing w:val="13"/>
          <w:sz w:val="21"/>
        </w:rPr>
        <w:t xml:space="preserve"> </w:t>
      </w:r>
      <w:r>
        <w:rPr>
          <w:rFonts w:ascii="Times New Roman" w:eastAsia="Times New Roman"/>
          <w:sz w:val="21"/>
        </w:rPr>
        <w:t>50189</w:t>
      </w:r>
      <w:r>
        <w:rPr>
          <w:spacing w:val="-5"/>
          <w:sz w:val="21"/>
        </w:rPr>
        <w:t>、《黑龙江省居住建筑节能设计标准》</w:t>
      </w:r>
    </w:p>
    <w:p>
      <w:pPr>
        <w:spacing w:after="0" w:line="446" w:lineRule="auto"/>
        <w:jc w:val="left"/>
        <w:rPr>
          <w:sz w:val="21"/>
        </w:rPr>
        <w:sectPr>
          <w:pgSz w:w="11910" w:h="16850"/>
          <w:pgMar w:top="1580" w:right="1580" w:bottom="1400" w:left="1680" w:header="0" w:footer="1204" w:gutter="0"/>
        </w:sectPr>
      </w:pPr>
    </w:p>
    <w:p>
      <w:pPr>
        <w:pStyle w:val="3"/>
        <w:spacing w:before="50"/>
        <w:ind w:left="120"/>
      </w:pPr>
      <w:r>
        <w:rPr>
          <w:rFonts w:ascii="Times New Roman" w:eastAsia="Times New Roman"/>
        </w:rPr>
        <w:t>DB 23/1270</w:t>
      </w:r>
      <w:r>
        <w:t>的要求。</w:t>
      </w:r>
    </w:p>
    <w:p>
      <w:pPr>
        <w:pStyle w:val="3"/>
        <w:spacing w:before="12"/>
        <w:rPr>
          <w:sz w:val="17"/>
        </w:rPr>
      </w:pPr>
    </w:p>
    <w:p>
      <w:pPr>
        <w:pStyle w:val="3"/>
        <w:ind w:left="539"/>
      </w:pPr>
      <w:r>
        <w:t>审查说明主要内容：</w:t>
      </w:r>
    </w:p>
    <w:p>
      <w:pPr>
        <w:pStyle w:val="3"/>
        <w:spacing w:before="2"/>
        <w:rPr>
          <w:sz w:val="18"/>
        </w:rPr>
      </w:pPr>
    </w:p>
    <w:p>
      <w:pPr>
        <w:pStyle w:val="9"/>
        <w:numPr>
          <w:ilvl w:val="0"/>
          <w:numId w:val="23"/>
        </w:numPr>
        <w:tabs>
          <w:tab w:val="left" w:pos="859"/>
          <w:tab w:val="left" w:pos="860"/>
        </w:tabs>
        <w:spacing w:before="0" w:after="0" w:line="446" w:lineRule="auto"/>
        <w:ind w:left="120" w:right="220" w:firstLine="422"/>
        <w:jc w:val="left"/>
        <w:rPr>
          <w:sz w:val="21"/>
        </w:rPr>
      </w:pPr>
      <w:r>
        <w:rPr>
          <w:spacing w:val="-3"/>
          <w:sz w:val="21"/>
        </w:rPr>
        <w:t>设计说明及相应计算书应明确在室内外设计温、湿度条件下，建筑围护结构内表面</w:t>
      </w:r>
      <w:r>
        <w:rPr>
          <w:spacing w:val="-6"/>
          <w:sz w:val="21"/>
        </w:rPr>
        <w:t xml:space="preserve">不结露，居住建筑外墙内表面温度高于露点温度 </w:t>
      </w:r>
      <w:r>
        <w:rPr>
          <w:rFonts w:ascii="Times New Roman" w:hAnsi="Times New Roman" w:eastAsia="Times New Roman"/>
          <w:sz w:val="21"/>
        </w:rPr>
        <w:t>2</w:t>
      </w:r>
      <w:r>
        <w:rPr>
          <w:spacing w:val="-3"/>
          <w:sz w:val="21"/>
        </w:rPr>
        <w:t>℃以上，并提供相应计算书。</w:t>
      </w:r>
    </w:p>
    <w:p>
      <w:pPr>
        <w:pStyle w:val="9"/>
        <w:numPr>
          <w:ilvl w:val="0"/>
          <w:numId w:val="23"/>
        </w:numPr>
        <w:tabs>
          <w:tab w:val="left" w:pos="859"/>
          <w:tab w:val="left" w:pos="860"/>
        </w:tabs>
        <w:spacing w:before="0" w:after="0" w:line="446" w:lineRule="auto"/>
        <w:ind w:left="120" w:right="220" w:firstLine="422"/>
        <w:jc w:val="left"/>
        <w:rPr>
          <w:sz w:val="21"/>
        </w:rPr>
      </w:pPr>
      <w:r>
        <w:rPr>
          <w:spacing w:val="-3"/>
          <w:sz w:val="21"/>
        </w:rPr>
        <w:t>提供供暖建筑屋面、外墙内部冷凝验算报告，给出在供暖期间，围护结构中保温材料因冷凝受潮而增加的重量湿度允许增量不超过标准规定的结论。</w:t>
      </w:r>
    </w:p>
    <w:p>
      <w:pPr>
        <w:pStyle w:val="3"/>
        <w:spacing w:line="446" w:lineRule="auto"/>
        <w:ind w:left="120" w:right="232" w:firstLine="419"/>
      </w:pPr>
      <w:r>
        <w:rPr>
          <w:spacing w:val="-7"/>
        </w:rPr>
        <w:t>本条的审查方法为：审查相关设计文件</w:t>
      </w:r>
      <w:r>
        <w:rPr>
          <w:spacing w:val="-3"/>
        </w:rPr>
        <w:t>（</w:t>
      </w:r>
      <w:r>
        <w:rPr>
          <w:spacing w:val="-10"/>
        </w:rPr>
        <w:t>建筑设计说明、构造做法表、节能计算书、建</w:t>
      </w:r>
      <w:r>
        <w:rPr>
          <w:spacing w:val="-3"/>
        </w:rPr>
        <w:t>筑围护结构防结露验算报告、内部冷凝验算报告等</w:t>
      </w:r>
      <w:r>
        <w:t>）。</w:t>
      </w:r>
    </w:p>
    <w:p>
      <w:pPr>
        <w:pStyle w:val="9"/>
        <w:numPr>
          <w:ilvl w:val="2"/>
          <w:numId w:val="14"/>
        </w:numPr>
        <w:tabs>
          <w:tab w:val="left" w:pos="856"/>
          <w:tab w:val="left" w:pos="857"/>
        </w:tabs>
        <w:spacing w:before="0" w:after="0" w:line="446" w:lineRule="auto"/>
        <w:ind w:left="540" w:right="2742" w:hanging="420"/>
        <w:jc w:val="left"/>
        <w:rPr>
          <w:sz w:val="21"/>
        </w:rPr>
      </w:pPr>
      <w:r>
        <w:rPr>
          <w:spacing w:val="-4"/>
          <w:sz w:val="21"/>
        </w:rPr>
        <w:t>主要功能房间应具有现场独立控制的热环境调节装置。</w:t>
      </w:r>
      <w:r>
        <w:rPr>
          <w:spacing w:val="-3"/>
          <w:sz w:val="21"/>
        </w:rPr>
        <w:t>审查说明主要内容：</w:t>
      </w:r>
    </w:p>
    <w:p>
      <w:pPr>
        <w:pStyle w:val="9"/>
        <w:numPr>
          <w:ilvl w:val="0"/>
          <w:numId w:val="24"/>
        </w:numPr>
        <w:tabs>
          <w:tab w:val="left" w:pos="859"/>
          <w:tab w:val="left" w:pos="860"/>
        </w:tabs>
        <w:spacing w:before="0" w:after="0" w:line="446" w:lineRule="auto"/>
        <w:ind w:left="120" w:right="213" w:firstLine="422"/>
        <w:jc w:val="left"/>
        <w:rPr>
          <w:sz w:val="21"/>
        </w:rPr>
      </w:pPr>
      <w:r>
        <w:rPr>
          <w:spacing w:val="-3"/>
          <w:sz w:val="21"/>
        </w:rPr>
        <w:t>设计说明应明确：集中供暖建筑室内供暖末端设施设置温控调节装置；集中空调建筑主要功能房间根据房间、区域的系统形式，设置温度、湿度、新风量的调节装置。</w:t>
      </w:r>
    </w:p>
    <w:p>
      <w:pPr>
        <w:pStyle w:val="9"/>
        <w:numPr>
          <w:ilvl w:val="0"/>
          <w:numId w:val="24"/>
        </w:numPr>
        <w:tabs>
          <w:tab w:val="left" w:pos="859"/>
          <w:tab w:val="left" w:pos="860"/>
        </w:tabs>
        <w:spacing w:before="0" w:after="0" w:line="446" w:lineRule="auto"/>
        <w:ind w:left="540" w:right="4422" w:firstLine="2"/>
        <w:jc w:val="left"/>
        <w:rPr>
          <w:sz w:val="21"/>
        </w:rPr>
      </w:pPr>
      <w:r>
        <w:rPr>
          <w:spacing w:val="-4"/>
          <w:sz w:val="21"/>
        </w:rPr>
        <w:t>设计平面图、系统图布置相关装置。</w:t>
      </w:r>
      <w:r>
        <w:rPr>
          <w:spacing w:val="-3"/>
          <w:sz w:val="21"/>
        </w:rPr>
        <w:t>本条的审查方法为：审查设计文件。</w:t>
      </w:r>
    </w:p>
    <w:p>
      <w:pPr>
        <w:pStyle w:val="9"/>
        <w:numPr>
          <w:ilvl w:val="2"/>
          <w:numId w:val="14"/>
        </w:numPr>
        <w:tabs>
          <w:tab w:val="left" w:pos="856"/>
          <w:tab w:val="left" w:pos="857"/>
        </w:tabs>
        <w:spacing w:before="0" w:after="0" w:line="446" w:lineRule="auto"/>
        <w:ind w:left="540" w:right="2322" w:hanging="420"/>
        <w:jc w:val="left"/>
        <w:rPr>
          <w:sz w:val="21"/>
        </w:rPr>
      </w:pPr>
      <w:r>
        <w:rPr>
          <w:spacing w:val="-3"/>
          <w:sz w:val="21"/>
        </w:rPr>
        <w:t>地下车库应设置与排风设备联动的一氧化碳浓度监测装置。审查说明主要内容：</w:t>
      </w:r>
    </w:p>
    <w:p>
      <w:pPr>
        <w:pStyle w:val="9"/>
        <w:numPr>
          <w:ilvl w:val="0"/>
          <w:numId w:val="25"/>
        </w:numPr>
        <w:tabs>
          <w:tab w:val="left" w:pos="859"/>
          <w:tab w:val="left" w:pos="860"/>
        </w:tabs>
        <w:spacing w:before="0" w:after="0" w:line="446" w:lineRule="auto"/>
        <w:ind w:left="120" w:right="212" w:firstLine="422"/>
        <w:jc w:val="left"/>
        <w:rPr>
          <w:sz w:val="21"/>
        </w:rPr>
      </w:pPr>
      <w:r>
        <w:rPr>
          <w:spacing w:val="-3"/>
          <w:sz w:val="21"/>
        </w:rPr>
        <w:t>暖通设计说明应明确地下车库设置一氧化碳浓度监测装置，并说明与排风机联动开启。</w:t>
      </w:r>
    </w:p>
    <w:p>
      <w:pPr>
        <w:pStyle w:val="9"/>
        <w:numPr>
          <w:ilvl w:val="0"/>
          <w:numId w:val="25"/>
        </w:numPr>
        <w:tabs>
          <w:tab w:val="left" w:pos="859"/>
          <w:tab w:val="left" w:pos="860"/>
        </w:tabs>
        <w:spacing w:before="0" w:after="0" w:line="240" w:lineRule="auto"/>
        <w:ind w:left="859" w:right="0" w:hanging="317"/>
        <w:jc w:val="left"/>
        <w:rPr>
          <w:sz w:val="21"/>
        </w:rPr>
      </w:pPr>
      <w:r>
        <w:rPr>
          <w:spacing w:val="-3"/>
          <w:sz w:val="21"/>
        </w:rPr>
        <w:t>暖通设计平面图标注一氧化碳浓度监测装置设置位置、数量。</w:t>
      </w:r>
    </w:p>
    <w:p>
      <w:pPr>
        <w:pStyle w:val="3"/>
        <w:spacing w:before="4"/>
        <w:rPr>
          <w:sz w:val="17"/>
        </w:rPr>
      </w:pPr>
    </w:p>
    <w:p>
      <w:pPr>
        <w:pStyle w:val="9"/>
        <w:numPr>
          <w:ilvl w:val="0"/>
          <w:numId w:val="25"/>
        </w:numPr>
        <w:tabs>
          <w:tab w:val="left" w:pos="859"/>
          <w:tab w:val="left" w:pos="860"/>
        </w:tabs>
        <w:spacing w:before="0" w:after="0" w:line="446" w:lineRule="auto"/>
        <w:ind w:left="540" w:right="2533" w:firstLine="2"/>
        <w:jc w:val="left"/>
        <w:rPr>
          <w:sz w:val="21"/>
        </w:rPr>
      </w:pPr>
      <w:r>
        <w:rPr>
          <w:spacing w:val="-3"/>
          <w:sz w:val="21"/>
        </w:rPr>
        <w:t>电气设计说明及图纸应明确监测装置与排风机联动开启。本条的审查方法为：审查设计文件。</w:t>
      </w:r>
    </w:p>
    <w:p>
      <w:pPr>
        <w:spacing w:after="0" w:line="446" w:lineRule="auto"/>
        <w:jc w:val="left"/>
        <w:rPr>
          <w:sz w:val="21"/>
        </w:rPr>
        <w:sectPr>
          <w:pgSz w:w="11910" w:h="16850"/>
          <w:pgMar w:top="1580" w:right="1580" w:bottom="1180" w:left="1680" w:header="0" w:footer="997" w:gutter="0"/>
        </w:sectPr>
      </w:pPr>
    </w:p>
    <w:p>
      <w:pPr>
        <w:spacing w:before="57"/>
        <w:ind w:left="3345" w:right="3445" w:firstLine="0"/>
        <w:jc w:val="center"/>
        <w:rPr>
          <w:rFonts w:hint="eastAsia" w:ascii="黑体" w:eastAsia="黑体"/>
          <w:sz w:val="28"/>
        </w:rPr>
      </w:pPr>
      <w:bookmarkStart w:id="27" w:name="6 生 活 便 利"/>
      <w:bookmarkEnd w:id="27"/>
      <w:bookmarkStart w:id="28" w:name="_bookmark10"/>
      <w:bookmarkEnd w:id="28"/>
      <w:r>
        <w:rPr>
          <w:rFonts w:ascii="Times New Roman" w:eastAsia="Times New Roman"/>
          <w:b/>
          <w:sz w:val="28"/>
        </w:rPr>
        <w:t xml:space="preserve">6  </w:t>
      </w:r>
      <w:r>
        <w:rPr>
          <w:rFonts w:hint="eastAsia" w:ascii="黑体" w:eastAsia="黑体"/>
          <w:sz w:val="28"/>
        </w:rPr>
        <w:t>生 活 便 利</w:t>
      </w:r>
    </w:p>
    <w:p>
      <w:pPr>
        <w:spacing w:before="189"/>
        <w:ind w:left="3669" w:right="0" w:firstLine="0"/>
        <w:jc w:val="left"/>
        <w:rPr>
          <w:rFonts w:hint="eastAsia" w:ascii="黑体" w:eastAsia="黑体"/>
          <w:sz w:val="21"/>
        </w:rPr>
      </w:pPr>
      <w:bookmarkStart w:id="29" w:name="6.1 控 制 项"/>
      <w:bookmarkEnd w:id="29"/>
      <w:bookmarkStart w:id="30" w:name="_bookmark11"/>
      <w:bookmarkEnd w:id="30"/>
      <w:r>
        <w:rPr>
          <w:rFonts w:ascii="Times New Roman" w:eastAsia="Times New Roman"/>
          <w:b/>
          <w:sz w:val="21"/>
        </w:rPr>
        <w:t xml:space="preserve">6.1 </w:t>
      </w:r>
      <w:r>
        <w:rPr>
          <w:rFonts w:hint="eastAsia" w:ascii="黑体" w:eastAsia="黑体"/>
          <w:sz w:val="21"/>
        </w:rPr>
        <w:t>控 制 项</w:t>
      </w:r>
    </w:p>
    <w:p>
      <w:pPr>
        <w:pStyle w:val="3"/>
        <w:spacing w:before="8"/>
        <w:rPr>
          <w:rFonts w:ascii="黑体"/>
          <w:sz w:val="25"/>
        </w:rPr>
      </w:pPr>
    </w:p>
    <w:p>
      <w:pPr>
        <w:pStyle w:val="9"/>
        <w:numPr>
          <w:ilvl w:val="2"/>
          <w:numId w:val="26"/>
        </w:numPr>
        <w:tabs>
          <w:tab w:val="left" w:pos="856"/>
          <w:tab w:val="left" w:pos="858"/>
        </w:tabs>
        <w:spacing w:before="0" w:after="0" w:line="446" w:lineRule="auto"/>
        <w:ind w:left="540" w:right="301" w:hanging="420"/>
        <w:jc w:val="left"/>
        <w:rPr>
          <w:sz w:val="21"/>
        </w:rPr>
      </w:pPr>
      <w:r>
        <w:rPr>
          <w:spacing w:val="-3"/>
          <w:sz w:val="21"/>
        </w:rPr>
        <w:t>建筑、室外场地、公共绿地、城市道路相互之间应设置连贯的无障碍步行系统。审查说明主要内容：在室外场地设计应满足《无障碍设计规范》</w:t>
      </w:r>
      <w:r>
        <w:rPr>
          <w:rFonts w:ascii="Times New Roman" w:eastAsia="Times New Roman"/>
          <w:sz w:val="21"/>
        </w:rPr>
        <w:t>GB</w:t>
      </w:r>
      <w:r>
        <w:rPr>
          <w:rFonts w:ascii="Times New Roman" w:eastAsia="Times New Roman"/>
          <w:spacing w:val="27"/>
          <w:sz w:val="21"/>
        </w:rPr>
        <w:t xml:space="preserve"> </w:t>
      </w:r>
      <w:r>
        <w:rPr>
          <w:rFonts w:ascii="Times New Roman" w:eastAsia="Times New Roman"/>
          <w:sz w:val="21"/>
        </w:rPr>
        <w:t>50763</w:t>
      </w:r>
      <w:r>
        <w:rPr>
          <w:spacing w:val="-2"/>
          <w:sz w:val="21"/>
        </w:rPr>
        <w:t>，保证无障</w:t>
      </w:r>
    </w:p>
    <w:p>
      <w:pPr>
        <w:pStyle w:val="3"/>
        <w:spacing w:line="446" w:lineRule="auto"/>
        <w:ind w:left="120" w:right="109"/>
      </w:pPr>
      <w:r>
        <w:rPr>
          <w:spacing w:val="-8"/>
        </w:rPr>
        <w:t>碍步行系统连贯性设计，场地范围内的人行通道应与城市道路、场地内道路、建筑主要出入</w:t>
      </w:r>
      <w:r>
        <w:rPr>
          <w:spacing w:val="-16"/>
        </w:rPr>
        <w:t>口、场地公共绿地和公共空间等相连通、连续。当场地存在高差时，应以无障碍坡道相连接。</w:t>
      </w:r>
    </w:p>
    <w:p>
      <w:pPr>
        <w:pStyle w:val="3"/>
        <w:ind w:left="540"/>
      </w:pPr>
      <w:r>
        <w:t>本条的审查方法：审核相关设计文件，核查其在相关设计文件中的落实情况。</w:t>
      </w:r>
    </w:p>
    <w:p>
      <w:pPr>
        <w:pStyle w:val="3"/>
        <w:rPr>
          <w:sz w:val="18"/>
        </w:rPr>
      </w:pPr>
    </w:p>
    <w:p>
      <w:pPr>
        <w:pStyle w:val="9"/>
        <w:numPr>
          <w:ilvl w:val="2"/>
          <w:numId w:val="26"/>
        </w:numPr>
        <w:tabs>
          <w:tab w:val="left" w:pos="856"/>
          <w:tab w:val="left" w:pos="858"/>
        </w:tabs>
        <w:spacing w:before="0" w:after="0" w:line="446" w:lineRule="auto"/>
        <w:ind w:left="120" w:right="270" w:firstLine="0"/>
        <w:jc w:val="left"/>
        <w:rPr>
          <w:sz w:val="21"/>
        </w:rPr>
      </w:pPr>
      <w:r>
        <w:rPr>
          <w:spacing w:val="-8"/>
          <w:sz w:val="21"/>
        </w:rPr>
        <w:t xml:space="preserve">场地人行出入口 </w:t>
      </w:r>
      <w:r>
        <w:rPr>
          <w:rFonts w:ascii="Times New Roman" w:eastAsia="Times New Roman"/>
          <w:sz w:val="21"/>
        </w:rPr>
        <w:t>500m</w:t>
      </w:r>
      <w:r>
        <w:rPr>
          <w:rFonts w:ascii="Times New Roman" w:eastAsia="Times New Roman"/>
          <w:spacing w:val="12"/>
          <w:sz w:val="21"/>
        </w:rPr>
        <w:t xml:space="preserve"> </w:t>
      </w:r>
      <w:r>
        <w:rPr>
          <w:spacing w:val="-3"/>
          <w:sz w:val="21"/>
        </w:rPr>
        <w:t>内应设有公共交通站点或配备联系公共交通站点的专用接驳车。</w:t>
      </w:r>
    </w:p>
    <w:p>
      <w:pPr>
        <w:pStyle w:val="3"/>
        <w:ind w:left="540"/>
      </w:pPr>
      <w:r>
        <w:t>审查说明主要内容：</w:t>
      </w:r>
    </w:p>
    <w:p>
      <w:pPr>
        <w:pStyle w:val="3"/>
        <w:spacing w:before="12"/>
        <w:rPr>
          <w:sz w:val="17"/>
        </w:rPr>
      </w:pPr>
    </w:p>
    <w:p>
      <w:pPr>
        <w:pStyle w:val="9"/>
        <w:numPr>
          <w:ilvl w:val="3"/>
          <w:numId w:val="26"/>
        </w:numPr>
        <w:tabs>
          <w:tab w:val="left" w:pos="859"/>
          <w:tab w:val="left" w:pos="860"/>
        </w:tabs>
        <w:spacing w:before="0" w:after="0" w:line="240" w:lineRule="auto"/>
        <w:ind w:left="859" w:right="0" w:hanging="317"/>
        <w:jc w:val="left"/>
        <w:rPr>
          <w:sz w:val="21"/>
        </w:rPr>
      </w:pPr>
      <w:r>
        <w:rPr>
          <w:spacing w:val="-19"/>
          <w:sz w:val="21"/>
        </w:rPr>
        <w:t xml:space="preserve">建筑 </w:t>
      </w:r>
      <w:r>
        <w:rPr>
          <w:rFonts w:ascii="Times New Roman" w:eastAsia="Times New Roman"/>
          <w:sz w:val="21"/>
        </w:rPr>
        <w:t>500m</w:t>
      </w:r>
      <w:r>
        <w:rPr>
          <w:rFonts w:ascii="Times New Roman" w:eastAsia="Times New Roman"/>
          <w:spacing w:val="-4"/>
          <w:sz w:val="21"/>
        </w:rPr>
        <w:t xml:space="preserve"> </w:t>
      </w:r>
      <w:r>
        <w:rPr>
          <w:spacing w:val="-3"/>
          <w:sz w:val="21"/>
        </w:rPr>
        <w:t>范围内应设置公共交通站点。</w:t>
      </w:r>
    </w:p>
    <w:p>
      <w:pPr>
        <w:pStyle w:val="3"/>
        <w:rPr>
          <w:sz w:val="18"/>
        </w:rPr>
      </w:pPr>
    </w:p>
    <w:p>
      <w:pPr>
        <w:pStyle w:val="9"/>
        <w:numPr>
          <w:ilvl w:val="3"/>
          <w:numId w:val="26"/>
        </w:numPr>
        <w:tabs>
          <w:tab w:val="left" w:pos="859"/>
          <w:tab w:val="left" w:pos="860"/>
        </w:tabs>
        <w:spacing w:before="0" w:after="0" w:line="446" w:lineRule="auto"/>
        <w:ind w:left="120" w:right="267" w:firstLine="423"/>
        <w:jc w:val="left"/>
        <w:rPr>
          <w:sz w:val="21"/>
        </w:rPr>
      </w:pPr>
      <w:r>
        <w:rPr>
          <w:spacing w:val="-13"/>
          <w:sz w:val="21"/>
        </w:rPr>
        <w:t xml:space="preserve">建筑 </w:t>
      </w:r>
      <w:r>
        <w:rPr>
          <w:rFonts w:ascii="Times New Roman" w:eastAsia="Times New Roman"/>
          <w:sz w:val="21"/>
        </w:rPr>
        <w:t>500m</w:t>
      </w:r>
      <w:r>
        <w:rPr>
          <w:rFonts w:ascii="Times New Roman" w:eastAsia="Times New Roman"/>
          <w:spacing w:val="13"/>
          <w:sz w:val="21"/>
        </w:rPr>
        <w:t xml:space="preserve"> </w:t>
      </w:r>
      <w:r>
        <w:rPr>
          <w:spacing w:val="-3"/>
          <w:sz w:val="21"/>
        </w:rPr>
        <w:t>范围内若无公共交通站点，申请审查方应提供其具备接驳车条件的佐证材料。</w:t>
      </w:r>
    </w:p>
    <w:p>
      <w:pPr>
        <w:pStyle w:val="3"/>
        <w:spacing w:line="446" w:lineRule="auto"/>
        <w:ind w:left="120" w:right="212" w:firstLine="420"/>
      </w:pPr>
      <w:r>
        <w:rPr>
          <w:spacing w:val="-10"/>
        </w:rPr>
        <w:t>本条的审查方法：审查相关设计文件、交通站点标识图；核查其在相关设计文件中的落</w:t>
      </w:r>
      <w:r>
        <w:rPr>
          <w:spacing w:val="-6"/>
        </w:rPr>
        <w:t>实情况。</w:t>
      </w:r>
    </w:p>
    <w:p>
      <w:pPr>
        <w:pStyle w:val="9"/>
        <w:numPr>
          <w:ilvl w:val="2"/>
          <w:numId w:val="26"/>
        </w:numPr>
        <w:tabs>
          <w:tab w:val="left" w:pos="857"/>
          <w:tab w:val="left" w:pos="858"/>
        </w:tabs>
        <w:spacing w:before="0" w:after="0" w:line="446" w:lineRule="auto"/>
        <w:ind w:left="120" w:right="224" w:firstLine="0"/>
        <w:jc w:val="left"/>
        <w:rPr>
          <w:sz w:val="21"/>
        </w:rPr>
      </w:pPr>
      <w:r>
        <w:rPr>
          <w:spacing w:val="-3"/>
          <w:sz w:val="21"/>
        </w:rPr>
        <w:t>停车场应具有电动汽车充电设施或具备充电设施的安装条件，并应合理设置电动汽车和无障碍汽车停车位。</w:t>
      </w:r>
    </w:p>
    <w:p>
      <w:pPr>
        <w:pStyle w:val="3"/>
        <w:spacing w:line="267" w:lineRule="exact"/>
        <w:ind w:left="540"/>
      </w:pPr>
      <w:r>
        <w:t>审查说明主要内容：</w:t>
      </w:r>
    </w:p>
    <w:p>
      <w:pPr>
        <w:pStyle w:val="3"/>
        <w:spacing w:before="2"/>
        <w:rPr>
          <w:sz w:val="18"/>
        </w:rPr>
      </w:pPr>
    </w:p>
    <w:p>
      <w:pPr>
        <w:pStyle w:val="9"/>
        <w:numPr>
          <w:ilvl w:val="0"/>
          <w:numId w:val="27"/>
        </w:numPr>
        <w:tabs>
          <w:tab w:val="left" w:pos="859"/>
          <w:tab w:val="left" w:pos="860"/>
        </w:tabs>
        <w:spacing w:before="0" w:after="0" w:line="240" w:lineRule="auto"/>
        <w:ind w:left="859" w:right="0" w:hanging="316"/>
        <w:jc w:val="left"/>
        <w:rPr>
          <w:sz w:val="21"/>
        </w:rPr>
      </w:pPr>
      <w:r>
        <w:rPr>
          <w:spacing w:val="-3"/>
          <w:sz w:val="21"/>
        </w:rPr>
        <w:t>设计文件应明确停车场具有电动汽车充电设施或具备充电设施的安装条件。</w:t>
      </w:r>
    </w:p>
    <w:p>
      <w:pPr>
        <w:pStyle w:val="3"/>
        <w:spacing w:before="12"/>
        <w:rPr>
          <w:sz w:val="17"/>
        </w:rPr>
      </w:pPr>
    </w:p>
    <w:p>
      <w:pPr>
        <w:pStyle w:val="9"/>
        <w:numPr>
          <w:ilvl w:val="0"/>
          <w:numId w:val="27"/>
        </w:numPr>
        <w:tabs>
          <w:tab w:val="left" w:pos="859"/>
          <w:tab w:val="left" w:pos="860"/>
        </w:tabs>
        <w:spacing w:before="0" w:after="0" w:line="446" w:lineRule="auto"/>
        <w:ind w:left="120" w:right="219" w:firstLine="423"/>
        <w:jc w:val="left"/>
        <w:rPr>
          <w:sz w:val="21"/>
        </w:rPr>
      </w:pPr>
      <w:r>
        <w:rPr>
          <w:spacing w:val="-3"/>
          <w:sz w:val="21"/>
        </w:rPr>
        <w:t>设计文件应按现行国家标准及地方标准的规定设置电动汽车及无障碍汽车停车位， 设置合理。</w:t>
      </w:r>
    </w:p>
    <w:p>
      <w:pPr>
        <w:pStyle w:val="3"/>
        <w:ind w:left="540"/>
      </w:pPr>
      <w:r>
        <w:t>本条的审查方法为：审查相关设计文件。</w:t>
      </w:r>
    </w:p>
    <w:p>
      <w:pPr>
        <w:pStyle w:val="3"/>
        <w:rPr>
          <w:sz w:val="18"/>
        </w:rPr>
      </w:pPr>
    </w:p>
    <w:p>
      <w:pPr>
        <w:pStyle w:val="9"/>
        <w:numPr>
          <w:ilvl w:val="2"/>
          <w:numId w:val="26"/>
        </w:numPr>
        <w:tabs>
          <w:tab w:val="left" w:pos="857"/>
          <w:tab w:val="left" w:pos="858"/>
        </w:tabs>
        <w:spacing w:before="0" w:after="0" w:line="240" w:lineRule="auto"/>
        <w:ind w:left="857" w:right="0" w:hanging="737"/>
        <w:jc w:val="left"/>
        <w:rPr>
          <w:sz w:val="21"/>
        </w:rPr>
      </w:pPr>
      <w:r>
        <w:rPr>
          <w:spacing w:val="-3"/>
          <w:sz w:val="21"/>
        </w:rPr>
        <w:t>自行车停车场所应位置合理、方便出入。</w:t>
      </w:r>
    </w:p>
    <w:p>
      <w:pPr>
        <w:pStyle w:val="3"/>
        <w:spacing w:before="12"/>
        <w:rPr>
          <w:sz w:val="17"/>
        </w:rPr>
      </w:pPr>
    </w:p>
    <w:p>
      <w:pPr>
        <w:pStyle w:val="3"/>
        <w:spacing w:line="446" w:lineRule="auto"/>
        <w:ind w:left="120" w:right="211" w:firstLine="419"/>
      </w:pPr>
      <w:r>
        <w:rPr>
          <w:spacing w:val="-3"/>
        </w:rPr>
        <w:t>审查说明主要内容：</w:t>
      </w:r>
      <w:r>
        <w:fldChar w:fldCharType="begin"/>
      </w:r>
      <w:r>
        <w:instrText xml:space="preserve"> HYPERLINK "https://www.baidu.com/link?url=r5NR75FkEljqlutS0Djy1Utf1aQ6qWtVea4MZBBlcUZyzgdaAOd8xn40NHZpoNks1qL0IuYGzU4IgcltunsCTTz505cGU_mDwQJtUlc5lKy&amp;amp;wd&amp;amp;eqid=cc61f8b6005252ec000000035d50117e" \h </w:instrText>
      </w:r>
      <w:r>
        <w:fldChar w:fldCharType="separate"/>
      </w:r>
      <w:r>
        <w:rPr>
          <w:spacing w:val="-3"/>
        </w:rPr>
        <w:t>非机动车停车位指标</w:t>
      </w:r>
      <w:r>
        <w:rPr>
          <w:spacing w:val="-3"/>
        </w:rPr>
        <w:fldChar w:fldCharType="end"/>
      </w:r>
      <w:r>
        <w:rPr>
          <w:spacing w:val="-3"/>
        </w:rPr>
        <w:t>应符合《城市居住区规划设计标准》</w:t>
      </w:r>
      <w:r>
        <w:t>（</w:t>
      </w:r>
      <w:r>
        <w:rPr>
          <w:rFonts w:ascii="Times New Roman" w:eastAsia="Times New Roman"/>
        </w:rPr>
        <w:t xml:space="preserve">GB </w:t>
      </w:r>
      <w:r>
        <w:rPr>
          <w:rFonts w:ascii="Times New Roman" w:eastAsia="Times New Roman"/>
          <w:spacing w:val="-1"/>
        </w:rPr>
        <w:t>50180-2018</w:t>
      </w:r>
      <w:r>
        <w:rPr>
          <w:spacing w:val="-1"/>
        </w:rPr>
        <w:t>）</w:t>
      </w:r>
      <w:r>
        <w:rPr>
          <w:spacing w:val="-8"/>
        </w:rPr>
        <w:t>规定，居住街坊应配建居民非机动车停车场。自行车停车场所应规模适度、布</w:t>
      </w:r>
      <w:r>
        <w:rPr>
          <w:spacing w:val="-5"/>
        </w:rPr>
        <w:t>局合理，符合使用者出行习惯。</w:t>
      </w:r>
    </w:p>
    <w:p>
      <w:pPr>
        <w:pStyle w:val="3"/>
        <w:spacing w:line="268" w:lineRule="exact"/>
        <w:ind w:left="540"/>
      </w:pPr>
      <w:r>
        <w:t>本条的审查方法：审核相关设计文件。自行车停车场配建规模依照《城市居住区规划设</w:t>
      </w:r>
    </w:p>
    <w:p>
      <w:pPr>
        <w:pStyle w:val="3"/>
        <w:spacing w:before="2"/>
        <w:rPr>
          <w:sz w:val="18"/>
        </w:rPr>
      </w:pPr>
    </w:p>
    <w:p>
      <w:pPr>
        <w:pStyle w:val="3"/>
        <w:ind w:left="120"/>
      </w:pPr>
      <w:r>
        <w:t>计标准》（</w:t>
      </w:r>
      <w:r>
        <w:rPr>
          <w:rFonts w:ascii="Times New Roman" w:eastAsia="Times New Roman"/>
        </w:rPr>
        <w:t>GB 50180-2018</w:t>
      </w:r>
      <w:r>
        <w:t xml:space="preserve">）表 </w:t>
      </w:r>
      <w:r>
        <w:rPr>
          <w:rFonts w:ascii="Times New Roman" w:eastAsia="Times New Roman"/>
        </w:rPr>
        <w:t xml:space="preserve">5.0.5 </w:t>
      </w:r>
      <w:r>
        <w:t xml:space="preserve">与附录 </w:t>
      </w:r>
      <w:r>
        <w:rPr>
          <w:rFonts w:ascii="Times New Roman" w:eastAsia="Times New Roman"/>
        </w:rPr>
        <w:t xml:space="preserve">C </w:t>
      </w:r>
      <w:r>
        <w:t>表</w:t>
      </w:r>
      <w:r>
        <w:rPr>
          <w:rFonts w:ascii="Times New Roman" w:eastAsia="Times New Roman"/>
        </w:rPr>
        <w:t xml:space="preserve">C02 </w:t>
      </w:r>
      <w:r>
        <w:t>审核。</w:t>
      </w:r>
    </w:p>
    <w:p>
      <w:pPr>
        <w:spacing w:after="0"/>
        <w:sectPr>
          <w:pgSz w:w="11910" w:h="16850"/>
          <w:pgMar w:top="1380" w:right="1580" w:bottom="1400" w:left="1680" w:header="0" w:footer="1204" w:gutter="0"/>
        </w:sectPr>
      </w:pPr>
    </w:p>
    <w:p>
      <w:pPr>
        <w:pStyle w:val="9"/>
        <w:numPr>
          <w:ilvl w:val="2"/>
          <w:numId w:val="26"/>
        </w:numPr>
        <w:tabs>
          <w:tab w:val="left" w:pos="856"/>
          <w:tab w:val="left" w:pos="857"/>
        </w:tabs>
        <w:spacing w:before="50" w:after="0" w:line="446" w:lineRule="auto"/>
        <w:ind w:left="120" w:right="222" w:firstLine="0"/>
        <w:jc w:val="left"/>
        <w:rPr>
          <w:sz w:val="21"/>
        </w:rPr>
      </w:pPr>
      <w:r>
        <w:rPr>
          <w:spacing w:val="-3"/>
          <w:sz w:val="21"/>
        </w:rPr>
        <w:t>建筑设备管理系统应符合以下规定，未设置建筑设备管理系统的建筑，本条直接通过：</w:t>
      </w:r>
    </w:p>
    <w:p>
      <w:pPr>
        <w:pStyle w:val="9"/>
        <w:numPr>
          <w:ilvl w:val="0"/>
          <w:numId w:val="28"/>
        </w:numPr>
        <w:tabs>
          <w:tab w:val="left" w:pos="859"/>
          <w:tab w:val="left" w:pos="860"/>
        </w:tabs>
        <w:spacing w:before="0" w:after="0" w:line="240" w:lineRule="auto"/>
        <w:ind w:left="859" w:right="0" w:hanging="317"/>
        <w:jc w:val="left"/>
        <w:rPr>
          <w:sz w:val="21"/>
        </w:rPr>
      </w:pPr>
      <w:r>
        <w:rPr>
          <w:spacing w:val="-3"/>
          <w:sz w:val="21"/>
        </w:rPr>
        <w:t>建筑设备管理系统应具有自动监控管理功能。</w:t>
      </w:r>
    </w:p>
    <w:p>
      <w:pPr>
        <w:pStyle w:val="3"/>
        <w:spacing w:before="12"/>
        <w:rPr>
          <w:sz w:val="17"/>
        </w:rPr>
      </w:pPr>
    </w:p>
    <w:p>
      <w:pPr>
        <w:pStyle w:val="9"/>
        <w:numPr>
          <w:ilvl w:val="0"/>
          <w:numId w:val="28"/>
        </w:numPr>
        <w:tabs>
          <w:tab w:val="left" w:pos="859"/>
          <w:tab w:val="left" w:pos="860"/>
        </w:tabs>
        <w:spacing w:before="0" w:after="0" w:line="446" w:lineRule="auto"/>
        <w:ind w:left="119" w:right="315" w:firstLine="423"/>
        <w:jc w:val="left"/>
        <w:rPr>
          <w:sz w:val="21"/>
        </w:rPr>
      </w:pPr>
      <w:r>
        <w:rPr>
          <w:spacing w:val="-7"/>
          <w:sz w:val="21"/>
        </w:rPr>
        <w:t xml:space="preserve">当公共建筑的面积不大于 </w:t>
      </w:r>
      <w:r>
        <w:rPr>
          <w:rFonts w:ascii="Times New Roman" w:eastAsia="Times New Roman"/>
          <w:sz w:val="21"/>
        </w:rPr>
        <w:t>2</w:t>
      </w:r>
      <w:r>
        <w:rPr>
          <w:rFonts w:ascii="Times New Roman" w:eastAsia="Times New Roman"/>
          <w:spacing w:val="1"/>
          <w:sz w:val="21"/>
        </w:rPr>
        <w:t xml:space="preserve"> </w:t>
      </w:r>
      <w:r>
        <w:rPr>
          <w:spacing w:val="-25"/>
          <w:sz w:val="21"/>
        </w:rPr>
        <w:t xml:space="preserve">万 </w:t>
      </w:r>
      <w:r>
        <w:rPr>
          <w:rFonts w:ascii="Times New Roman" w:eastAsia="Times New Roman"/>
          <w:sz w:val="21"/>
        </w:rPr>
        <w:t>m</w:t>
      </w:r>
      <w:r>
        <w:rPr>
          <w:rFonts w:ascii="Times New Roman" w:eastAsia="Times New Roman"/>
          <w:sz w:val="21"/>
          <w:vertAlign w:val="superscript"/>
        </w:rPr>
        <w:t>2</w:t>
      </w:r>
      <w:r>
        <w:rPr>
          <w:rFonts w:ascii="Times New Roman" w:eastAsia="Times New Roman"/>
          <w:spacing w:val="-14"/>
          <w:sz w:val="21"/>
          <w:vertAlign w:val="baseline"/>
        </w:rPr>
        <w:t xml:space="preserve"> </w:t>
      </w:r>
      <w:r>
        <w:rPr>
          <w:spacing w:val="-8"/>
          <w:sz w:val="21"/>
          <w:vertAlign w:val="baseline"/>
        </w:rPr>
        <w:t xml:space="preserve">或住宅建筑面积不大于 </w:t>
      </w:r>
      <w:r>
        <w:rPr>
          <w:rFonts w:ascii="Times New Roman" w:eastAsia="Times New Roman"/>
          <w:sz w:val="21"/>
          <w:vertAlign w:val="baseline"/>
        </w:rPr>
        <w:t>10</w:t>
      </w:r>
      <w:r>
        <w:rPr>
          <w:rFonts w:ascii="Times New Roman" w:eastAsia="Times New Roman"/>
          <w:spacing w:val="1"/>
          <w:sz w:val="21"/>
          <w:vertAlign w:val="baseline"/>
        </w:rPr>
        <w:t xml:space="preserve"> </w:t>
      </w:r>
      <w:r>
        <w:rPr>
          <w:spacing w:val="-25"/>
          <w:sz w:val="21"/>
          <w:vertAlign w:val="baseline"/>
        </w:rPr>
        <w:t xml:space="preserve">万 </w:t>
      </w:r>
      <w:r>
        <w:rPr>
          <w:rFonts w:ascii="Times New Roman" w:eastAsia="Times New Roman"/>
          <w:sz w:val="21"/>
          <w:vertAlign w:val="baseline"/>
        </w:rPr>
        <w:t>m</w:t>
      </w:r>
      <w:r>
        <w:rPr>
          <w:rFonts w:ascii="Times New Roman" w:eastAsia="Times New Roman"/>
          <w:sz w:val="21"/>
          <w:vertAlign w:val="superscript"/>
        </w:rPr>
        <w:t>2</w:t>
      </w:r>
      <w:r>
        <w:rPr>
          <w:rFonts w:ascii="Times New Roman" w:eastAsia="Times New Roman"/>
          <w:spacing w:val="-15"/>
          <w:sz w:val="21"/>
          <w:vertAlign w:val="baseline"/>
        </w:rPr>
        <w:t xml:space="preserve"> </w:t>
      </w:r>
      <w:r>
        <w:rPr>
          <w:spacing w:val="-2"/>
          <w:sz w:val="21"/>
          <w:vertAlign w:val="baseline"/>
        </w:rPr>
        <w:t>时，对于其公共</w:t>
      </w:r>
      <w:r>
        <w:rPr>
          <w:spacing w:val="-3"/>
          <w:sz w:val="21"/>
          <w:vertAlign w:val="baseline"/>
        </w:rPr>
        <w:t>设施的监控可以不设建筑设备自动监控系统，但应设置简易的节能控制措施。</w:t>
      </w:r>
    </w:p>
    <w:p>
      <w:pPr>
        <w:pStyle w:val="3"/>
        <w:spacing w:line="386" w:lineRule="auto"/>
        <w:ind w:left="540" w:right="1587" w:hanging="1"/>
      </w:pPr>
      <w:r>
        <w:t>本条依据《绿色建筑评价标准》</w:t>
      </w:r>
      <w:r>
        <w:rPr>
          <w:rFonts w:ascii="Times New Roman" w:eastAsia="Times New Roman"/>
        </w:rPr>
        <w:t xml:space="preserve">GB 50378-201 </w:t>
      </w:r>
      <w:r>
        <w:t xml:space="preserve">第 </w:t>
      </w:r>
      <w:r>
        <w:rPr>
          <w:rFonts w:ascii="Times New Roman" w:eastAsia="Times New Roman"/>
        </w:rPr>
        <w:t xml:space="preserve">6.1.5 </w:t>
      </w:r>
      <w:r>
        <w:t>条控制项设置。本条的审查方法</w:t>
      </w:r>
      <w:r>
        <w:rPr>
          <w:rFonts w:hint="eastAsia" w:ascii="微软雅黑" w:eastAsia="微软雅黑"/>
        </w:rPr>
        <w:t xml:space="preserve">: </w:t>
      </w:r>
      <w:r>
        <w:t>审核相关设计图纸、文件和性能参数等。</w:t>
      </w:r>
    </w:p>
    <w:p>
      <w:pPr>
        <w:pStyle w:val="9"/>
        <w:numPr>
          <w:ilvl w:val="2"/>
          <w:numId w:val="26"/>
        </w:numPr>
        <w:tabs>
          <w:tab w:val="left" w:pos="857"/>
          <w:tab w:val="left" w:pos="858"/>
        </w:tabs>
        <w:spacing w:before="0" w:after="0" w:line="211" w:lineRule="exact"/>
        <w:ind w:left="857" w:right="0" w:hanging="737"/>
        <w:jc w:val="left"/>
        <w:rPr>
          <w:sz w:val="21"/>
        </w:rPr>
      </w:pPr>
      <w:r>
        <w:rPr>
          <w:spacing w:val="-3"/>
          <w:sz w:val="21"/>
        </w:rPr>
        <w:t>建筑应设置信息网络系统，设计文件中应至少包括物理线缆层、网络交换层。</w:t>
      </w:r>
    </w:p>
    <w:p>
      <w:pPr>
        <w:pStyle w:val="3"/>
        <w:spacing w:before="2"/>
        <w:rPr>
          <w:sz w:val="18"/>
        </w:rPr>
      </w:pPr>
    </w:p>
    <w:p>
      <w:pPr>
        <w:pStyle w:val="3"/>
        <w:spacing w:line="386" w:lineRule="auto"/>
        <w:ind w:left="540" w:right="1586" w:hanging="1"/>
      </w:pPr>
      <w:r>
        <w:t>本条依据《绿色建筑评价标准》</w:t>
      </w:r>
      <w:r>
        <w:rPr>
          <w:rFonts w:ascii="Times New Roman" w:eastAsia="Times New Roman"/>
        </w:rPr>
        <w:t xml:space="preserve">GB 50378-201 </w:t>
      </w:r>
      <w:r>
        <w:t xml:space="preserve">第 </w:t>
      </w:r>
      <w:r>
        <w:rPr>
          <w:rFonts w:ascii="Times New Roman" w:eastAsia="Times New Roman"/>
        </w:rPr>
        <w:t xml:space="preserve">6.1.6 </w:t>
      </w:r>
      <w:r>
        <w:t>条控制项设置。本条的审查方法</w:t>
      </w:r>
      <w:r>
        <w:rPr>
          <w:rFonts w:hint="eastAsia" w:ascii="微软雅黑" w:eastAsia="微软雅黑"/>
        </w:rPr>
        <w:t xml:space="preserve">: </w:t>
      </w:r>
      <w:r>
        <w:t>审核相关设计图纸、文件和性能参数。</w:t>
      </w:r>
    </w:p>
    <w:p>
      <w:pPr>
        <w:spacing w:after="0" w:line="386" w:lineRule="auto"/>
        <w:sectPr>
          <w:pgSz w:w="11910" w:h="16850"/>
          <w:pgMar w:top="1580" w:right="1580" w:bottom="1180" w:left="1680" w:header="0" w:footer="997" w:gutter="0"/>
        </w:sectPr>
      </w:pPr>
    </w:p>
    <w:p>
      <w:pPr>
        <w:spacing w:before="57"/>
        <w:ind w:left="3362" w:right="0" w:firstLine="0"/>
        <w:jc w:val="left"/>
        <w:rPr>
          <w:rFonts w:hint="eastAsia" w:ascii="黑体" w:eastAsia="黑体"/>
          <w:sz w:val="28"/>
        </w:rPr>
      </w:pPr>
      <w:bookmarkStart w:id="31" w:name="_bookmark12"/>
      <w:bookmarkEnd w:id="31"/>
      <w:bookmarkStart w:id="32" w:name="7 资 源 节 约"/>
      <w:bookmarkEnd w:id="32"/>
      <w:r>
        <w:rPr>
          <w:rFonts w:ascii="Times New Roman" w:eastAsia="Times New Roman"/>
          <w:b/>
          <w:sz w:val="28"/>
        </w:rPr>
        <w:t xml:space="preserve">7 </w:t>
      </w:r>
      <w:r>
        <w:rPr>
          <w:rFonts w:hint="eastAsia" w:ascii="黑体" w:eastAsia="黑体"/>
          <w:sz w:val="28"/>
        </w:rPr>
        <w:t>资 源 节 约</w:t>
      </w:r>
    </w:p>
    <w:p>
      <w:pPr>
        <w:spacing w:before="189"/>
        <w:ind w:left="3669" w:right="0" w:firstLine="0"/>
        <w:jc w:val="left"/>
        <w:rPr>
          <w:rFonts w:hint="eastAsia" w:ascii="黑体" w:eastAsia="黑体"/>
          <w:sz w:val="21"/>
        </w:rPr>
      </w:pPr>
      <w:bookmarkStart w:id="33" w:name="_bookmark13"/>
      <w:bookmarkEnd w:id="33"/>
      <w:bookmarkStart w:id="34" w:name="7.1 控 制 项"/>
      <w:bookmarkEnd w:id="34"/>
      <w:r>
        <w:rPr>
          <w:rFonts w:ascii="Times New Roman" w:eastAsia="Times New Roman"/>
          <w:b/>
          <w:sz w:val="21"/>
        </w:rPr>
        <w:t xml:space="preserve">7.1 </w:t>
      </w:r>
      <w:r>
        <w:rPr>
          <w:rFonts w:hint="eastAsia" w:ascii="黑体" w:eastAsia="黑体"/>
          <w:sz w:val="21"/>
        </w:rPr>
        <w:t>控 制 项</w:t>
      </w:r>
    </w:p>
    <w:p>
      <w:pPr>
        <w:pStyle w:val="3"/>
        <w:spacing w:before="8"/>
        <w:rPr>
          <w:rFonts w:ascii="黑体"/>
          <w:sz w:val="25"/>
        </w:rPr>
      </w:pPr>
    </w:p>
    <w:p>
      <w:pPr>
        <w:pStyle w:val="9"/>
        <w:numPr>
          <w:ilvl w:val="2"/>
          <w:numId w:val="29"/>
        </w:numPr>
        <w:tabs>
          <w:tab w:val="left" w:pos="856"/>
          <w:tab w:val="left" w:pos="858"/>
        </w:tabs>
        <w:spacing w:before="0" w:after="0" w:line="446" w:lineRule="auto"/>
        <w:ind w:left="120" w:right="222" w:firstLine="0"/>
        <w:jc w:val="left"/>
        <w:rPr>
          <w:sz w:val="21"/>
        </w:rPr>
      </w:pPr>
      <w:r>
        <w:rPr>
          <w:spacing w:val="-3"/>
          <w:sz w:val="21"/>
        </w:rPr>
        <w:t>应结合场地自然条件和建筑功能需求，对建筑的体形、平面布局、空间尺度、围护结构等进行节能设计，且应符合国家和黑龙江省现行有关节能设计标准的要求。</w:t>
      </w:r>
    </w:p>
    <w:p>
      <w:pPr>
        <w:pStyle w:val="3"/>
        <w:ind w:left="540"/>
      </w:pPr>
      <w:r>
        <w:t>审查说明主要内容：</w:t>
      </w:r>
    </w:p>
    <w:p>
      <w:pPr>
        <w:pStyle w:val="3"/>
        <w:rPr>
          <w:sz w:val="18"/>
        </w:rPr>
      </w:pPr>
    </w:p>
    <w:p>
      <w:pPr>
        <w:pStyle w:val="9"/>
        <w:numPr>
          <w:ilvl w:val="3"/>
          <w:numId w:val="29"/>
        </w:numPr>
        <w:tabs>
          <w:tab w:val="left" w:pos="856"/>
          <w:tab w:val="left" w:pos="857"/>
        </w:tabs>
        <w:spacing w:before="0" w:after="0" w:line="240" w:lineRule="auto"/>
        <w:ind w:left="856" w:right="0" w:hanging="316"/>
        <w:jc w:val="left"/>
        <w:rPr>
          <w:sz w:val="21"/>
        </w:rPr>
      </w:pPr>
      <w:r>
        <w:rPr>
          <w:spacing w:val="-3"/>
          <w:sz w:val="21"/>
        </w:rPr>
        <w:t>建筑设计时应强化“空间节能优先”的原则。</w:t>
      </w:r>
    </w:p>
    <w:p>
      <w:pPr>
        <w:pStyle w:val="3"/>
        <w:spacing w:before="2"/>
        <w:rPr>
          <w:sz w:val="18"/>
        </w:rPr>
      </w:pPr>
    </w:p>
    <w:p>
      <w:pPr>
        <w:pStyle w:val="9"/>
        <w:numPr>
          <w:ilvl w:val="3"/>
          <w:numId w:val="29"/>
        </w:numPr>
        <w:tabs>
          <w:tab w:val="left" w:pos="860"/>
        </w:tabs>
        <w:spacing w:before="0" w:after="0" w:line="446" w:lineRule="auto"/>
        <w:ind w:left="120" w:right="122" w:firstLine="422"/>
        <w:jc w:val="both"/>
        <w:rPr>
          <w:sz w:val="21"/>
        </w:rPr>
      </w:pPr>
      <w:r>
        <w:rPr>
          <w:spacing w:val="-3"/>
          <w:sz w:val="21"/>
        </w:rPr>
        <w:t>设计说明应明确对建筑朝向、建筑形体、平面布局及空间尺度等在充分考虑空间节</w:t>
      </w:r>
      <w:r>
        <w:rPr>
          <w:spacing w:val="-11"/>
          <w:sz w:val="21"/>
        </w:rPr>
        <w:t>能的基础上，综合场地周边的传统文化、地方特色统筹协调，结合场地地形、环境等自然条</w:t>
      </w:r>
      <w:r>
        <w:rPr>
          <w:spacing w:val="-6"/>
          <w:sz w:val="21"/>
        </w:rPr>
        <w:t>件，权衡各因素之间的相互关系进行优化。严格控制体形系数等影响建筑能耗的相关指标。</w:t>
      </w:r>
    </w:p>
    <w:p>
      <w:pPr>
        <w:pStyle w:val="9"/>
        <w:numPr>
          <w:ilvl w:val="3"/>
          <w:numId w:val="29"/>
        </w:numPr>
        <w:tabs>
          <w:tab w:val="left" w:pos="859"/>
          <w:tab w:val="left" w:pos="860"/>
        </w:tabs>
        <w:spacing w:before="0" w:after="0" w:line="446" w:lineRule="auto"/>
        <w:ind w:left="120" w:right="212" w:firstLine="422"/>
        <w:jc w:val="left"/>
        <w:rPr>
          <w:sz w:val="21"/>
        </w:rPr>
      </w:pPr>
      <w:r>
        <w:rPr>
          <w:spacing w:val="-3"/>
          <w:sz w:val="21"/>
        </w:rPr>
        <w:t>设计说明应明确设计文件符合国家和黑龙江省现行相关建筑节能设计标准中强制性条文的规定。</w:t>
      </w:r>
    </w:p>
    <w:p>
      <w:pPr>
        <w:pStyle w:val="3"/>
        <w:spacing w:line="446" w:lineRule="auto"/>
        <w:ind w:left="120" w:right="215" w:firstLine="419"/>
      </w:pPr>
      <w:r>
        <w:t>本条的审查方法：审查相关设计文件(设计说明、总图、建筑鸟瞰图、单体效果图、人群视点透视图、平立剖图纸、设计说明等)、节能计算书。</w:t>
      </w:r>
    </w:p>
    <w:p>
      <w:pPr>
        <w:pStyle w:val="9"/>
        <w:numPr>
          <w:ilvl w:val="2"/>
          <w:numId w:val="29"/>
        </w:numPr>
        <w:tabs>
          <w:tab w:val="left" w:pos="859"/>
          <w:tab w:val="left" w:pos="860"/>
        </w:tabs>
        <w:spacing w:before="0" w:after="0" w:line="446" w:lineRule="auto"/>
        <w:ind w:left="120" w:right="212" w:firstLine="0"/>
        <w:jc w:val="left"/>
        <w:rPr>
          <w:sz w:val="21"/>
        </w:rPr>
      </w:pPr>
      <w:r>
        <w:rPr>
          <w:spacing w:val="-3"/>
          <w:sz w:val="21"/>
        </w:rPr>
        <w:t>应采取措施降低部分负荷、部分空间使用下的供暖、空调系统能耗，并应符合下列规定：</w:t>
      </w:r>
    </w:p>
    <w:p>
      <w:pPr>
        <w:pStyle w:val="9"/>
        <w:numPr>
          <w:ilvl w:val="0"/>
          <w:numId w:val="30"/>
        </w:numPr>
        <w:tabs>
          <w:tab w:val="left" w:pos="859"/>
          <w:tab w:val="left" w:pos="860"/>
        </w:tabs>
        <w:spacing w:before="0" w:after="0" w:line="240" w:lineRule="auto"/>
        <w:ind w:left="859" w:right="0" w:hanging="316"/>
        <w:jc w:val="left"/>
        <w:rPr>
          <w:sz w:val="21"/>
        </w:rPr>
      </w:pPr>
      <w:r>
        <w:rPr>
          <w:spacing w:val="-3"/>
          <w:sz w:val="21"/>
        </w:rPr>
        <w:t>宜区分房间的朝向细分供暖、空调区域，并应对系统进行分区控制。</w:t>
      </w:r>
    </w:p>
    <w:p>
      <w:pPr>
        <w:pStyle w:val="3"/>
        <w:spacing w:before="9"/>
        <w:rPr>
          <w:sz w:val="17"/>
        </w:rPr>
      </w:pPr>
    </w:p>
    <w:p>
      <w:pPr>
        <w:pStyle w:val="9"/>
        <w:numPr>
          <w:ilvl w:val="0"/>
          <w:numId w:val="30"/>
        </w:numPr>
        <w:tabs>
          <w:tab w:val="left" w:pos="864"/>
          <w:tab w:val="left" w:pos="865"/>
        </w:tabs>
        <w:spacing w:before="0" w:after="0" w:line="446" w:lineRule="auto"/>
        <w:ind w:left="120" w:right="214" w:firstLine="423"/>
        <w:jc w:val="left"/>
        <w:rPr>
          <w:sz w:val="21"/>
        </w:rPr>
      </w:pPr>
      <w:r>
        <w:rPr>
          <w:sz w:val="21"/>
        </w:rPr>
        <w:t>空调冷源的部分负荷性能系数(</w:t>
      </w:r>
      <w:r>
        <w:rPr>
          <w:rFonts w:ascii="Times New Roman" w:eastAsia="Times New Roman"/>
          <w:sz w:val="21"/>
        </w:rPr>
        <w:t>IPLV</w:t>
      </w:r>
      <w:r>
        <w:rPr>
          <w:sz w:val="21"/>
        </w:rPr>
        <w:t>)、电冷源综合制冷性能系数(</w:t>
      </w:r>
      <w:r>
        <w:rPr>
          <w:rFonts w:ascii="Times New Roman" w:eastAsia="Times New Roman"/>
          <w:sz w:val="21"/>
        </w:rPr>
        <w:t>SCOP</w:t>
      </w:r>
      <w:r>
        <w:rPr>
          <w:sz w:val="21"/>
        </w:rPr>
        <w:t>)应符合现</w:t>
      </w:r>
      <w:r>
        <w:rPr>
          <w:spacing w:val="-3"/>
          <w:sz w:val="21"/>
        </w:rPr>
        <w:t>行国家标准《公共建筑节能设计标准》</w:t>
      </w:r>
      <w:r>
        <w:rPr>
          <w:rFonts w:ascii="Times New Roman" w:eastAsia="Times New Roman"/>
          <w:sz w:val="21"/>
        </w:rPr>
        <w:t>GB</w:t>
      </w:r>
      <w:r>
        <w:rPr>
          <w:rFonts w:ascii="Times New Roman" w:eastAsia="Times New Roman"/>
          <w:spacing w:val="-2"/>
          <w:sz w:val="21"/>
        </w:rPr>
        <w:t xml:space="preserve"> </w:t>
      </w:r>
      <w:r>
        <w:rPr>
          <w:rFonts w:ascii="Times New Roman" w:eastAsia="Times New Roman"/>
          <w:sz w:val="21"/>
        </w:rPr>
        <w:t xml:space="preserve">50189 </w:t>
      </w:r>
      <w:r>
        <w:rPr>
          <w:spacing w:val="-2"/>
          <w:sz w:val="21"/>
        </w:rPr>
        <w:t>的规定。</w:t>
      </w:r>
    </w:p>
    <w:p>
      <w:pPr>
        <w:pStyle w:val="3"/>
        <w:ind w:left="540"/>
      </w:pPr>
      <w:r>
        <w:t>审查说明主要内容：</w:t>
      </w:r>
    </w:p>
    <w:p>
      <w:pPr>
        <w:pStyle w:val="3"/>
        <w:spacing w:before="12"/>
        <w:rPr>
          <w:sz w:val="17"/>
        </w:rPr>
      </w:pPr>
    </w:p>
    <w:p>
      <w:pPr>
        <w:pStyle w:val="9"/>
        <w:numPr>
          <w:ilvl w:val="0"/>
          <w:numId w:val="31"/>
        </w:numPr>
        <w:tabs>
          <w:tab w:val="left" w:pos="859"/>
          <w:tab w:val="left" w:pos="860"/>
        </w:tabs>
        <w:spacing w:before="0" w:after="0" w:line="240" w:lineRule="auto"/>
        <w:ind w:left="860" w:right="0" w:hanging="317"/>
        <w:jc w:val="left"/>
        <w:rPr>
          <w:sz w:val="21"/>
        </w:rPr>
      </w:pPr>
      <w:r>
        <w:rPr>
          <w:spacing w:val="-3"/>
          <w:sz w:val="21"/>
        </w:rPr>
        <w:t>设计说明应有系统分区控制的设计方案说明，平面图与说明相一致。</w:t>
      </w:r>
    </w:p>
    <w:p>
      <w:pPr>
        <w:pStyle w:val="3"/>
        <w:spacing w:before="12"/>
        <w:rPr>
          <w:sz w:val="17"/>
        </w:rPr>
      </w:pPr>
    </w:p>
    <w:p>
      <w:pPr>
        <w:pStyle w:val="9"/>
        <w:numPr>
          <w:ilvl w:val="0"/>
          <w:numId w:val="31"/>
        </w:numPr>
        <w:tabs>
          <w:tab w:val="left" w:pos="859"/>
          <w:tab w:val="left" w:pos="860"/>
        </w:tabs>
        <w:spacing w:before="0" w:after="0" w:line="446" w:lineRule="auto"/>
        <w:ind w:left="541" w:right="488" w:firstLine="2"/>
        <w:jc w:val="left"/>
        <w:rPr>
          <w:sz w:val="21"/>
        </w:rPr>
      </w:pPr>
      <w:r>
        <w:rPr>
          <w:spacing w:val="-3"/>
          <w:sz w:val="21"/>
        </w:rPr>
        <w:t>设计说明、设备表明确部分负荷性能系数(</w:t>
      </w:r>
      <w:r>
        <w:rPr>
          <w:rFonts w:ascii="Times New Roman" w:eastAsia="Times New Roman"/>
          <w:sz w:val="21"/>
        </w:rPr>
        <w:t>IPLV</w:t>
      </w:r>
      <w:r>
        <w:rPr>
          <w:spacing w:val="-3"/>
          <w:sz w:val="21"/>
        </w:rPr>
        <w:t>)、综合制冷性能系数(</w:t>
      </w:r>
      <w:r>
        <w:rPr>
          <w:rFonts w:ascii="Times New Roman" w:eastAsia="Times New Roman"/>
          <w:sz w:val="21"/>
        </w:rPr>
        <w:t>SCOP</w:t>
      </w:r>
      <w:r>
        <w:rPr>
          <w:sz w:val="21"/>
        </w:rPr>
        <w:t>)。</w:t>
      </w:r>
      <w:r>
        <w:rPr>
          <w:spacing w:val="-3"/>
          <w:sz w:val="21"/>
        </w:rPr>
        <w:t>本条的审查方法：审查相关设计文件(设计说明、图纸、计算书)。</w:t>
      </w:r>
    </w:p>
    <w:p>
      <w:pPr>
        <w:pStyle w:val="9"/>
        <w:numPr>
          <w:ilvl w:val="2"/>
          <w:numId w:val="29"/>
        </w:numPr>
        <w:tabs>
          <w:tab w:val="left" w:pos="857"/>
          <w:tab w:val="left" w:pos="858"/>
        </w:tabs>
        <w:spacing w:before="0" w:after="0" w:line="446" w:lineRule="auto"/>
        <w:ind w:left="541" w:right="430" w:hanging="420"/>
        <w:jc w:val="left"/>
        <w:rPr>
          <w:sz w:val="21"/>
        </w:rPr>
      </w:pPr>
      <w:r>
        <w:rPr>
          <w:spacing w:val="-3"/>
          <w:sz w:val="21"/>
        </w:rPr>
        <w:t>应根据建筑空间功能设置分区温度，合理降低室内过渡区空间的温度设定标准。审查说明主要内容：</w:t>
      </w:r>
    </w:p>
    <w:p>
      <w:pPr>
        <w:pStyle w:val="3"/>
        <w:spacing w:line="446" w:lineRule="auto"/>
        <w:ind w:left="121" w:right="211" w:firstLine="420"/>
      </w:pPr>
      <w:r>
        <w:rPr>
          <w:spacing w:val="-9"/>
        </w:rPr>
        <w:t>设计说明应明确以下场所计算温度：集中供暖、集中空调建筑内的门厅、中庭、高大空</w:t>
      </w:r>
      <w:r>
        <w:rPr>
          <w:spacing w:val="-5"/>
        </w:rPr>
        <w:t xml:space="preserve">间中超出人员活动范围的空间等,空调供冷工况室内设计参数宜比长期逗留区域提高 </w:t>
      </w:r>
      <w:r>
        <w:t>1℃～</w:t>
      </w:r>
    </w:p>
    <w:p>
      <w:pPr>
        <w:pStyle w:val="3"/>
        <w:spacing w:line="267" w:lineRule="exact"/>
        <w:ind w:left="121"/>
      </w:pPr>
      <w:r>
        <w:t>2℃，供热工况宜降低 2℃～3℃。</w:t>
      </w:r>
    </w:p>
    <w:p>
      <w:pPr>
        <w:pStyle w:val="3"/>
        <w:spacing w:before="2"/>
        <w:rPr>
          <w:sz w:val="18"/>
        </w:rPr>
      </w:pPr>
    </w:p>
    <w:p>
      <w:pPr>
        <w:pStyle w:val="3"/>
        <w:ind w:left="541"/>
      </w:pPr>
      <w:r>
        <w:t>本条的审查方法：审查相关设计文件(暖通空调专业设计说明、暖通设计计算书、过渡</w:t>
      </w:r>
    </w:p>
    <w:p>
      <w:pPr>
        <w:spacing w:after="0"/>
        <w:sectPr>
          <w:pgSz w:w="11910" w:h="16850"/>
          <w:pgMar w:top="1380" w:right="1580" w:bottom="1400" w:left="1680" w:header="0" w:footer="1204" w:gutter="0"/>
        </w:sectPr>
      </w:pPr>
    </w:p>
    <w:p>
      <w:pPr>
        <w:pStyle w:val="3"/>
        <w:spacing w:before="50"/>
        <w:ind w:left="120"/>
      </w:pPr>
      <w:r>
        <w:t>空间温度控制等）</w:t>
      </w:r>
    </w:p>
    <w:p>
      <w:pPr>
        <w:pStyle w:val="3"/>
        <w:spacing w:before="12"/>
        <w:rPr>
          <w:sz w:val="17"/>
        </w:rPr>
      </w:pPr>
    </w:p>
    <w:p>
      <w:pPr>
        <w:pStyle w:val="9"/>
        <w:numPr>
          <w:ilvl w:val="2"/>
          <w:numId w:val="29"/>
        </w:numPr>
        <w:tabs>
          <w:tab w:val="left" w:pos="868"/>
          <w:tab w:val="left" w:pos="869"/>
        </w:tabs>
        <w:spacing w:before="0" w:after="0" w:line="240" w:lineRule="auto"/>
        <w:ind w:left="868" w:right="0" w:hanging="749"/>
        <w:jc w:val="left"/>
        <w:rPr>
          <w:rFonts w:ascii="Times New Roman" w:eastAsia="Times New Roman"/>
          <w:sz w:val="21"/>
        </w:rPr>
      </w:pPr>
      <w:r>
        <w:rPr>
          <w:sz w:val="21"/>
        </w:rPr>
        <w:t>主要功能房间的照明功率密度值不应高于现行国家标准《建筑照明设计标准》</w:t>
      </w:r>
      <w:r>
        <w:rPr>
          <w:rFonts w:ascii="Times New Roman" w:eastAsia="Times New Roman"/>
          <w:sz w:val="21"/>
        </w:rPr>
        <w:t>GB</w:t>
      </w:r>
    </w:p>
    <w:p>
      <w:pPr>
        <w:pStyle w:val="3"/>
        <w:spacing w:before="2"/>
        <w:rPr>
          <w:rFonts w:ascii="Times New Roman"/>
          <w:sz w:val="20"/>
        </w:rPr>
      </w:pPr>
    </w:p>
    <w:p>
      <w:pPr>
        <w:pStyle w:val="3"/>
        <w:spacing w:before="1" w:line="446" w:lineRule="auto"/>
        <w:ind w:left="120" w:right="216" w:hanging="1"/>
      </w:pPr>
      <w:r>
        <w:rPr>
          <w:rFonts w:ascii="Times New Roman" w:eastAsia="Times New Roman"/>
        </w:rPr>
        <w:t xml:space="preserve">50034 </w:t>
      </w:r>
      <w:r>
        <w:rPr>
          <w:spacing w:val="-8"/>
        </w:rPr>
        <w:t>规定的现行值；公共区域的照明系统应采用分区、定时、感应等节能控制；采光区域</w:t>
      </w:r>
      <w:r>
        <w:rPr>
          <w:spacing w:val="-3"/>
        </w:rPr>
        <w:t>的照明控制应独立于其他区域的照明控制。</w:t>
      </w:r>
    </w:p>
    <w:p>
      <w:pPr>
        <w:pStyle w:val="3"/>
        <w:spacing w:line="267" w:lineRule="exact"/>
        <w:ind w:left="540"/>
      </w:pPr>
      <w:r>
        <w:t>审查说明主要内容：</w:t>
      </w:r>
    </w:p>
    <w:p>
      <w:pPr>
        <w:pStyle w:val="3"/>
        <w:spacing w:before="1"/>
        <w:rPr>
          <w:sz w:val="18"/>
        </w:rPr>
      </w:pPr>
    </w:p>
    <w:p>
      <w:pPr>
        <w:pStyle w:val="9"/>
        <w:numPr>
          <w:ilvl w:val="0"/>
          <w:numId w:val="32"/>
        </w:numPr>
        <w:tabs>
          <w:tab w:val="left" w:pos="859"/>
          <w:tab w:val="left" w:pos="860"/>
        </w:tabs>
        <w:spacing w:before="0" w:after="0" w:line="446" w:lineRule="auto"/>
        <w:ind w:left="120" w:right="212" w:firstLine="422"/>
        <w:jc w:val="left"/>
        <w:rPr>
          <w:sz w:val="21"/>
        </w:rPr>
      </w:pPr>
      <w:r>
        <w:rPr>
          <w:spacing w:val="-3"/>
          <w:sz w:val="21"/>
        </w:rPr>
        <w:t>设计文件应明确建筑主要功能房间的照明功率密度值不应高于现行国家标准《建筑照明设计标准》</w:t>
      </w:r>
      <w:r>
        <w:rPr>
          <w:rFonts w:ascii="Times New Roman" w:eastAsia="Times New Roman"/>
          <w:sz w:val="21"/>
        </w:rPr>
        <w:t>GB</w:t>
      </w:r>
      <w:r>
        <w:rPr>
          <w:rFonts w:ascii="Times New Roman" w:eastAsia="Times New Roman"/>
          <w:spacing w:val="1"/>
          <w:sz w:val="21"/>
        </w:rPr>
        <w:t xml:space="preserve"> </w:t>
      </w:r>
      <w:r>
        <w:rPr>
          <w:rFonts w:ascii="Times New Roman" w:eastAsia="Times New Roman"/>
          <w:sz w:val="21"/>
        </w:rPr>
        <w:t>50034</w:t>
      </w:r>
      <w:r>
        <w:rPr>
          <w:rFonts w:ascii="Times New Roman" w:eastAsia="Times New Roman"/>
          <w:spacing w:val="-3"/>
          <w:sz w:val="21"/>
        </w:rPr>
        <w:t xml:space="preserve"> </w:t>
      </w:r>
      <w:r>
        <w:rPr>
          <w:spacing w:val="-2"/>
          <w:sz w:val="21"/>
        </w:rPr>
        <w:t>规定的现行值。</w:t>
      </w:r>
    </w:p>
    <w:p>
      <w:pPr>
        <w:pStyle w:val="9"/>
        <w:numPr>
          <w:ilvl w:val="0"/>
          <w:numId w:val="32"/>
        </w:numPr>
        <w:tabs>
          <w:tab w:val="left" w:pos="859"/>
          <w:tab w:val="left" w:pos="860"/>
        </w:tabs>
        <w:spacing w:before="0" w:after="0" w:line="267" w:lineRule="exact"/>
        <w:ind w:left="859" w:right="0" w:hanging="316"/>
        <w:jc w:val="left"/>
        <w:rPr>
          <w:sz w:val="21"/>
        </w:rPr>
      </w:pPr>
      <w:r>
        <w:rPr>
          <w:spacing w:val="-3"/>
          <w:sz w:val="21"/>
        </w:rPr>
        <w:t>公共区域的照明系统采用分区、定时、感应等节能控制。</w:t>
      </w:r>
    </w:p>
    <w:p>
      <w:pPr>
        <w:pStyle w:val="3"/>
        <w:spacing w:before="2"/>
        <w:rPr>
          <w:sz w:val="18"/>
        </w:rPr>
      </w:pPr>
    </w:p>
    <w:p>
      <w:pPr>
        <w:pStyle w:val="9"/>
        <w:numPr>
          <w:ilvl w:val="0"/>
          <w:numId w:val="32"/>
        </w:numPr>
        <w:tabs>
          <w:tab w:val="left" w:pos="859"/>
          <w:tab w:val="left" w:pos="860"/>
        </w:tabs>
        <w:spacing w:before="0" w:after="0" w:line="240" w:lineRule="auto"/>
        <w:ind w:left="859" w:right="0" w:hanging="316"/>
        <w:jc w:val="left"/>
        <w:rPr>
          <w:sz w:val="21"/>
        </w:rPr>
      </w:pPr>
      <w:r>
        <w:rPr>
          <w:spacing w:val="-3"/>
          <w:sz w:val="21"/>
        </w:rPr>
        <w:t>采光区域的照明控制独立于其他区域的照明控制。</w:t>
      </w:r>
    </w:p>
    <w:p>
      <w:pPr>
        <w:pStyle w:val="3"/>
        <w:rPr>
          <w:sz w:val="18"/>
        </w:rPr>
      </w:pPr>
    </w:p>
    <w:p>
      <w:pPr>
        <w:pStyle w:val="3"/>
        <w:spacing w:line="446" w:lineRule="auto"/>
        <w:ind w:left="120" w:right="106" w:firstLine="420"/>
      </w:pPr>
      <w:r>
        <w:rPr>
          <w:spacing w:val="-12"/>
        </w:rPr>
        <w:t>本条的审查方法为：审查相关设计文件</w:t>
      </w:r>
      <w:r>
        <w:rPr>
          <w:spacing w:val="-3"/>
        </w:rPr>
        <w:t>（</w:t>
      </w:r>
      <w:r>
        <w:rPr>
          <w:spacing w:val="-8"/>
        </w:rPr>
        <w:t>包含电气照明系统图、电气照明平面施工图</w:t>
      </w:r>
      <w:r>
        <w:rPr>
          <w:spacing w:val="-51"/>
        </w:rPr>
        <w:t>）</w:t>
      </w:r>
      <w:r>
        <w:t>、</w:t>
      </w:r>
      <w:r>
        <w:rPr>
          <w:spacing w:val="-6"/>
        </w:rPr>
        <w:t>设计说明</w:t>
      </w:r>
      <w:r>
        <w:rPr>
          <w:spacing w:val="-3"/>
        </w:rPr>
        <w:t>（</w:t>
      </w:r>
      <w:r>
        <w:rPr>
          <w:spacing w:val="-7"/>
        </w:rPr>
        <w:t>包含照明设计要求、照明设计标准、照明控制措施等</w:t>
      </w:r>
      <w:r>
        <w:rPr>
          <w:spacing w:val="-20"/>
        </w:rPr>
        <w:t>）</w:t>
      </w:r>
      <w:r>
        <w:rPr>
          <w:spacing w:val="-6"/>
        </w:rPr>
        <w:t>、建筑照明功率密度计算</w:t>
      </w:r>
      <w:r>
        <w:rPr>
          <w:spacing w:val="-4"/>
        </w:rPr>
        <w:t>分析报告。</w:t>
      </w:r>
    </w:p>
    <w:p>
      <w:pPr>
        <w:pStyle w:val="9"/>
        <w:numPr>
          <w:ilvl w:val="2"/>
          <w:numId w:val="29"/>
        </w:numPr>
        <w:tabs>
          <w:tab w:val="left" w:pos="857"/>
          <w:tab w:val="left" w:pos="858"/>
        </w:tabs>
        <w:spacing w:before="0" w:after="0" w:line="446" w:lineRule="auto"/>
        <w:ind w:left="540" w:right="2113" w:hanging="420"/>
        <w:jc w:val="left"/>
        <w:rPr>
          <w:sz w:val="21"/>
        </w:rPr>
      </w:pPr>
      <w:r>
        <w:rPr>
          <w:spacing w:val="-3"/>
          <w:sz w:val="21"/>
        </w:rPr>
        <w:t>冷热源、输配系统和照明等各部分能耗应进行独立分项计量。审查说明主要内容：</w:t>
      </w:r>
    </w:p>
    <w:p>
      <w:pPr>
        <w:pStyle w:val="9"/>
        <w:numPr>
          <w:ilvl w:val="0"/>
          <w:numId w:val="33"/>
        </w:numPr>
        <w:tabs>
          <w:tab w:val="left" w:pos="860"/>
          <w:tab w:val="left" w:pos="861"/>
        </w:tabs>
        <w:spacing w:before="0" w:after="0" w:line="240" w:lineRule="auto"/>
        <w:ind w:left="860" w:right="0" w:hanging="317"/>
        <w:jc w:val="left"/>
        <w:rPr>
          <w:sz w:val="21"/>
        </w:rPr>
      </w:pPr>
      <w:r>
        <w:rPr>
          <w:spacing w:val="-3"/>
          <w:sz w:val="21"/>
        </w:rPr>
        <w:t>设计文件应明确建筑冷热源、输配系统和照明的电力分项计量情况。</w:t>
      </w:r>
    </w:p>
    <w:p>
      <w:pPr>
        <w:pStyle w:val="3"/>
        <w:spacing w:before="11"/>
        <w:rPr>
          <w:sz w:val="17"/>
        </w:rPr>
      </w:pPr>
    </w:p>
    <w:p>
      <w:pPr>
        <w:pStyle w:val="9"/>
        <w:numPr>
          <w:ilvl w:val="0"/>
          <w:numId w:val="33"/>
        </w:numPr>
        <w:tabs>
          <w:tab w:val="left" w:pos="860"/>
          <w:tab w:val="left" w:pos="861"/>
        </w:tabs>
        <w:spacing w:before="0" w:after="0" w:line="240" w:lineRule="auto"/>
        <w:ind w:left="860" w:right="0" w:hanging="317"/>
        <w:jc w:val="left"/>
        <w:rPr>
          <w:sz w:val="21"/>
        </w:rPr>
      </w:pPr>
      <w:r>
        <w:rPr>
          <w:spacing w:val="-3"/>
          <w:sz w:val="21"/>
        </w:rPr>
        <w:t>自备冷热源建筑的设计文件应明确燃油、燃气、热力等能耗分项计量情况。</w:t>
      </w:r>
    </w:p>
    <w:p>
      <w:pPr>
        <w:pStyle w:val="3"/>
        <w:rPr>
          <w:sz w:val="18"/>
        </w:rPr>
      </w:pPr>
    </w:p>
    <w:p>
      <w:pPr>
        <w:pStyle w:val="3"/>
        <w:ind w:left="541"/>
      </w:pPr>
      <w:r>
        <w:t>本条的审查方法：审查相关设计文件（含电气、暖通、动力的设计文件和计算书）。</w:t>
      </w:r>
    </w:p>
    <w:p>
      <w:pPr>
        <w:pStyle w:val="3"/>
        <w:spacing w:before="1"/>
        <w:rPr>
          <w:sz w:val="18"/>
        </w:rPr>
      </w:pPr>
    </w:p>
    <w:p>
      <w:pPr>
        <w:pStyle w:val="9"/>
        <w:numPr>
          <w:ilvl w:val="2"/>
          <w:numId w:val="29"/>
        </w:numPr>
        <w:tabs>
          <w:tab w:val="left" w:pos="857"/>
          <w:tab w:val="left" w:pos="859"/>
        </w:tabs>
        <w:spacing w:before="1" w:after="0" w:line="446" w:lineRule="auto"/>
        <w:ind w:left="121" w:right="211" w:firstLine="0"/>
        <w:jc w:val="left"/>
        <w:rPr>
          <w:sz w:val="21"/>
        </w:rPr>
      </w:pPr>
      <w:r>
        <w:rPr>
          <w:spacing w:val="-3"/>
          <w:sz w:val="21"/>
        </w:rPr>
        <w:t>垂直电梯应采取群控、变频调速或能量反馈等节能措施；自动扶梯应采用变频感应启动等节能控制措施。</w:t>
      </w:r>
    </w:p>
    <w:p>
      <w:pPr>
        <w:pStyle w:val="3"/>
        <w:spacing w:line="267" w:lineRule="exact"/>
        <w:ind w:left="541"/>
      </w:pPr>
      <w:r>
        <w:t>审查说明主要内容：</w:t>
      </w:r>
    </w:p>
    <w:p>
      <w:pPr>
        <w:pStyle w:val="3"/>
        <w:spacing w:before="1"/>
        <w:rPr>
          <w:sz w:val="18"/>
        </w:rPr>
      </w:pPr>
    </w:p>
    <w:p>
      <w:pPr>
        <w:pStyle w:val="9"/>
        <w:numPr>
          <w:ilvl w:val="0"/>
          <w:numId w:val="34"/>
        </w:numPr>
        <w:tabs>
          <w:tab w:val="left" w:pos="860"/>
          <w:tab w:val="left" w:pos="861"/>
        </w:tabs>
        <w:spacing w:before="1" w:after="0" w:line="446" w:lineRule="auto"/>
        <w:ind w:left="121" w:right="106" w:firstLine="422"/>
        <w:jc w:val="left"/>
        <w:rPr>
          <w:sz w:val="21"/>
        </w:rPr>
      </w:pPr>
      <w:r>
        <w:rPr>
          <w:spacing w:val="-9"/>
          <w:sz w:val="21"/>
        </w:rPr>
        <w:t xml:space="preserve">设计文件应明确垂直电梯采取群控、变频调速、能量再生回馈等至少一项节能技术， </w:t>
      </w:r>
      <w:r>
        <w:rPr>
          <w:spacing w:val="-5"/>
          <w:sz w:val="21"/>
        </w:rPr>
        <w:t>实现电梯节能。</w:t>
      </w:r>
    </w:p>
    <w:p>
      <w:pPr>
        <w:pStyle w:val="9"/>
        <w:numPr>
          <w:ilvl w:val="0"/>
          <w:numId w:val="34"/>
        </w:numPr>
        <w:tabs>
          <w:tab w:val="left" w:pos="860"/>
          <w:tab w:val="left" w:pos="861"/>
        </w:tabs>
        <w:spacing w:before="0" w:after="0" w:line="267" w:lineRule="exact"/>
        <w:ind w:left="860" w:right="0" w:hanging="317"/>
        <w:jc w:val="left"/>
        <w:rPr>
          <w:sz w:val="21"/>
        </w:rPr>
      </w:pPr>
      <w:r>
        <w:rPr>
          <w:spacing w:val="-3"/>
          <w:sz w:val="21"/>
        </w:rPr>
        <w:t>设计文件应明确扶梯采用变频感应启动技术来降低使用能耗。</w:t>
      </w:r>
    </w:p>
    <w:p>
      <w:pPr>
        <w:pStyle w:val="3"/>
        <w:spacing w:before="1"/>
        <w:rPr>
          <w:sz w:val="18"/>
        </w:rPr>
      </w:pPr>
    </w:p>
    <w:p>
      <w:pPr>
        <w:pStyle w:val="3"/>
        <w:ind w:left="541"/>
      </w:pPr>
      <w:r>
        <w:rPr>
          <w:spacing w:val="-3"/>
        </w:rPr>
        <w:t>本条的审查方法为：审查相关设计文件、电梯与自动扶梯选型参数表。</w:t>
      </w:r>
    </w:p>
    <w:p>
      <w:pPr>
        <w:pStyle w:val="3"/>
        <w:rPr>
          <w:sz w:val="18"/>
        </w:rPr>
      </w:pPr>
    </w:p>
    <w:p>
      <w:pPr>
        <w:pStyle w:val="9"/>
        <w:numPr>
          <w:ilvl w:val="2"/>
          <w:numId w:val="29"/>
        </w:numPr>
        <w:tabs>
          <w:tab w:val="left" w:pos="857"/>
          <w:tab w:val="left" w:pos="858"/>
        </w:tabs>
        <w:spacing w:before="0" w:after="0" w:line="240" w:lineRule="auto"/>
        <w:ind w:left="857" w:right="0" w:hanging="737"/>
        <w:jc w:val="left"/>
        <w:rPr>
          <w:sz w:val="21"/>
        </w:rPr>
      </w:pPr>
      <w:r>
        <w:rPr>
          <w:spacing w:val="-3"/>
          <w:sz w:val="21"/>
        </w:rPr>
        <w:t>应制定水资源利用方案,统筹利用各种水资源,并应符合下列规定：</w:t>
      </w:r>
    </w:p>
    <w:p>
      <w:pPr>
        <w:pStyle w:val="3"/>
        <w:spacing w:before="12"/>
        <w:rPr>
          <w:sz w:val="17"/>
        </w:rPr>
      </w:pPr>
    </w:p>
    <w:p>
      <w:pPr>
        <w:pStyle w:val="9"/>
        <w:numPr>
          <w:ilvl w:val="0"/>
          <w:numId w:val="35"/>
        </w:numPr>
        <w:tabs>
          <w:tab w:val="left" w:pos="860"/>
          <w:tab w:val="left" w:pos="861"/>
        </w:tabs>
        <w:spacing w:before="0" w:after="0" w:line="240" w:lineRule="auto"/>
        <w:ind w:left="860" w:right="0" w:hanging="317"/>
        <w:jc w:val="left"/>
        <w:rPr>
          <w:sz w:val="21"/>
        </w:rPr>
      </w:pPr>
      <w:r>
        <w:rPr>
          <w:spacing w:val="-3"/>
          <w:sz w:val="21"/>
        </w:rPr>
        <w:t>应按使用用途、付费或管理单元,分别设置用水计量装置。</w:t>
      </w:r>
    </w:p>
    <w:p>
      <w:pPr>
        <w:pStyle w:val="3"/>
        <w:spacing w:before="2"/>
        <w:rPr>
          <w:sz w:val="18"/>
        </w:rPr>
      </w:pPr>
    </w:p>
    <w:p>
      <w:pPr>
        <w:pStyle w:val="9"/>
        <w:numPr>
          <w:ilvl w:val="0"/>
          <w:numId w:val="35"/>
        </w:numPr>
        <w:tabs>
          <w:tab w:val="left" w:pos="860"/>
          <w:tab w:val="left" w:pos="861"/>
        </w:tabs>
        <w:spacing w:before="0" w:after="0" w:line="240" w:lineRule="auto"/>
        <w:ind w:left="860" w:right="0" w:hanging="317"/>
        <w:jc w:val="left"/>
        <w:rPr>
          <w:sz w:val="21"/>
        </w:rPr>
      </w:pPr>
      <w:r>
        <w:rPr>
          <w:spacing w:val="-10"/>
          <w:sz w:val="21"/>
        </w:rPr>
        <w:t xml:space="preserve">用水点处水压大于 </w:t>
      </w:r>
      <w:r>
        <w:rPr>
          <w:rFonts w:ascii="Times New Roman" w:eastAsia="Times New Roman"/>
          <w:sz w:val="21"/>
        </w:rPr>
        <w:t>0.2MPa</w:t>
      </w:r>
      <w:r>
        <w:rPr>
          <w:rFonts w:ascii="Times New Roman" w:eastAsia="Times New Roman"/>
          <w:spacing w:val="-5"/>
          <w:sz w:val="21"/>
        </w:rPr>
        <w:t xml:space="preserve"> </w:t>
      </w:r>
      <w:r>
        <w:rPr>
          <w:spacing w:val="-3"/>
          <w:sz w:val="21"/>
        </w:rPr>
        <w:t>的配水支管应设置减压设施,并应满足给水配件最低工作</w:t>
      </w:r>
    </w:p>
    <w:p>
      <w:pPr>
        <w:spacing w:after="0" w:line="240" w:lineRule="auto"/>
        <w:jc w:val="left"/>
        <w:rPr>
          <w:sz w:val="21"/>
        </w:rPr>
        <w:sectPr>
          <w:pgSz w:w="11910" w:h="16850"/>
          <w:pgMar w:top="1580" w:right="1580" w:bottom="1180" w:left="1680" w:header="0" w:footer="997" w:gutter="0"/>
        </w:sectPr>
      </w:pPr>
    </w:p>
    <w:p>
      <w:pPr>
        <w:pStyle w:val="3"/>
        <w:spacing w:before="50"/>
        <w:ind w:left="120"/>
      </w:pPr>
      <w:r>
        <w:t>压力的要求。</w:t>
      </w:r>
    </w:p>
    <w:p>
      <w:pPr>
        <w:pStyle w:val="3"/>
        <w:spacing w:before="12"/>
        <w:rPr>
          <w:sz w:val="17"/>
        </w:rPr>
      </w:pPr>
    </w:p>
    <w:p>
      <w:pPr>
        <w:pStyle w:val="9"/>
        <w:numPr>
          <w:ilvl w:val="0"/>
          <w:numId w:val="35"/>
        </w:numPr>
        <w:tabs>
          <w:tab w:val="left" w:pos="859"/>
          <w:tab w:val="left" w:pos="860"/>
        </w:tabs>
        <w:spacing w:before="0" w:after="0" w:line="446" w:lineRule="auto"/>
        <w:ind w:left="540" w:right="4002" w:firstLine="2"/>
        <w:jc w:val="left"/>
        <w:rPr>
          <w:sz w:val="21"/>
        </w:rPr>
      </w:pPr>
      <w:r>
        <w:rPr>
          <w:spacing w:val="-4"/>
          <w:sz w:val="21"/>
        </w:rPr>
        <w:t>用水器具和设备应满足节水产品的要求。</w:t>
      </w:r>
      <w:r>
        <w:rPr>
          <w:spacing w:val="-3"/>
          <w:sz w:val="21"/>
        </w:rPr>
        <w:t>审查说明主要内容：</w:t>
      </w:r>
    </w:p>
    <w:p>
      <w:pPr>
        <w:pStyle w:val="9"/>
        <w:numPr>
          <w:ilvl w:val="0"/>
          <w:numId w:val="36"/>
        </w:numPr>
        <w:tabs>
          <w:tab w:val="left" w:pos="859"/>
          <w:tab w:val="left" w:pos="860"/>
        </w:tabs>
        <w:spacing w:before="0" w:after="0" w:line="240" w:lineRule="auto"/>
        <w:ind w:left="859" w:right="0" w:hanging="317"/>
        <w:jc w:val="left"/>
        <w:rPr>
          <w:sz w:val="21"/>
        </w:rPr>
      </w:pPr>
      <w:r>
        <w:rPr>
          <w:spacing w:val="-3"/>
          <w:sz w:val="21"/>
        </w:rPr>
        <w:t>设计说明明确用水计量装置设置情况，设计图明确用水计量装置的设置。</w:t>
      </w:r>
    </w:p>
    <w:p>
      <w:pPr>
        <w:pStyle w:val="3"/>
        <w:spacing w:before="12"/>
        <w:rPr>
          <w:sz w:val="17"/>
        </w:rPr>
      </w:pPr>
    </w:p>
    <w:p>
      <w:pPr>
        <w:pStyle w:val="9"/>
        <w:numPr>
          <w:ilvl w:val="0"/>
          <w:numId w:val="36"/>
        </w:numPr>
        <w:tabs>
          <w:tab w:val="left" w:pos="860"/>
        </w:tabs>
        <w:spacing w:before="0" w:after="0" w:line="446" w:lineRule="auto"/>
        <w:ind w:left="120" w:right="212" w:firstLine="422"/>
        <w:jc w:val="both"/>
        <w:rPr>
          <w:sz w:val="21"/>
        </w:rPr>
      </w:pPr>
      <w:r>
        <w:rPr>
          <w:spacing w:val="-3"/>
          <w:sz w:val="21"/>
        </w:rPr>
        <w:t xml:space="preserve">设计说明明确用水点处水压大于 </w:t>
      </w:r>
      <w:r>
        <w:rPr>
          <w:rFonts w:ascii="Times New Roman" w:eastAsia="Times New Roman"/>
          <w:sz w:val="21"/>
        </w:rPr>
        <w:t>0.2MPa</w:t>
      </w:r>
      <w:r>
        <w:rPr>
          <w:rFonts w:ascii="Times New Roman" w:eastAsia="Times New Roman"/>
          <w:spacing w:val="6"/>
          <w:sz w:val="21"/>
        </w:rPr>
        <w:t xml:space="preserve"> </w:t>
      </w:r>
      <w:r>
        <w:rPr>
          <w:spacing w:val="-3"/>
          <w:sz w:val="21"/>
        </w:rPr>
        <w:t>的配水支管减压设施的设置情况。如有最</w:t>
      </w:r>
      <w:r>
        <w:rPr>
          <w:spacing w:val="-9"/>
          <w:sz w:val="21"/>
        </w:rPr>
        <w:t>低工作压力要求的器具、配件，应注明满足给水配件最低工作压力的要求，并提供各层用水</w:t>
      </w:r>
      <w:r>
        <w:rPr>
          <w:spacing w:val="-5"/>
          <w:sz w:val="21"/>
        </w:rPr>
        <w:t>点压力及系统水力计算书。</w:t>
      </w:r>
    </w:p>
    <w:p>
      <w:pPr>
        <w:pStyle w:val="9"/>
        <w:numPr>
          <w:ilvl w:val="0"/>
          <w:numId w:val="36"/>
        </w:numPr>
        <w:tabs>
          <w:tab w:val="left" w:pos="859"/>
          <w:tab w:val="left" w:pos="860"/>
        </w:tabs>
        <w:spacing w:before="0" w:after="0" w:line="268" w:lineRule="exact"/>
        <w:ind w:left="859" w:right="0" w:hanging="317"/>
        <w:jc w:val="left"/>
        <w:rPr>
          <w:sz w:val="21"/>
        </w:rPr>
      </w:pPr>
      <w:r>
        <w:rPr>
          <w:spacing w:val="-3"/>
          <w:sz w:val="21"/>
        </w:rPr>
        <w:t>设计说明明确用水器具的节水等级。</w:t>
      </w:r>
    </w:p>
    <w:p>
      <w:pPr>
        <w:pStyle w:val="3"/>
        <w:spacing w:before="2"/>
        <w:rPr>
          <w:sz w:val="18"/>
        </w:rPr>
      </w:pPr>
    </w:p>
    <w:p>
      <w:pPr>
        <w:pStyle w:val="3"/>
        <w:ind w:left="540"/>
      </w:pPr>
      <w:r>
        <w:t>本条的审查方法：审核相关设计文件和水力计算书。</w:t>
      </w:r>
    </w:p>
    <w:p>
      <w:pPr>
        <w:pStyle w:val="3"/>
        <w:rPr>
          <w:sz w:val="18"/>
        </w:rPr>
      </w:pPr>
    </w:p>
    <w:p>
      <w:pPr>
        <w:pStyle w:val="9"/>
        <w:numPr>
          <w:ilvl w:val="2"/>
          <w:numId w:val="29"/>
        </w:numPr>
        <w:tabs>
          <w:tab w:val="left" w:pos="856"/>
          <w:tab w:val="left" w:pos="858"/>
        </w:tabs>
        <w:spacing w:before="0" w:after="0" w:line="446" w:lineRule="auto"/>
        <w:ind w:left="540" w:right="3162" w:hanging="420"/>
        <w:jc w:val="left"/>
        <w:rPr>
          <w:sz w:val="21"/>
        </w:rPr>
      </w:pPr>
      <w:r>
        <w:rPr>
          <w:spacing w:val="-4"/>
          <w:sz w:val="21"/>
        </w:rPr>
        <w:t>不应采用建筑形体和布置严重不规则的建筑结构。</w:t>
      </w:r>
      <w:r>
        <w:rPr>
          <w:spacing w:val="-3"/>
          <w:sz w:val="21"/>
        </w:rPr>
        <w:t>审查说明主要内容：</w:t>
      </w:r>
    </w:p>
    <w:p>
      <w:pPr>
        <w:pStyle w:val="3"/>
        <w:ind w:left="540"/>
      </w:pPr>
      <w:r>
        <w:t>设计文件应明确设计图符合国家标准《建筑抗震设计规范》</w:t>
      </w:r>
      <w:r>
        <w:rPr>
          <w:rFonts w:ascii="Times New Roman" w:eastAsia="Times New Roman"/>
        </w:rPr>
        <w:t>GB 50011-2010</w:t>
      </w:r>
      <w:r>
        <w:t>(</w:t>
      </w:r>
      <w:r>
        <w:rPr>
          <w:rFonts w:ascii="Times New Roman" w:eastAsia="Times New Roman"/>
        </w:rPr>
        <w:t xml:space="preserve">2016 </w:t>
      </w:r>
      <w:r>
        <w:t>年版)</w:t>
      </w:r>
    </w:p>
    <w:p>
      <w:pPr>
        <w:pStyle w:val="3"/>
        <w:spacing w:before="12"/>
        <w:rPr>
          <w:sz w:val="17"/>
        </w:rPr>
      </w:pPr>
    </w:p>
    <w:p>
      <w:pPr>
        <w:pStyle w:val="3"/>
        <w:spacing w:line="446" w:lineRule="auto"/>
        <w:ind w:left="540" w:right="2474" w:hanging="421"/>
      </w:pPr>
      <w:r>
        <w:t xml:space="preserve">第 </w:t>
      </w:r>
      <w:r>
        <w:rPr>
          <w:rFonts w:ascii="Times New Roman" w:hAnsi="Times New Roman" w:eastAsia="Times New Roman"/>
        </w:rPr>
        <w:t xml:space="preserve">3.4.1 </w:t>
      </w:r>
      <w:r>
        <w:t>条(强制性条文)“严重不规则的建筑不应采用”的规定。本条的审查方法为：审查结构设计图纸及结构计算书。</w:t>
      </w:r>
    </w:p>
    <w:p>
      <w:pPr>
        <w:pStyle w:val="9"/>
        <w:numPr>
          <w:ilvl w:val="2"/>
          <w:numId w:val="29"/>
        </w:numPr>
        <w:tabs>
          <w:tab w:val="left" w:pos="857"/>
          <w:tab w:val="left" w:pos="858"/>
        </w:tabs>
        <w:spacing w:before="0" w:after="0" w:line="240" w:lineRule="auto"/>
        <w:ind w:left="857" w:right="0" w:hanging="737"/>
        <w:jc w:val="left"/>
        <w:rPr>
          <w:sz w:val="21"/>
        </w:rPr>
      </w:pPr>
      <w:r>
        <w:rPr>
          <w:spacing w:val="-3"/>
          <w:sz w:val="21"/>
        </w:rPr>
        <w:t>建筑造型要素应简约，应无大量装饰性构件，并应符合下列规定：</w:t>
      </w:r>
    </w:p>
    <w:p>
      <w:pPr>
        <w:pStyle w:val="3"/>
        <w:rPr>
          <w:sz w:val="18"/>
        </w:rPr>
      </w:pPr>
    </w:p>
    <w:p>
      <w:pPr>
        <w:pStyle w:val="9"/>
        <w:numPr>
          <w:ilvl w:val="0"/>
          <w:numId w:val="37"/>
        </w:numPr>
        <w:tabs>
          <w:tab w:val="left" w:pos="859"/>
          <w:tab w:val="left" w:pos="860"/>
        </w:tabs>
        <w:spacing w:before="0" w:after="0" w:line="240" w:lineRule="auto"/>
        <w:ind w:left="859" w:right="0" w:hanging="316"/>
        <w:jc w:val="left"/>
        <w:rPr>
          <w:sz w:val="21"/>
        </w:rPr>
      </w:pPr>
      <w:r>
        <w:rPr>
          <w:spacing w:val="-3"/>
          <w:sz w:val="21"/>
        </w:rPr>
        <w:t>住宅建筑的装饰性构件造价占建筑总造价的比例不应大于</w:t>
      </w:r>
      <w:r>
        <w:rPr>
          <w:rFonts w:ascii="Times New Roman" w:eastAsia="Times New Roman"/>
          <w:sz w:val="21"/>
        </w:rPr>
        <w:t>2%</w:t>
      </w:r>
      <w:r>
        <w:rPr>
          <w:sz w:val="21"/>
        </w:rPr>
        <w:t>。</w:t>
      </w:r>
    </w:p>
    <w:p>
      <w:pPr>
        <w:pStyle w:val="3"/>
        <w:spacing w:before="12"/>
        <w:rPr>
          <w:sz w:val="17"/>
        </w:rPr>
      </w:pPr>
    </w:p>
    <w:p>
      <w:pPr>
        <w:pStyle w:val="9"/>
        <w:numPr>
          <w:ilvl w:val="0"/>
          <w:numId w:val="37"/>
        </w:numPr>
        <w:tabs>
          <w:tab w:val="left" w:pos="859"/>
          <w:tab w:val="left" w:pos="860"/>
        </w:tabs>
        <w:spacing w:before="0" w:after="0" w:line="446" w:lineRule="auto"/>
        <w:ind w:left="540" w:right="2041" w:firstLine="3"/>
        <w:jc w:val="left"/>
        <w:rPr>
          <w:sz w:val="21"/>
        </w:rPr>
      </w:pPr>
      <w:r>
        <w:rPr>
          <w:spacing w:val="-3"/>
          <w:sz w:val="21"/>
        </w:rPr>
        <w:t>公共建筑的装饰性构件造价占建筑总造价的比例不应大于</w:t>
      </w:r>
      <w:r>
        <w:rPr>
          <w:rFonts w:ascii="Times New Roman" w:eastAsia="Times New Roman"/>
          <w:sz w:val="21"/>
        </w:rPr>
        <w:t>1%</w:t>
      </w:r>
      <w:r>
        <w:rPr>
          <w:sz w:val="21"/>
        </w:rPr>
        <w:t>。</w:t>
      </w:r>
      <w:r>
        <w:rPr>
          <w:spacing w:val="-3"/>
          <w:sz w:val="21"/>
        </w:rPr>
        <w:t>审查说明主要内容：</w:t>
      </w:r>
    </w:p>
    <w:p>
      <w:pPr>
        <w:pStyle w:val="9"/>
        <w:numPr>
          <w:ilvl w:val="0"/>
          <w:numId w:val="38"/>
        </w:numPr>
        <w:tabs>
          <w:tab w:val="left" w:pos="859"/>
          <w:tab w:val="left" w:pos="861"/>
        </w:tabs>
        <w:spacing w:before="0" w:after="0" w:line="446" w:lineRule="auto"/>
        <w:ind w:left="120" w:right="212" w:firstLine="423"/>
        <w:jc w:val="left"/>
        <w:rPr>
          <w:sz w:val="21"/>
        </w:rPr>
      </w:pPr>
      <w:r>
        <w:rPr>
          <w:spacing w:val="-3"/>
          <w:sz w:val="21"/>
        </w:rPr>
        <w:t>建筑造型设计鼓励使用装饰和功能一体化构件，在满足建筑功能的前提之下，体现美学效果、节约资源。</w:t>
      </w:r>
    </w:p>
    <w:p>
      <w:pPr>
        <w:pStyle w:val="9"/>
        <w:numPr>
          <w:ilvl w:val="0"/>
          <w:numId w:val="38"/>
        </w:numPr>
        <w:tabs>
          <w:tab w:val="left" w:pos="859"/>
          <w:tab w:val="left" w:pos="861"/>
        </w:tabs>
        <w:spacing w:before="0" w:after="0" w:line="446" w:lineRule="auto"/>
        <w:ind w:left="120" w:right="106" w:firstLine="423"/>
        <w:jc w:val="left"/>
        <w:rPr>
          <w:sz w:val="21"/>
        </w:rPr>
      </w:pPr>
      <w:r>
        <w:rPr>
          <w:spacing w:val="-7"/>
          <w:sz w:val="21"/>
        </w:rPr>
        <w:t>应特别注意设置屋顶装饰性构件时的鞭梢效应等抗震问题。对于不具备遮阳、导光、</w:t>
      </w:r>
      <w:r>
        <w:rPr>
          <w:spacing w:val="-13"/>
          <w:sz w:val="21"/>
        </w:rPr>
        <w:t>导风、载物、辅助绿化等作用的飘板、格栅、构架和塔、球、曲面等装饰性构件，应对其设</w:t>
      </w:r>
      <w:r>
        <w:rPr>
          <w:spacing w:val="-6"/>
          <w:sz w:val="21"/>
        </w:rPr>
        <w:t>置的数量及造价进行控制。</w:t>
      </w:r>
    </w:p>
    <w:p>
      <w:pPr>
        <w:pStyle w:val="9"/>
        <w:numPr>
          <w:ilvl w:val="0"/>
          <w:numId w:val="38"/>
        </w:numPr>
        <w:tabs>
          <w:tab w:val="left" w:pos="859"/>
          <w:tab w:val="left" w:pos="861"/>
        </w:tabs>
        <w:spacing w:before="0" w:after="0" w:line="268" w:lineRule="exact"/>
        <w:ind w:left="860" w:right="0" w:hanging="317"/>
        <w:jc w:val="left"/>
        <w:rPr>
          <w:sz w:val="21"/>
        </w:rPr>
      </w:pPr>
      <w:r>
        <w:rPr>
          <w:spacing w:val="-3"/>
          <w:sz w:val="21"/>
        </w:rPr>
        <w:t>装饰性构件造价比例计算结果应满足本条规定。</w:t>
      </w:r>
    </w:p>
    <w:p>
      <w:pPr>
        <w:pStyle w:val="3"/>
        <w:rPr>
          <w:sz w:val="18"/>
        </w:rPr>
      </w:pPr>
    </w:p>
    <w:p>
      <w:pPr>
        <w:pStyle w:val="3"/>
        <w:spacing w:line="446" w:lineRule="auto"/>
        <w:ind w:left="120" w:right="212" w:firstLine="420"/>
      </w:pPr>
      <w:r>
        <w:rPr>
          <w:spacing w:val="-21"/>
        </w:rPr>
        <w:t>本条的审查方法为：审查相关设计文件，有装饰性构件的应提供其功能说明书和造价</w:t>
      </w:r>
      <w:r>
        <w:t>（比例）</w:t>
      </w:r>
      <w:r>
        <w:rPr>
          <w:spacing w:val="-3"/>
        </w:rPr>
        <w:t>计算书。</w:t>
      </w:r>
    </w:p>
    <w:p>
      <w:pPr>
        <w:pStyle w:val="9"/>
        <w:numPr>
          <w:ilvl w:val="2"/>
          <w:numId w:val="29"/>
        </w:numPr>
        <w:tabs>
          <w:tab w:val="left" w:pos="857"/>
          <w:tab w:val="left" w:pos="858"/>
        </w:tabs>
        <w:spacing w:before="0" w:after="0" w:line="240" w:lineRule="auto"/>
        <w:ind w:left="857" w:right="0" w:hanging="737"/>
        <w:jc w:val="left"/>
        <w:rPr>
          <w:sz w:val="21"/>
        </w:rPr>
      </w:pPr>
      <w:r>
        <w:rPr>
          <w:spacing w:val="-3"/>
          <w:sz w:val="21"/>
        </w:rPr>
        <w:t>选用的建筑材料应符合下列规定：</w:t>
      </w:r>
    </w:p>
    <w:p>
      <w:pPr>
        <w:spacing w:after="0" w:line="240" w:lineRule="auto"/>
        <w:jc w:val="left"/>
        <w:rPr>
          <w:sz w:val="21"/>
        </w:rPr>
        <w:sectPr>
          <w:pgSz w:w="11910" w:h="16850"/>
          <w:pgMar w:top="1580" w:right="1580" w:bottom="1400" w:left="1680" w:header="0" w:footer="1204" w:gutter="0"/>
        </w:sectPr>
      </w:pPr>
    </w:p>
    <w:p>
      <w:pPr>
        <w:pStyle w:val="9"/>
        <w:numPr>
          <w:ilvl w:val="0"/>
          <w:numId w:val="39"/>
        </w:numPr>
        <w:tabs>
          <w:tab w:val="left" w:pos="964"/>
          <w:tab w:val="left" w:pos="965"/>
        </w:tabs>
        <w:spacing w:before="50" w:after="0" w:line="446" w:lineRule="auto"/>
        <w:ind w:left="540" w:right="1250" w:firstLine="108"/>
        <w:jc w:val="left"/>
        <w:rPr>
          <w:sz w:val="21"/>
        </w:rPr>
      </w:pPr>
      <w:r>
        <w:rPr>
          <w:rFonts w:ascii="Times New Roman" w:eastAsia="Times New Roman"/>
          <w:spacing w:val="-1"/>
          <w:sz w:val="21"/>
        </w:rPr>
        <w:t>500km</w:t>
      </w:r>
      <w:r>
        <w:rPr>
          <w:spacing w:val="-3"/>
          <w:sz w:val="21"/>
        </w:rPr>
        <w:t>以内生产的建筑材料重量占建筑材料总重量的比例应大于</w:t>
      </w:r>
      <w:r>
        <w:rPr>
          <w:rFonts w:ascii="Times New Roman" w:eastAsia="Times New Roman"/>
          <w:sz w:val="21"/>
        </w:rPr>
        <w:t>60%</w:t>
      </w:r>
      <w:r>
        <w:rPr>
          <w:sz w:val="21"/>
        </w:rPr>
        <w:t>。</w:t>
      </w:r>
      <w:r>
        <w:rPr>
          <w:spacing w:val="-3"/>
          <w:sz w:val="21"/>
        </w:rPr>
        <w:t>审查说明主要内容：</w:t>
      </w:r>
    </w:p>
    <w:p>
      <w:pPr>
        <w:pStyle w:val="3"/>
        <w:ind w:left="540"/>
      </w:pPr>
      <w:r>
        <w:t>设计阶段本条不参评。</w:t>
      </w:r>
    </w:p>
    <w:p>
      <w:pPr>
        <w:pStyle w:val="3"/>
        <w:spacing w:before="12"/>
        <w:rPr>
          <w:sz w:val="17"/>
        </w:rPr>
      </w:pPr>
    </w:p>
    <w:p>
      <w:pPr>
        <w:pStyle w:val="9"/>
        <w:numPr>
          <w:ilvl w:val="0"/>
          <w:numId w:val="39"/>
        </w:numPr>
        <w:tabs>
          <w:tab w:val="left" w:pos="962"/>
          <w:tab w:val="left" w:pos="963"/>
        </w:tabs>
        <w:spacing w:before="0" w:after="0" w:line="446" w:lineRule="auto"/>
        <w:ind w:left="540" w:right="2219" w:firstLine="105"/>
        <w:jc w:val="left"/>
        <w:rPr>
          <w:sz w:val="21"/>
        </w:rPr>
      </w:pPr>
      <w:r>
        <w:rPr>
          <w:spacing w:val="-3"/>
          <w:sz w:val="21"/>
        </w:rPr>
        <w:t>现浇混凝土应采用预拌混凝土，建筑砂浆应采用预拌砂浆。审查说明主要内容：</w:t>
      </w:r>
    </w:p>
    <w:p>
      <w:pPr>
        <w:pStyle w:val="3"/>
        <w:ind w:left="540"/>
      </w:pPr>
      <w:r>
        <w:t>设计文件中应写明现浇混凝土采用预拌混凝土及建筑砂浆采用预拌砂浆的设计要求。预</w:t>
      </w:r>
    </w:p>
    <w:p>
      <w:pPr>
        <w:pStyle w:val="3"/>
        <w:spacing w:before="163" w:line="309" w:lineRule="auto"/>
        <w:ind w:left="120" w:right="215"/>
        <w:jc w:val="both"/>
      </w:pPr>
      <w:r>
        <w:rPr>
          <w:spacing w:val="-3"/>
        </w:rPr>
        <w:t>拌混凝土应符合现行国家标准《预拌混凝土》</w:t>
      </w:r>
      <w:r>
        <w:rPr>
          <w:rFonts w:hint="eastAsia" w:ascii="微软雅黑" w:eastAsia="微软雅黑"/>
        </w:rPr>
        <w:t>GB/T 14902</w:t>
      </w:r>
      <w:r>
        <w:rPr>
          <w:rFonts w:hint="eastAsia" w:ascii="微软雅黑" w:eastAsia="微软雅黑"/>
          <w:spacing w:val="56"/>
        </w:rPr>
        <w:t xml:space="preserve"> </w:t>
      </w:r>
      <w:r>
        <w:rPr>
          <w:spacing w:val="-3"/>
        </w:rPr>
        <w:t>的性能等级、原料和配合比、质量要求等有关规定。预拌砂浆应符合现行国家标准《预拌砂浆》</w:t>
      </w:r>
      <w:r>
        <w:rPr>
          <w:rFonts w:hint="eastAsia" w:ascii="微软雅黑" w:eastAsia="微软雅黑"/>
        </w:rPr>
        <w:t>GB/T 25181</w:t>
      </w:r>
      <w:r>
        <w:rPr>
          <w:spacing w:val="-3"/>
        </w:rPr>
        <w:t>及现行行业标准《预拌砂浆应用技术规程》</w:t>
      </w:r>
      <w:r>
        <w:rPr>
          <w:rFonts w:hint="eastAsia" w:ascii="微软雅黑" w:eastAsia="微软雅黑"/>
        </w:rPr>
        <w:t xml:space="preserve">JGJ/T 223 </w:t>
      </w:r>
      <w:r>
        <w:rPr>
          <w:spacing w:val="-3"/>
        </w:rPr>
        <w:t>的材料、要求、制备等有关规定。</w:t>
      </w:r>
    </w:p>
    <w:p>
      <w:pPr>
        <w:pStyle w:val="3"/>
        <w:spacing w:before="69"/>
        <w:ind w:left="540"/>
      </w:pPr>
      <w:r>
        <w:t>本条的审查方法为：审查相关设计文件。</w:t>
      </w:r>
    </w:p>
    <w:p>
      <w:pPr>
        <w:spacing w:after="0"/>
        <w:sectPr>
          <w:pgSz w:w="11910" w:h="16850"/>
          <w:pgMar w:top="1580" w:right="1580" w:bottom="1180" w:left="1680" w:header="0" w:footer="997" w:gutter="0"/>
        </w:sectPr>
      </w:pPr>
    </w:p>
    <w:p>
      <w:pPr>
        <w:spacing w:before="57"/>
        <w:ind w:left="3362" w:right="0" w:firstLine="0"/>
        <w:jc w:val="left"/>
        <w:rPr>
          <w:rFonts w:hint="eastAsia" w:ascii="黑体" w:eastAsia="黑体"/>
          <w:sz w:val="28"/>
        </w:rPr>
      </w:pPr>
      <w:bookmarkStart w:id="35" w:name="8 环 境 宜 居"/>
      <w:bookmarkEnd w:id="35"/>
      <w:bookmarkStart w:id="36" w:name="_bookmark14"/>
      <w:bookmarkEnd w:id="36"/>
      <w:r>
        <w:rPr>
          <w:rFonts w:ascii="Times New Roman" w:eastAsia="Times New Roman"/>
          <w:b/>
          <w:sz w:val="28"/>
        </w:rPr>
        <w:t xml:space="preserve">8 </w:t>
      </w:r>
      <w:r>
        <w:rPr>
          <w:rFonts w:hint="eastAsia" w:ascii="黑体" w:eastAsia="黑体"/>
          <w:sz w:val="28"/>
        </w:rPr>
        <w:t>环 境 宜 居</w:t>
      </w:r>
    </w:p>
    <w:p>
      <w:pPr>
        <w:spacing w:before="189"/>
        <w:ind w:left="3669" w:right="0" w:firstLine="0"/>
        <w:jc w:val="left"/>
        <w:rPr>
          <w:rFonts w:hint="eastAsia" w:ascii="黑体" w:eastAsia="黑体"/>
          <w:sz w:val="21"/>
        </w:rPr>
      </w:pPr>
      <w:bookmarkStart w:id="37" w:name="8.1 控 制 项"/>
      <w:bookmarkEnd w:id="37"/>
      <w:bookmarkStart w:id="38" w:name="_bookmark15"/>
      <w:bookmarkEnd w:id="38"/>
      <w:r>
        <w:rPr>
          <w:rFonts w:ascii="Times New Roman" w:eastAsia="Times New Roman"/>
          <w:b/>
          <w:sz w:val="21"/>
        </w:rPr>
        <w:t xml:space="preserve">8.1 </w:t>
      </w:r>
      <w:r>
        <w:rPr>
          <w:rFonts w:hint="eastAsia" w:ascii="黑体" w:eastAsia="黑体"/>
          <w:sz w:val="21"/>
        </w:rPr>
        <w:t>控 制 项</w:t>
      </w:r>
    </w:p>
    <w:p>
      <w:pPr>
        <w:pStyle w:val="3"/>
        <w:spacing w:before="8"/>
        <w:rPr>
          <w:rFonts w:ascii="黑体"/>
          <w:sz w:val="25"/>
        </w:rPr>
      </w:pPr>
    </w:p>
    <w:p>
      <w:pPr>
        <w:pStyle w:val="9"/>
        <w:numPr>
          <w:ilvl w:val="2"/>
          <w:numId w:val="40"/>
        </w:numPr>
        <w:tabs>
          <w:tab w:val="left" w:pos="856"/>
          <w:tab w:val="left" w:pos="858"/>
        </w:tabs>
        <w:spacing w:before="0" w:after="0" w:line="446" w:lineRule="auto"/>
        <w:ind w:left="540" w:right="1697" w:hanging="420"/>
        <w:jc w:val="left"/>
        <w:rPr>
          <w:sz w:val="21"/>
        </w:rPr>
      </w:pPr>
      <w:r>
        <w:rPr>
          <w:spacing w:val="-3"/>
          <w:sz w:val="21"/>
        </w:rPr>
        <w:t>建筑规划布局应满足日照标准，且不得降低周边建筑的日照标准。审查说明主要内容：</w:t>
      </w:r>
    </w:p>
    <w:p>
      <w:pPr>
        <w:pStyle w:val="9"/>
        <w:numPr>
          <w:ilvl w:val="3"/>
          <w:numId w:val="40"/>
        </w:numPr>
        <w:tabs>
          <w:tab w:val="left" w:pos="860"/>
        </w:tabs>
        <w:spacing w:before="0" w:after="0" w:line="446" w:lineRule="auto"/>
        <w:ind w:left="120" w:right="212" w:firstLine="422"/>
        <w:jc w:val="both"/>
        <w:rPr>
          <w:sz w:val="21"/>
        </w:rPr>
      </w:pPr>
      <w:r>
        <w:rPr>
          <w:spacing w:val="-3"/>
          <w:sz w:val="21"/>
        </w:rPr>
        <w:t>住宅建筑、幼儿园、医院、疗养院等公共建筑日照时长应满足《城市居住区规划设计标准》</w:t>
      </w:r>
      <w:r>
        <w:rPr>
          <w:rFonts w:ascii="Times New Roman" w:eastAsia="Times New Roman"/>
          <w:sz w:val="21"/>
        </w:rPr>
        <w:t>GB</w:t>
      </w:r>
      <w:r>
        <w:rPr>
          <w:rFonts w:ascii="Times New Roman" w:eastAsia="Times New Roman"/>
          <w:spacing w:val="45"/>
          <w:sz w:val="21"/>
        </w:rPr>
        <w:t xml:space="preserve"> </w:t>
      </w:r>
      <w:r>
        <w:rPr>
          <w:rFonts w:ascii="Times New Roman" w:eastAsia="Times New Roman"/>
          <w:sz w:val="21"/>
        </w:rPr>
        <w:t>50180</w:t>
      </w:r>
      <w:r>
        <w:rPr>
          <w:spacing w:val="-3"/>
          <w:sz w:val="21"/>
        </w:rPr>
        <w:t>、《中小学校设计规范》</w:t>
      </w:r>
      <w:r>
        <w:rPr>
          <w:rFonts w:ascii="Times New Roman" w:eastAsia="Times New Roman"/>
          <w:sz w:val="21"/>
        </w:rPr>
        <w:t>GB</w:t>
      </w:r>
      <w:r>
        <w:rPr>
          <w:rFonts w:ascii="Times New Roman" w:eastAsia="Times New Roman"/>
          <w:spacing w:val="45"/>
          <w:sz w:val="21"/>
        </w:rPr>
        <w:t xml:space="preserve"> </w:t>
      </w:r>
      <w:r>
        <w:rPr>
          <w:rFonts w:ascii="Times New Roman" w:eastAsia="Times New Roman"/>
          <w:sz w:val="21"/>
        </w:rPr>
        <w:t>50099</w:t>
      </w:r>
      <w:r>
        <w:rPr>
          <w:spacing w:val="-3"/>
          <w:sz w:val="21"/>
        </w:rPr>
        <w:t>、《托儿所、幼儿园建筑设计规范》</w:t>
      </w:r>
      <w:r>
        <w:rPr>
          <w:rFonts w:ascii="Times New Roman" w:eastAsia="Times New Roman"/>
          <w:spacing w:val="-3"/>
          <w:sz w:val="21"/>
        </w:rPr>
        <w:t>JGJ</w:t>
      </w:r>
      <w:r>
        <w:rPr>
          <w:rFonts w:ascii="Times New Roman" w:eastAsia="Times New Roman"/>
          <w:spacing w:val="5"/>
          <w:sz w:val="21"/>
        </w:rPr>
        <w:t xml:space="preserve"> </w:t>
      </w:r>
      <w:r>
        <w:rPr>
          <w:rFonts w:ascii="Times New Roman" w:eastAsia="Times New Roman"/>
          <w:sz w:val="21"/>
        </w:rPr>
        <w:t>39</w:t>
      </w:r>
      <w:r>
        <w:rPr>
          <w:spacing w:val="-3"/>
          <w:sz w:val="21"/>
        </w:rPr>
        <w:t>、《城镇老年人设施规划规范》</w:t>
      </w:r>
      <w:r>
        <w:rPr>
          <w:rFonts w:ascii="Times New Roman" w:eastAsia="Times New Roman"/>
          <w:sz w:val="21"/>
        </w:rPr>
        <w:t>GB</w:t>
      </w:r>
      <w:r>
        <w:rPr>
          <w:rFonts w:ascii="Times New Roman" w:eastAsia="Times New Roman"/>
          <w:spacing w:val="3"/>
          <w:sz w:val="21"/>
        </w:rPr>
        <w:t xml:space="preserve"> </w:t>
      </w:r>
      <w:r>
        <w:rPr>
          <w:rFonts w:ascii="Times New Roman" w:eastAsia="Times New Roman"/>
          <w:sz w:val="21"/>
        </w:rPr>
        <w:t>50437</w:t>
      </w:r>
      <w:r>
        <w:rPr>
          <w:rFonts w:ascii="Times New Roman" w:eastAsia="Times New Roman"/>
          <w:spacing w:val="8"/>
          <w:sz w:val="21"/>
        </w:rPr>
        <w:t xml:space="preserve"> </w:t>
      </w:r>
      <w:r>
        <w:rPr>
          <w:spacing w:val="-3"/>
          <w:sz w:val="21"/>
        </w:rPr>
        <w:t>等相关标准要求，建筑的布局与设计时需要充分考虑上述标准要求。</w:t>
      </w:r>
    </w:p>
    <w:p>
      <w:pPr>
        <w:pStyle w:val="9"/>
        <w:numPr>
          <w:ilvl w:val="3"/>
          <w:numId w:val="40"/>
        </w:numPr>
        <w:tabs>
          <w:tab w:val="left" w:pos="859"/>
          <w:tab w:val="left" w:pos="860"/>
        </w:tabs>
        <w:spacing w:before="0" w:after="0" w:line="267" w:lineRule="exact"/>
        <w:ind w:left="859" w:right="0" w:hanging="317"/>
        <w:jc w:val="left"/>
        <w:rPr>
          <w:sz w:val="21"/>
        </w:rPr>
      </w:pPr>
      <w:r>
        <w:rPr>
          <w:spacing w:val="-3"/>
          <w:sz w:val="21"/>
        </w:rPr>
        <w:t>若没有相应标准要求，符合其城乡规划的要求即为达标。</w:t>
      </w:r>
    </w:p>
    <w:p>
      <w:pPr>
        <w:pStyle w:val="3"/>
        <w:spacing w:before="2"/>
        <w:rPr>
          <w:sz w:val="18"/>
        </w:rPr>
      </w:pPr>
    </w:p>
    <w:p>
      <w:pPr>
        <w:pStyle w:val="9"/>
        <w:numPr>
          <w:ilvl w:val="3"/>
          <w:numId w:val="40"/>
        </w:numPr>
        <w:tabs>
          <w:tab w:val="left" w:pos="859"/>
          <w:tab w:val="left" w:pos="860"/>
        </w:tabs>
        <w:spacing w:before="0" w:after="0" w:line="240" w:lineRule="auto"/>
        <w:ind w:left="859" w:right="0" w:hanging="317"/>
        <w:jc w:val="left"/>
        <w:rPr>
          <w:sz w:val="21"/>
        </w:rPr>
      </w:pPr>
      <w:r>
        <w:rPr>
          <w:spacing w:val="-3"/>
          <w:sz w:val="21"/>
        </w:rPr>
        <w:t>采用日照的模拟分析时，应满足国家、地方建筑日照计算标准的相关规定。</w:t>
      </w:r>
    </w:p>
    <w:p>
      <w:pPr>
        <w:pStyle w:val="3"/>
        <w:rPr>
          <w:sz w:val="18"/>
        </w:rPr>
      </w:pPr>
    </w:p>
    <w:p>
      <w:pPr>
        <w:pStyle w:val="9"/>
        <w:numPr>
          <w:ilvl w:val="3"/>
          <w:numId w:val="40"/>
        </w:numPr>
        <w:tabs>
          <w:tab w:val="left" w:pos="859"/>
          <w:tab w:val="left" w:pos="860"/>
        </w:tabs>
        <w:spacing w:before="0" w:after="0" w:line="240" w:lineRule="auto"/>
        <w:ind w:left="859" w:right="0" w:hanging="317"/>
        <w:jc w:val="left"/>
        <w:rPr>
          <w:sz w:val="21"/>
        </w:rPr>
      </w:pPr>
      <w:r>
        <w:rPr>
          <w:spacing w:val="-3"/>
          <w:sz w:val="21"/>
        </w:rPr>
        <w:t>对于新建项目的建设，应满足周边建筑有关日照标准的要求。</w:t>
      </w:r>
    </w:p>
    <w:p>
      <w:pPr>
        <w:pStyle w:val="3"/>
        <w:spacing w:before="12"/>
        <w:rPr>
          <w:sz w:val="17"/>
        </w:rPr>
      </w:pPr>
    </w:p>
    <w:p>
      <w:pPr>
        <w:pStyle w:val="9"/>
        <w:numPr>
          <w:ilvl w:val="3"/>
          <w:numId w:val="40"/>
        </w:numPr>
        <w:tabs>
          <w:tab w:val="left" w:pos="859"/>
          <w:tab w:val="left" w:pos="860"/>
        </w:tabs>
        <w:spacing w:before="0" w:after="0" w:line="446" w:lineRule="auto"/>
        <w:ind w:left="120" w:right="110" w:firstLine="423"/>
        <w:jc w:val="left"/>
        <w:rPr>
          <w:sz w:val="21"/>
        </w:rPr>
      </w:pPr>
      <w:r>
        <w:rPr>
          <w:spacing w:val="-3"/>
          <w:sz w:val="21"/>
        </w:rPr>
        <w:t>对于改造项目，如周边建筑改造前满足日照标准的，应保证其改造后仍符合相关日</w:t>
      </w:r>
      <w:r>
        <w:rPr>
          <w:spacing w:val="-16"/>
          <w:sz w:val="21"/>
        </w:rPr>
        <w:t>照标准的要求；如周边建筑改造前未满足日照标准的，改造后不可再降低其原有的日照水平。</w:t>
      </w:r>
    </w:p>
    <w:p>
      <w:pPr>
        <w:pStyle w:val="3"/>
        <w:ind w:left="540"/>
      </w:pPr>
      <w:r>
        <w:t>本条的审查方法：审查相关设计文件和日照分析报告。</w:t>
      </w:r>
    </w:p>
    <w:p>
      <w:pPr>
        <w:pStyle w:val="3"/>
        <w:rPr>
          <w:sz w:val="18"/>
        </w:rPr>
      </w:pPr>
    </w:p>
    <w:p>
      <w:pPr>
        <w:pStyle w:val="9"/>
        <w:numPr>
          <w:ilvl w:val="2"/>
          <w:numId w:val="40"/>
        </w:numPr>
        <w:tabs>
          <w:tab w:val="left" w:pos="857"/>
          <w:tab w:val="left" w:pos="858"/>
        </w:tabs>
        <w:spacing w:before="0" w:after="0" w:line="446" w:lineRule="auto"/>
        <w:ind w:left="540" w:right="3584" w:hanging="420"/>
        <w:jc w:val="left"/>
        <w:rPr>
          <w:sz w:val="21"/>
        </w:rPr>
      </w:pPr>
      <w:r>
        <w:rPr>
          <w:spacing w:val="-4"/>
          <w:sz w:val="21"/>
        </w:rPr>
        <w:t>室外热环境应满足国家现行有关标准的要求。</w:t>
      </w:r>
      <w:r>
        <w:rPr>
          <w:spacing w:val="-3"/>
          <w:sz w:val="21"/>
        </w:rPr>
        <w:t>审查说明主要内容：</w:t>
      </w:r>
    </w:p>
    <w:p>
      <w:pPr>
        <w:pStyle w:val="9"/>
        <w:numPr>
          <w:ilvl w:val="0"/>
          <w:numId w:val="41"/>
        </w:numPr>
        <w:tabs>
          <w:tab w:val="left" w:pos="859"/>
          <w:tab w:val="left" w:pos="860"/>
        </w:tabs>
        <w:spacing w:before="0" w:after="0" w:line="240" w:lineRule="auto"/>
        <w:ind w:left="860" w:right="0" w:hanging="317"/>
        <w:jc w:val="left"/>
        <w:rPr>
          <w:rFonts w:ascii="Times New Roman" w:eastAsia="Times New Roman"/>
          <w:sz w:val="21"/>
        </w:rPr>
      </w:pPr>
      <w:r>
        <w:rPr>
          <w:spacing w:val="-6"/>
          <w:sz w:val="21"/>
        </w:rPr>
        <w:t>居住区规划范围内的项目应按现行行业标准《城市居住区热环境设计标准》</w:t>
      </w:r>
      <w:r>
        <w:rPr>
          <w:rFonts w:ascii="Times New Roman" w:eastAsia="Times New Roman"/>
          <w:sz w:val="21"/>
        </w:rPr>
        <w:t>JGJ</w:t>
      </w:r>
      <w:r>
        <w:rPr>
          <w:rFonts w:ascii="Times New Roman" w:eastAsia="Times New Roman"/>
          <w:spacing w:val="5"/>
          <w:sz w:val="21"/>
        </w:rPr>
        <w:t xml:space="preserve"> </w:t>
      </w:r>
      <w:r>
        <w:rPr>
          <w:rFonts w:ascii="Times New Roman" w:eastAsia="Times New Roman"/>
          <w:sz w:val="21"/>
        </w:rPr>
        <w:t>286</w:t>
      </w:r>
    </w:p>
    <w:p>
      <w:pPr>
        <w:pStyle w:val="3"/>
        <w:rPr>
          <w:rFonts w:ascii="Times New Roman"/>
          <w:sz w:val="20"/>
        </w:rPr>
      </w:pPr>
    </w:p>
    <w:p>
      <w:pPr>
        <w:pStyle w:val="3"/>
        <w:ind w:left="120"/>
      </w:pPr>
      <w:r>
        <w:t>进行热环境设计。</w:t>
      </w:r>
    </w:p>
    <w:p>
      <w:pPr>
        <w:pStyle w:val="3"/>
        <w:spacing w:before="2"/>
        <w:rPr>
          <w:sz w:val="18"/>
        </w:rPr>
      </w:pPr>
    </w:p>
    <w:p>
      <w:pPr>
        <w:pStyle w:val="9"/>
        <w:numPr>
          <w:ilvl w:val="0"/>
          <w:numId w:val="41"/>
        </w:numPr>
        <w:tabs>
          <w:tab w:val="left" w:pos="860"/>
        </w:tabs>
        <w:spacing w:before="0" w:after="0" w:line="446" w:lineRule="auto"/>
        <w:ind w:left="120" w:right="212" w:firstLine="423"/>
        <w:jc w:val="both"/>
        <w:rPr>
          <w:sz w:val="21"/>
        </w:rPr>
      </w:pPr>
      <w:r>
        <w:rPr>
          <w:spacing w:val="-3"/>
          <w:sz w:val="21"/>
        </w:rPr>
        <w:t>在居住区详细规划阶段，着重审查场地热环境计算报告中的逐时湿球黑球温度和平</w:t>
      </w:r>
      <w:r>
        <w:rPr>
          <w:spacing w:val="-3"/>
          <w:w w:val="100"/>
          <w:sz w:val="21"/>
        </w:rPr>
        <w:t>均热岛强度计算结果。居住区夏季逐时湿球黑球温度不应大于</w:t>
      </w:r>
      <w:r>
        <w:rPr>
          <w:sz w:val="21"/>
        </w:rPr>
        <w:t xml:space="preserve"> </w:t>
      </w:r>
      <w:r>
        <w:rPr>
          <w:rFonts w:ascii="Times New Roman" w:hAnsi="Times New Roman" w:eastAsia="Times New Roman"/>
          <w:spacing w:val="-3"/>
          <w:w w:val="100"/>
          <w:sz w:val="21"/>
        </w:rPr>
        <w:t>3</w:t>
      </w:r>
      <w:r>
        <w:rPr>
          <w:rFonts w:ascii="Times New Roman" w:hAnsi="Times New Roman" w:eastAsia="Times New Roman"/>
          <w:w w:val="100"/>
          <w:sz w:val="21"/>
        </w:rPr>
        <w:t>3</w:t>
      </w:r>
      <w:r>
        <w:rPr>
          <w:rFonts w:ascii="Times New Roman" w:hAnsi="Times New Roman" w:eastAsia="Times New Roman"/>
          <w:sz w:val="21"/>
        </w:rPr>
        <w:t xml:space="preserve">    </w:t>
      </w:r>
      <w:r>
        <w:rPr>
          <w:rFonts w:hint="eastAsia" w:ascii="MS PGothic" w:hAnsi="MS PGothic" w:eastAsia="MS PGothic"/>
          <w:spacing w:val="-212"/>
          <w:w w:val="100"/>
          <w:sz w:val="21"/>
        </w:rPr>
        <w:t>℃</w:t>
      </w:r>
      <w:r>
        <w:rPr>
          <w:spacing w:val="-3"/>
          <w:w w:val="100"/>
          <w:sz w:val="21"/>
        </w:rPr>
        <w:t>，平均热岛强度不应大</w:t>
      </w:r>
      <w:r>
        <w:rPr>
          <w:spacing w:val="-28"/>
          <w:sz w:val="21"/>
        </w:rPr>
        <w:t xml:space="preserve">于 </w:t>
      </w:r>
      <w:r>
        <w:rPr>
          <w:rFonts w:ascii="Times New Roman" w:hAnsi="Times New Roman" w:eastAsia="Times New Roman"/>
          <w:sz w:val="21"/>
        </w:rPr>
        <w:t>1.5</w:t>
      </w:r>
      <w:r>
        <w:rPr>
          <w:rFonts w:ascii="Times New Roman" w:hAnsi="Times New Roman" w:eastAsia="Times New Roman"/>
          <w:spacing w:val="2"/>
          <w:sz w:val="21"/>
        </w:rPr>
        <w:t xml:space="preserve"> </w:t>
      </w:r>
      <w:r>
        <w:rPr>
          <w:rFonts w:hint="eastAsia" w:ascii="MS PGothic" w:hAnsi="MS PGothic" w:eastAsia="MS PGothic"/>
          <w:spacing w:val="-212"/>
          <w:sz w:val="21"/>
        </w:rPr>
        <w:t>℃</w:t>
      </w:r>
      <w:r>
        <w:rPr>
          <w:spacing w:val="-3"/>
          <w:sz w:val="21"/>
        </w:rPr>
        <w:t>。非居住区规划范围内的项目，符合其城乡规划的要求即为达标。</w:t>
      </w:r>
    </w:p>
    <w:p>
      <w:pPr>
        <w:pStyle w:val="3"/>
        <w:spacing w:line="446" w:lineRule="auto"/>
        <w:ind w:left="121" w:right="213" w:firstLine="419"/>
      </w:pPr>
      <w:r>
        <w:rPr>
          <w:spacing w:val="-10"/>
        </w:rPr>
        <w:t>本条的审查方法：审核相关设计文件、场地热环境计算报告。场地热环境计算报告由设</w:t>
      </w:r>
      <w:r>
        <w:rPr>
          <w:spacing w:val="-3"/>
        </w:rPr>
        <w:t>计单位提供，对资质无特殊要求。</w:t>
      </w:r>
    </w:p>
    <w:p>
      <w:pPr>
        <w:pStyle w:val="9"/>
        <w:numPr>
          <w:ilvl w:val="2"/>
          <w:numId w:val="40"/>
        </w:numPr>
        <w:tabs>
          <w:tab w:val="left" w:pos="858"/>
          <w:tab w:val="left" w:pos="859"/>
        </w:tabs>
        <w:spacing w:before="0" w:after="0" w:line="446" w:lineRule="auto"/>
        <w:ind w:left="121" w:right="106" w:firstLine="0"/>
        <w:jc w:val="left"/>
        <w:rPr>
          <w:sz w:val="21"/>
        </w:rPr>
      </w:pPr>
      <w:r>
        <w:rPr>
          <w:spacing w:val="-3"/>
          <w:sz w:val="21"/>
        </w:rPr>
        <w:t>配建的绿地应符合所在地城乡规划的要求，应合理选择绿化方式，植物种植应适应</w:t>
      </w:r>
      <w:r>
        <w:rPr>
          <w:spacing w:val="-17"/>
          <w:sz w:val="21"/>
        </w:rPr>
        <w:t xml:space="preserve">当地气候和土壤，且应无毒害、易维护，种植区域覆土深度和排水能力应满足植物生长需求， </w:t>
      </w:r>
      <w:r>
        <w:rPr>
          <w:spacing w:val="-7"/>
          <w:sz w:val="21"/>
        </w:rPr>
        <w:t>并应采用复层绿化方式。</w:t>
      </w:r>
    </w:p>
    <w:p>
      <w:pPr>
        <w:pStyle w:val="3"/>
        <w:spacing w:line="268" w:lineRule="exact"/>
        <w:ind w:left="541"/>
      </w:pPr>
      <w:r>
        <w:t>审查说明主要内容：</w:t>
      </w:r>
    </w:p>
    <w:p>
      <w:pPr>
        <w:pStyle w:val="3"/>
        <w:spacing w:before="11"/>
        <w:rPr>
          <w:sz w:val="17"/>
        </w:rPr>
      </w:pPr>
    </w:p>
    <w:p>
      <w:pPr>
        <w:pStyle w:val="9"/>
        <w:numPr>
          <w:ilvl w:val="0"/>
          <w:numId w:val="42"/>
        </w:numPr>
        <w:tabs>
          <w:tab w:val="left" w:pos="860"/>
          <w:tab w:val="left" w:pos="861"/>
        </w:tabs>
        <w:spacing w:before="0" w:after="0" w:line="240" w:lineRule="auto"/>
        <w:ind w:left="860" w:right="0" w:hanging="317"/>
        <w:jc w:val="left"/>
        <w:rPr>
          <w:sz w:val="21"/>
        </w:rPr>
      </w:pPr>
      <w:r>
        <w:rPr>
          <w:spacing w:val="-3"/>
          <w:sz w:val="21"/>
        </w:rPr>
        <w:t>设计文件中应提出对景观设计的具体要求。</w:t>
      </w:r>
    </w:p>
    <w:p>
      <w:pPr>
        <w:spacing w:after="0" w:line="240" w:lineRule="auto"/>
        <w:jc w:val="left"/>
        <w:rPr>
          <w:sz w:val="21"/>
        </w:rPr>
        <w:sectPr>
          <w:pgSz w:w="11910" w:h="16850"/>
          <w:pgMar w:top="1380" w:right="1580" w:bottom="1400" w:left="1680" w:header="0" w:footer="1204" w:gutter="0"/>
        </w:sectPr>
      </w:pPr>
    </w:p>
    <w:p>
      <w:pPr>
        <w:pStyle w:val="9"/>
        <w:numPr>
          <w:ilvl w:val="0"/>
          <w:numId w:val="42"/>
        </w:numPr>
        <w:tabs>
          <w:tab w:val="left" w:pos="860"/>
        </w:tabs>
        <w:spacing w:before="50" w:after="0" w:line="446" w:lineRule="auto"/>
        <w:ind w:left="120" w:right="213" w:firstLine="422"/>
        <w:jc w:val="both"/>
        <w:rPr>
          <w:sz w:val="21"/>
        </w:rPr>
      </w:pPr>
      <w:r>
        <w:rPr>
          <w:spacing w:val="-3"/>
          <w:sz w:val="21"/>
        </w:rPr>
        <w:t>重点审查植物配置设计中是否选择适合黑龙江省严寒地区气候特点及土壤条件的植</w:t>
      </w:r>
      <w:r>
        <w:rPr>
          <w:spacing w:val="-11"/>
          <w:sz w:val="21"/>
        </w:rPr>
        <w:t>物，是否采用乔、灌、草结合的复层绿化方式，种植区域覆土深度和排水能力是否能够保证</w:t>
      </w:r>
      <w:r>
        <w:rPr>
          <w:spacing w:val="-6"/>
          <w:sz w:val="21"/>
        </w:rPr>
        <w:t>植物安全过冬和满足植物生长需求。</w:t>
      </w:r>
    </w:p>
    <w:p>
      <w:pPr>
        <w:pStyle w:val="9"/>
        <w:numPr>
          <w:ilvl w:val="0"/>
          <w:numId w:val="42"/>
        </w:numPr>
        <w:tabs>
          <w:tab w:val="left" w:pos="860"/>
        </w:tabs>
        <w:spacing w:before="0" w:after="0" w:line="446" w:lineRule="auto"/>
        <w:ind w:left="120" w:right="213" w:firstLine="422"/>
        <w:jc w:val="both"/>
        <w:rPr>
          <w:sz w:val="21"/>
        </w:rPr>
      </w:pPr>
      <w:r>
        <w:rPr>
          <w:spacing w:val="-3"/>
          <w:sz w:val="21"/>
        </w:rPr>
        <w:t>种植区域的覆土深度、屋顶的排水坡度依照《城市园林绿化工程施工及验收规范》</w:t>
      </w:r>
      <w:r>
        <w:rPr>
          <w:rFonts w:ascii="Times New Roman" w:eastAsia="Times New Roman"/>
          <w:spacing w:val="-3"/>
          <w:sz w:val="21"/>
        </w:rPr>
        <w:t>CJJ</w:t>
      </w:r>
      <w:r>
        <w:rPr>
          <w:rFonts w:ascii="Times New Roman" w:eastAsia="Times New Roman"/>
          <w:spacing w:val="16"/>
          <w:sz w:val="21"/>
        </w:rPr>
        <w:t xml:space="preserve"> </w:t>
      </w:r>
      <w:r>
        <w:rPr>
          <w:rFonts w:ascii="Times New Roman" w:eastAsia="Times New Roman"/>
          <w:sz w:val="21"/>
        </w:rPr>
        <w:t>82</w:t>
      </w:r>
      <w:r>
        <w:rPr>
          <w:spacing w:val="-9"/>
          <w:sz w:val="21"/>
        </w:rPr>
        <w:t>和《种植屋面工程技术规程》</w:t>
      </w:r>
      <w:r>
        <w:rPr>
          <w:rFonts w:ascii="Times New Roman" w:eastAsia="Times New Roman"/>
          <w:sz w:val="21"/>
        </w:rPr>
        <w:t>JGJ</w:t>
      </w:r>
      <w:r>
        <w:rPr>
          <w:rFonts w:ascii="Times New Roman" w:eastAsia="Times New Roman"/>
          <w:spacing w:val="16"/>
          <w:sz w:val="21"/>
        </w:rPr>
        <w:t xml:space="preserve"> </w:t>
      </w:r>
      <w:r>
        <w:rPr>
          <w:rFonts w:ascii="Times New Roman" w:eastAsia="Times New Roman"/>
          <w:sz w:val="21"/>
        </w:rPr>
        <w:t>155</w:t>
      </w:r>
      <w:r>
        <w:rPr>
          <w:spacing w:val="-6"/>
          <w:sz w:val="21"/>
        </w:rPr>
        <w:t>中的相关规定审核，种植区域的覆土深度应同时</w:t>
      </w:r>
      <w:r>
        <w:rPr>
          <w:spacing w:val="-3"/>
          <w:sz w:val="21"/>
        </w:rPr>
        <w:t>满足项目所在地园林主管部门对覆土深度的要求。</w:t>
      </w:r>
    </w:p>
    <w:p>
      <w:pPr>
        <w:pStyle w:val="3"/>
        <w:spacing w:line="446" w:lineRule="auto"/>
        <w:ind w:left="119" w:right="213" w:firstLine="420"/>
        <w:jc w:val="both"/>
      </w:pPr>
      <w:r>
        <w:rPr>
          <w:spacing w:val="-8"/>
        </w:rPr>
        <w:t>本条的审查方法：审核相关设计文件</w:t>
      </w:r>
      <w:r>
        <w:t>（</w:t>
      </w:r>
      <w:r>
        <w:rPr>
          <w:spacing w:val="-8"/>
        </w:rPr>
        <w:t>苗木表、屋顶绿化、覆土绿化和垂直绿化的区域</w:t>
      </w:r>
      <w:r>
        <w:rPr>
          <w:spacing w:val="-5"/>
        </w:rPr>
        <w:t>及面积、种植区域的覆土深度、排水设计</w:t>
      </w:r>
      <w:r>
        <w:t>）。</w:t>
      </w:r>
    </w:p>
    <w:p>
      <w:pPr>
        <w:pStyle w:val="9"/>
        <w:numPr>
          <w:ilvl w:val="2"/>
          <w:numId w:val="40"/>
        </w:numPr>
        <w:tabs>
          <w:tab w:val="left" w:pos="859"/>
          <w:tab w:val="left" w:pos="860"/>
        </w:tabs>
        <w:spacing w:before="0" w:after="0" w:line="446" w:lineRule="auto"/>
        <w:ind w:left="120" w:right="213" w:firstLine="0"/>
        <w:jc w:val="left"/>
        <w:rPr>
          <w:sz w:val="21"/>
        </w:rPr>
      </w:pPr>
      <w:r>
        <w:rPr>
          <w:spacing w:val="-3"/>
          <w:sz w:val="21"/>
        </w:rPr>
        <w:t>场地的竖向设计应有利于雨水的收集或排放，应有效组织雨水的下渗、滞蓄或再利用；对大于</w:t>
      </w:r>
      <w:r>
        <w:rPr>
          <w:rFonts w:ascii="Times New Roman" w:eastAsia="Times New Roman"/>
          <w:sz w:val="21"/>
        </w:rPr>
        <w:t>10hm</w:t>
      </w:r>
      <w:r>
        <w:rPr>
          <w:rFonts w:ascii="Times New Roman" w:eastAsia="Times New Roman"/>
          <w:sz w:val="21"/>
          <w:vertAlign w:val="superscript"/>
        </w:rPr>
        <w:t>2</w:t>
      </w:r>
      <w:r>
        <w:rPr>
          <w:spacing w:val="-3"/>
          <w:sz w:val="21"/>
          <w:vertAlign w:val="baseline"/>
        </w:rPr>
        <w:t>的场地应进行雨水控制利用专项设计。</w:t>
      </w:r>
    </w:p>
    <w:p>
      <w:pPr>
        <w:pStyle w:val="3"/>
        <w:spacing w:line="267" w:lineRule="exact"/>
        <w:ind w:left="539"/>
      </w:pPr>
      <w:r>
        <w:t>审查说明主要内容：</w:t>
      </w:r>
    </w:p>
    <w:p>
      <w:pPr>
        <w:pStyle w:val="3"/>
        <w:spacing w:before="11"/>
        <w:rPr>
          <w:sz w:val="17"/>
        </w:rPr>
      </w:pPr>
    </w:p>
    <w:p>
      <w:pPr>
        <w:pStyle w:val="9"/>
        <w:numPr>
          <w:ilvl w:val="0"/>
          <w:numId w:val="43"/>
        </w:numPr>
        <w:tabs>
          <w:tab w:val="left" w:pos="859"/>
          <w:tab w:val="left" w:pos="860"/>
        </w:tabs>
        <w:spacing w:before="1" w:after="0" w:line="240" w:lineRule="auto"/>
        <w:ind w:left="859" w:right="0" w:hanging="317"/>
        <w:jc w:val="left"/>
        <w:rPr>
          <w:sz w:val="21"/>
        </w:rPr>
      </w:pPr>
      <w:r>
        <w:rPr>
          <w:spacing w:val="-2"/>
          <w:sz w:val="21"/>
        </w:rPr>
        <w:t>不大于</w:t>
      </w:r>
      <w:r>
        <w:rPr>
          <w:rFonts w:ascii="Times New Roman" w:eastAsia="Times New Roman"/>
          <w:sz w:val="21"/>
        </w:rPr>
        <w:t>10hm</w:t>
      </w:r>
      <w:r>
        <w:rPr>
          <w:rFonts w:ascii="Times New Roman" w:eastAsia="Times New Roman"/>
          <w:sz w:val="21"/>
          <w:vertAlign w:val="superscript"/>
        </w:rPr>
        <w:t>2</w:t>
      </w:r>
      <w:r>
        <w:rPr>
          <w:spacing w:val="-3"/>
          <w:sz w:val="21"/>
          <w:vertAlign w:val="baseline"/>
        </w:rPr>
        <w:t>的场地，总图和竖向设计中应写明有效组织雨水下渗、滞蓄的措施。</w:t>
      </w:r>
    </w:p>
    <w:p>
      <w:pPr>
        <w:pStyle w:val="9"/>
        <w:numPr>
          <w:ilvl w:val="0"/>
          <w:numId w:val="43"/>
        </w:numPr>
        <w:tabs>
          <w:tab w:val="left" w:pos="864"/>
        </w:tabs>
        <w:spacing w:before="230" w:after="0" w:line="446" w:lineRule="auto"/>
        <w:ind w:left="120" w:right="219" w:firstLine="422"/>
        <w:jc w:val="both"/>
        <w:rPr>
          <w:sz w:val="21"/>
        </w:rPr>
      </w:pPr>
      <w:r>
        <w:rPr>
          <w:sz w:val="21"/>
        </w:rPr>
        <w:t>大于</w:t>
      </w:r>
      <w:r>
        <w:rPr>
          <w:rFonts w:ascii="Times New Roman" w:eastAsia="Times New Roman"/>
          <w:sz w:val="21"/>
        </w:rPr>
        <w:t>10hm</w:t>
      </w:r>
      <w:r>
        <w:rPr>
          <w:rFonts w:ascii="Times New Roman" w:eastAsia="Times New Roman"/>
          <w:sz w:val="21"/>
          <w:vertAlign w:val="superscript"/>
        </w:rPr>
        <w:t>2</w:t>
      </w:r>
      <w:r>
        <w:rPr>
          <w:sz w:val="21"/>
          <w:vertAlign w:val="baseline"/>
        </w:rPr>
        <w:t>的场地，进行雨水控制利用专项设计（水量平衡、蓄水量、净化处理工</w:t>
      </w:r>
      <w:r>
        <w:rPr>
          <w:spacing w:val="-3"/>
          <w:sz w:val="21"/>
          <w:vertAlign w:val="baseline"/>
        </w:rPr>
        <w:t>艺、回用系统和执行的卫生标准和安全措施</w:t>
      </w:r>
      <w:r>
        <w:rPr>
          <w:sz w:val="21"/>
          <w:vertAlign w:val="baseline"/>
        </w:rPr>
        <w:t>）</w:t>
      </w:r>
      <w:r>
        <w:rPr>
          <w:spacing w:val="-3"/>
          <w:sz w:val="21"/>
          <w:vertAlign w:val="baseline"/>
        </w:rPr>
        <w:t>，提供总图和竖向设计、雨水利用设计图。</w:t>
      </w:r>
    </w:p>
    <w:p>
      <w:pPr>
        <w:pStyle w:val="3"/>
        <w:spacing w:line="446" w:lineRule="auto"/>
        <w:ind w:left="120" w:right="107" w:firstLine="419"/>
      </w:pPr>
      <w:r>
        <w:rPr>
          <w:spacing w:val="-16"/>
        </w:rPr>
        <w:t>本条的审查方法：审核相关设计文件、年径流总量控制率计算书、设计控制雨量计算书、</w:t>
      </w:r>
      <w:r>
        <w:rPr>
          <w:spacing w:val="-6"/>
        </w:rPr>
        <w:t>专项设计文件。</w:t>
      </w:r>
    </w:p>
    <w:p>
      <w:pPr>
        <w:pStyle w:val="9"/>
        <w:numPr>
          <w:ilvl w:val="2"/>
          <w:numId w:val="40"/>
        </w:numPr>
        <w:tabs>
          <w:tab w:val="left" w:pos="857"/>
          <w:tab w:val="left" w:pos="858"/>
        </w:tabs>
        <w:spacing w:before="0" w:after="0" w:line="446" w:lineRule="auto"/>
        <w:ind w:left="540" w:right="3373" w:hanging="420"/>
        <w:jc w:val="left"/>
        <w:rPr>
          <w:sz w:val="21"/>
        </w:rPr>
      </w:pPr>
      <w:r>
        <w:rPr>
          <w:spacing w:val="-4"/>
          <w:sz w:val="21"/>
        </w:rPr>
        <w:t>建筑内外均应设置便于识别和使用的标识系统。</w:t>
      </w:r>
      <w:r>
        <w:rPr>
          <w:spacing w:val="-3"/>
          <w:sz w:val="21"/>
        </w:rPr>
        <w:t>审查说明主要内容：</w:t>
      </w:r>
    </w:p>
    <w:p>
      <w:pPr>
        <w:pStyle w:val="9"/>
        <w:numPr>
          <w:ilvl w:val="0"/>
          <w:numId w:val="44"/>
        </w:numPr>
        <w:tabs>
          <w:tab w:val="left" w:pos="860"/>
        </w:tabs>
        <w:spacing w:before="0" w:after="0" w:line="446" w:lineRule="auto"/>
        <w:ind w:left="120" w:right="217" w:firstLine="422"/>
        <w:jc w:val="both"/>
        <w:rPr>
          <w:sz w:val="21"/>
        </w:rPr>
      </w:pPr>
      <w:r>
        <w:rPr>
          <w:spacing w:val="-3"/>
          <w:sz w:val="21"/>
        </w:rPr>
        <w:t>公共建筑的设计说明应明确标识系统的设计和设置符合现行国家标准《公共建筑标</w:t>
      </w:r>
      <w:r>
        <w:rPr>
          <w:spacing w:val="-5"/>
          <w:sz w:val="21"/>
        </w:rPr>
        <w:t>识系统技术规范》</w:t>
      </w:r>
      <w:r>
        <w:rPr>
          <w:rFonts w:ascii="Times New Roman" w:eastAsia="Times New Roman"/>
          <w:sz w:val="21"/>
        </w:rPr>
        <w:t>GB/T</w:t>
      </w:r>
      <w:r>
        <w:rPr>
          <w:rFonts w:ascii="Times New Roman" w:eastAsia="Times New Roman"/>
          <w:spacing w:val="3"/>
          <w:sz w:val="21"/>
        </w:rPr>
        <w:t xml:space="preserve"> </w:t>
      </w:r>
      <w:r>
        <w:rPr>
          <w:rFonts w:ascii="Times New Roman" w:eastAsia="Times New Roman"/>
          <w:sz w:val="21"/>
        </w:rPr>
        <w:t>51223</w:t>
      </w:r>
      <w:r>
        <w:rPr>
          <w:spacing w:val="-8"/>
          <w:sz w:val="21"/>
        </w:rPr>
        <w:t>、《安全标志及使用导则》</w:t>
      </w:r>
      <w:r>
        <w:rPr>
          <w:rFonts w:ascii="Times New Roman" w:eastAsia="Times New Roman"/>
          <w:sz w:val="21"/>
        </w:rPr>
        <w:t>GB</w:t>
      </w:r>
      <w:r>
        <w:rPr>
          <w:rFonts w:ascii="Times New Roman" w:eastAsia="Times New Roman"/>
          <w:spacing w:val="10"/>
          <w:sz w:val="21"/>
        </w:rPr>
        <w:t xml:space="preserve"> </w:t>
      </w:r>
      <w:r>
        <w:rPr>
          <w:rFonts w:ascii="Times New Roman" w:eastAsia="Times New Roman"/>
          <w:sz w:val="21"/>
        </w:rPr>
        <w:t>2894</w:t>
      </w:r>
      <w:r>
        <w:rPr>
          <w:rFonts w:ascii="Times New Roman" w:eastAsia="Times New Roman"/>
          <w:spacing w:val="12"/>
          <w:sz w:val="21"/>
        </w:rPr>
        <w:t xml:space="preserve"> </w:t>
      </w:r>
      <w:r>
        <w:rPr>
          <w:spacing w:val="-5"/>
          <w:sz w:val="21"/>
        </w:rPr>
        <w:t>的要求。住宅建筑参照执</w:t>
      </w:r>
      <w:r>
        <w:rPr>
          <w:sz w:val="21"/>
        </w:rPr>
        <w:t>行。</w:t>
      </w:r>
    </w:p>
    <w:p>
      <w:pPr>
        <w:pStyle w:val="9"/>
        <w:numPr>
          <w:ilvl w:val="0"/>
          <w:numId w:val="44"/>
        </w:numPr>
        <w:tabs>
          <w:tab w:val="left" w:pos="860"/>
        </w:tabs>
        <w:spacing w:before="0" w:after="0" w:line="446" w:lineRule="auto"/>
        <w:ind w:left="120" w:right="220" w:firstLine="422"/>
        <w:jc w:val="both"/>
        <w:rPr>
          <w:sz w:val="21"/>
        </w:rPr>
      </w:pPr>
      <w:r>
        <w:rPr>
          <w:spacing w:val="-3"/>
          <w:sz w:val="21"/>
        </w:rPr>
        <w:t>在标识系统设计和设置时，应根据建筑功能、性质，充分考虑建筑使用者的识别习惯，通过色彩、形式、字体、符号等整体进行设计，具有可辨识度和统一性。</w:t>
      </w:r>
    </w:p>
    <w:p>
      <w:pPr>
        <w:pStyle w:val="9"/>
        <w:numPr>
          <w:ilvl w:val="0"/>
          <w:numId w:val="44"/>
        </w:numPr>
        <w:tabs>
          <w:tab w:val="left" w:pos="859"/>
          <w:tab w:val="left" w:pos="860"/>
        </w:tabs>
        <w:spacing w:before="0" w:after="0" w:line="240" w:lineRule="auto"/>
        <w:ind w:left="859" w:right="0" w:hanging="317"/>
        <w:jc w:val="left"/>
        <w:rPr>
          <w:sz w:val="21"/>
        </w:rPr>
      </w:pPr>
      <w:r>
        <w:rPr>
          <w:spacing w:val="-3"/>
          <w:sz w:val="21"/>
        </w:rPr>
        <w:t>设计说明及相关设计中应明确在场地、建筑内外显著位置上设置标识。标识应反映</w:t>
      </w:r>
    </w:p>
    <w:p>
      <w:pPr>
        <w:pStyle w:val="3"/>
        <w:spacing w:before="159" w:line="309" w:lineRule="auto"/>
        <w:ind w:left="120" w:right="277"/>
      </w:pPr>
      <w:r>
        <w:t>一定区域范围内的建筑与设施分布情况</w:t>
      </w:r>
      <w:r>
        <w:rPr>
          <w:rFonts w:hint="eastAsia" w:ascii="微软雅黑" w:eastAsia="微软雅黑"/>
        </w:rPr>
        <w:t>,</w:t>
      </w:r>
      <w:r>
        <w:t>并提示当前位置。建筑及场地的标识应沿通行路径布置</w:t>
      </w:r>
      <w:r>
        <w:rPr>
          <w:rFonts w:hint="eastAsia" w:ascii="微软雅黑" w:eastAsia="微软雅黑"/>
        </w:rPr>
        <w:t>,</w:t>
      </w:r>
      <w:r>
        <w:t>构成完整和连续的引导系统。</w:t>
      </w:r>
    </w:p>
    <w:p>
      <w:pPr>
        <w:pStyle w:val="3"/>
        <w:spacing w:before="69"/>
        <w:ind w:left="540"/>
      </w:pPr>
      <w:r>
        <w:t>本条的审查方法为：审查相关设计文件，提供标识系统专项设计文件。</w:t>
      </w:r>
    </w:p>
    <w:p>
      <w:pPr>
        <w:spacing w:after="0"/>
        <w:sectPr>
          <w:pgSz w:w="11910" w:h="16850"/>
          <w:pgMar w:top="1580" w:right="1580" w:bottom="1180" w:left="1680" w:header="0" w:footer="997" w:gutter="0"/>
        </w:sectPr>
      </w:pPr>
    </w:p>
    <w:p>
      <w:pPr>
        <w:pStyle w:val="9"/>
        <w:numPr>
          <w:ilvl w:val="2"/>
          <w:numId w:val="40"/>
        </w:numPr>
        <w:tabs>
          <w:tab w:val="left" w:pos="856"/>
          <w:tab w:val="left" w:pos="857"/>
        </w:tabs>
        <w:spacing w:before="50" w:after="0" w:line="240" w:lineRule="auto"/>
        <w:ind w:left="856" w:right="0" w:hanging="736"/>
        <w:jc w:val="left"/>
        <w:rPr>
          <w:sz w:val="21"/>
        </w:rPr>
      </w:pPr>
      <w:r>
        <w:rPr>
          <w:spacing w:val="-3"/>
          <w:sz w:val="21"/>
        </w:rPr>
        <w:t>场地内不应有排放超标的污染源。</w:t>
      </w:r>
    </w:p>
    <w:p>
      <w:pPr>
        <w:pStyle w:val="3"/>
        <w:spacing w:before="12"/>
        <w:rPr>
          <w:sz w:val="17"/>
        </w:rPr>
      </w:pPr>
    </w:p>
    <w:p>
      <w:pPr>
        <w:pStyle w:val="3"/>
        <w:spacing w:line="446" w:lineRule="auto"/>
        <w:ind w:left="119" w:right="213" w:firstLine="420"/>
      </w:pPr>
      <w:r>
        <w:rPr>
          <w:spacing w:val="-10"/>
        </w:rPr>
        <w:t>审查说明主要内容：建筑场地内不应存在未达标排放或者超标排放的气态、液态或固态</w:t>
      </w:r>
      <w:r>
        <w:rPr>
          <w:spacing w:val="-5"/>
        </w:rPr>
        <w:t>的污染源。若有污染源应积极采取相应的治理措施并达到无超标污染物排放的要求。</w:t>
      </w:r>
    </w:p>
    <w:p>
      <w:pPr>
        <w:pStyle w:val="3"/>
        <w:ind w:left="540"/>
      </w:pPr>
      <w:r>
        <w:t>本条的审查方法：审查环评报告、治理措施分析报告。</w:t>
      </w:r>
    </w:p>
    <w:p>
      <w:pPr>
        <w:pStyle w:val="3"/>
        <w:spacing w:before="12"/>
        <w:rPr>
          <w:sz w:val="17"/>
        </w:rPr>
      </w:pPr>
    </w:p>
    <w:p>
      <w:pPr>
        <w:pStyle w:val="9"/>
        <w:numPr>
          <w:ilvl w:val="2"/>
          <w:numId w:val="40"/>
        </w:numPr>
        <w:tabs>
          <w:tab w:val="left" w:pos="856"/>
          <w:tab w:val="left" w:pos="857"/>
        </w:tabs>
        <w:spacing w:before="0" w:after="0" w:line="240" w:lineRule="auto"/>
        <w:ind w:left="856" w:right="0" w:hanging="737"/>
        <w:jc w:val="left"/>
        <w:rPr>
          <w:sz w:val="21"/>
        </w:rPr>
      </w:pPr>
      <w:r>
        <w:rPr>
          <w:spacing w:val="-3"/>
          <w:sz w:val="21"/>
        </w:rPr>
        <w:t>生活垃圾应分类收集，垃圾容器和收集点的设置应合理并与周围景观协调。</w:t>
      </w:r>
    </w:p>
    <w:p>
      <w:pPr>
        <w:pStyle w:val="3"/>
        <w:spacing w:before="2"/>
        <w:rPr>
          <w:sz w:val="18"/>
        </w:rPr>
      </w:pPr>
    </w:p>
    <w:p>
      <w:pPr>
        <w:pStyle w:val="3"/>
        <w:spacing w:line="446" w:lineRule="auto"/>
        <w:ind w:left="119" w:right="119" w:firstLine="420"/>
      </w:pPr>
      <w:r>
        <w:rPr>
          <w:spacing w:val="-3"/>
        </w:rPr>
        <w:t>审查说明主要内容：建筑设计时应合理规划和设置垃圾收集设施，垃圾收集站的选址、</w:t>
      </w:r>
      <w:r>
        <w:rPr>
          <w:spacing w:val="-7"/>
        </w:rPr>
        <w:t>规模以及生活垃圾收集点的选址应符合《生活垃圾收集站技术规程》的相关规定；垃圾收集</w:t>
      </w:r>
      <w:r>
        <w:rPr>
          <w:spacing w:val="-12"/>
        </w:rPr>
        <w:t>点的服务半径要求应满足《城镇环境卫生设施设置标准》</w:t>
      </w:r>
      <w:r>
        <w:rPr>
          <w:spacing w:val="-14"/>
        </w:rPr>
        <w:t>、《城市居住区规划设计标准</w:t>
      </w:r>
      <w:r>
        <w:rPr>
          <w:spacing w:val="-130"/>
        </w:rPr>
        <w:t>》</w:t>
      </w:r>
      <w:r>
        <w:rPr>
          <w:spacing w:val="-3"/>
        </w:rPr>
        <w:t>（</w:t>
      </w:r>
      <w:r>
        <w:rPr>
          <w:rFonts w:ascii="Times New Roman" w:eastAsia="Times New Roman"/>
          <w:spacing w:val="-3"/>
        </w:rPr>
        <w:t xml:space="preserve">GB </w:t>
      </w:r>
      <w:r>
        <w:rPr>
          <w:rFonts w:ascii="Times New Roman" w:eastAsia="Times New Roman"/>
        </w:rPr>
        <w:t>50180-2018</w:t>
      </w:r>
      <w:r>
        <w:t>）</w:t>
      </w:r>
      <w:r>
        <w:rPr>
          <w:spacing w:val="-3"/>
        </w:rPr>
        <w:t>的有关要求。</w:t>
      </w:r>
    </w:p>
    <w:p>
      <w:pPr>
        <w:pStyle w:val="3"/>
        <w:spacing w:line="266" w:lineRule="exact"/>
        <w:ind w:left="540"/>
      </w:pPr>
      <w:r>
        <w:t>本条的审查方法：审查相关设计文件、垃圾收集设施布置图。</w:t>
      </w:r>
    </w:p>
    <w:sectPr>
      <w:pgSz w:w="11910" w:h="16850"/>
      <w:pgMar w:top="1580" w:right="1580" w:bottom="1400" w:left="1680" w:header="0" w:footer="1204"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0002AFF" w:usb1="C000247B" w:usb2="00000009" w:usb3="00000000" w:csb0="200001FF" w:csb1="00000000"/>
  </w:font>
  <w:font w:name="Calibri">
    <w:panose1 w:val="020F0502020204030204"/>
    <w:charset w:val="00"/>
    <w:family w:val="auto"/>
    <w:pitch w:val="default"/>
    <w:sig w:usb0="E0002A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MS PGothic">
    <w:panose1 w:val="020B0600070205080204"/>
    <w:charset w:val="80"/>
    <w:family w:val="swiss"/>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503251968" behindDoc="1" locked="0" layoutInCell="1" allowOverlap="1">
              <wp:simplePos x="0" y="0"/>
              <wp:positionH relativeFrom="page">
                <wp:posOffset>706120</wp:posOffset>
              </wp:positionH>
              <wp:positionV relativeFrom="page">
                <wp:posOffset>9920605</wp:posOffset>
              </wp:positionV>
              <wp:extent cx="82550" cy="1524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2550" cy="152400"/>
                      </a:xfrm>
                      <a:prstGeom prst="rect">
                        <a:avLst/>
                      </a:prstGeom>
                      <a:noFill/>
                      <a:ln>
                        <a:noFill/>
                      </a:ln>
                    </wps:spPr>
                    <wps:txbx>
                      <w:txbxContent>
                        <w:p>
                          <w:pPr>
                            <w:spacing w:before="12"/>
                            <w:ind w:left="20" w:right="0" w:firstLine="0"/>
                            <w:jc w:val="left"/>
                            <w:rPr>
                              <w:rFonts w:ascii="Times New Roman"/>
                              <w:sz w:val="18"/>
                            </w:rPr>
                          </w:pPr>
                          <w:r>
                            <w:rPr>
                              <w:rFonts w:ascii="Times New Roman"/>
                              <w:sz w:val="18"/>
                            </w:rPr>
                            <w:t>2</w:t>
                          </w:r>
                        </w:p>
                      </w:txbxContent>
                    </wps:txbx>
                    <wps:bodyPr lIns="0" tIns="0" rIns="0" bIns="0" upright="1"/>
                  </wps:wsp>
                </a:graphicData>
              </a:graphic>
            </wp:anchor>
          </w:drawing>
        </mc:Choice>
        <mc:Fallback>
          <w:pict>
            <v:shape id="_x0000_s1026" o:spid="_x0000_s1026" o:spt="202" type="#_x0000_t202" style="position:absolute;left:0pt;margin-left:55.6pt;margin-top:781.15pt;height:12pt;width:6.5pt;mso-position-horizontal-relative:page;mso-position-vertical-relative:page;z-index:-64512;mso-width-relative:page;mso-height-relative:page;" filled="f" stroked="f" coordsize="21600,21600" o:gfxdata="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vEZ+TNkAAAANAQAADwAAAAAAAAABACAAAAAiAAAAZHJzL2Rvd25yZXYueG1sUEsBAhQA&#10;FAAAAAgAh07iQIyCkt64AQAAcAMAAA4AAAAAAAAAAQAgAAAAKAEAAGRycy9lMm9Eb2MueG1sUEsF&#10;BgAAAAAGAAYAWQEAAFIFAAAAAA==&#10;">
              <v:fill on="f" focussize="0,0"/>
              <v:stroke on="f"/>
              <v:imagedata o:title=""/>
              <o:lock v:ext="edit" aspectratio="f"/>
              <v:textbox inset="0mm,0mm,0mm,0mm">
                <w:txbxContent>
                  <w:p>
                    <w:pPr>
                      <w:spacing w:before="12"/>
                      <w:ind w:left="20" w:right="0" w:firstLine="0"/>
                      <w:jc w:val="left"/>
                      <w:rPr>
                        <w:rFonts w:ascii="Times New Roman"/>
                        <w:sz w:val="18"/>
                      </w:rPr>
                    </w:pPr>
                    <w:r>
                      <w:rPr>
                        <w:rFonts w:ascii="Times New Roman"/>
                        <w:sz w:val="18"/>
                      </w:rPr>
                      <w:t>2</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503251968" behindDoc="1" locked="0" layoutInCell="1" allowOverlap="1">
              <wp:simplePos x="0" y="0"/>
              <wp:positionH relativeFrom="page">
                <wp:posOffset>706120</wp:posOffset>
              </wp:positionH>
              <wp:positionV relativeFrom="page">
                <wp:posOffset>6788785</wp:posOffset>
              </wp:positionV>
              <wp:extent cx="82550" cy="1524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82550" cy="152400"/>
                      </a:xfrm>
                      <a:prstGeom prst="rect">
                        <a:avLst/>
                      </a:prstGeom>
                      <a:noFill/>
                      <a:ln>
                        <a:noFill/>
                      </a:ln>
                    </wps:spPr>
                    <wps:txbx>
                      <w:txbxContent>
                        <w:p>
                          <w:pPr>
                            <w:spacing w:before="12"/>
                            <w:ind w:left="20" w:right="0" w:firstLine="0"/>
                            <w:jc w:val="left"/>
                            <w:rPr>
                              <w:rFonts w:ascii="Times New Roman"/>
                              <w:sz w:val="18"/>
                            </w:rPr>
                          </w:pPr>
                          <w:r>
                            <w:rPr>
                              <w:rFonts w:ascii="Times New Roman"/>
                              <w:sz w:val="18"/>
                            </w:rPr>
                            <w:t>4</w:t>
                          </w:r>
                        </w:p>
                      </w:txbxContent>
                    </wps:txbx>
                    <wps:bodyPr lIns="0" tIns="0" rIns="0" bIns="0" upright="1"/>
                  </wps:wsp>
                </a:graphicData>
              </a:graphic>
            </wp:anchor>
          </w:drawing>
        </mc:Choice>
        <mc:Fallback>
          <w:pict>
            <v:shape id="_x0000_s1026" o:spid="_x0000_s1026" o:spt="202" type="#_x0000_t202" style="position:absolute;left:0pt;margin-left:55.6pt;margin-top:534.55pt;height:12pt;width:6.5pt;mso-position-horizontal-relative:page;mso-position-vertical-relative:page;z-index:-64512;mso-width-relative:page;mso-height-relative:page;" filled="f" stroked="f" coordsize="21600,21600" o:gfxdata="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">
              <v:fill on="f" focussize="0,0"/>
              <v:stroke on="f"/>
              <v:imagedata o:title=""/>
              <o:lock v:ext="edit" aspectratio="f"/>
              <v:textbox inset="0mm,0mm,0mm,0mm">
                <w:txbxContent>
                  <w:p>
                    <w:pPr>
                      <w:spacing w:before="12"/>
                      <w:ind w:left="20" w:right="0" w:firstLine="0"/>
                      <w:jc w:val="left"/>
                      <w:rPr>
                        <w:rFonts w:ascii="Times New Roman"/>
                        <w:sz w:val="18"/>
                      </w:rPr>
                    </w:pPr>
                    <w:r>
                      <w:rPr>
                        <w:rFonts w:ascii="Times New Roman"/>
                        <w:sz w:val="18"/>
                      </w:rPr>
                      <w:t>4</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503251968" behindDoc="1" locked="0" layoutInCell="1" allowOverlap="1">
              <wp:simplePos x="0" y="0"/>
              <wp:positionH relativeFrom="page">
                <wp:posOffset>6277610</wp:posOffset>
              </wp:positionH>
              <wp:positionV relativeFrom="page">
                <wp:posOffset>6656070</wp:posOffset>
              </wp:positionV>
              <wp:extent cx="167005" cy="1524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a:noFill/>
                      </a:ln>
                    </wps:spPr>
                    <wps:txbx>
                      <w:txbxContent>
                        <w:p>
                          <w:pPr>
                            <w:spacing w:before="12"/>
                            <w:ind w:left="40" w:right="0" w:firstLine="0"/>
                            <w:jc w:val="left"/>
                            <w:rPr>
                              <w:rFonts w:ascii="Times New Roman"/>
                              <w:sz w:val="18"/>
                            </w:rPr>
                          </w:pPr>
                          <w:r>
                            <w:rPr>
                              <w:rFonts w:ascii="Times New Roman"/>
                              <w:sz w:val="18"/>
                            </w:rPr>
                            <w:t>13</w:t>
                          </w:r>
                        </w:p>
                      </w:txbxContent>
                    </wps:txbx>
                    <wps:bodyPr lIns="0" tIns="0" rIns="0" bIns="0" upright="1"/>
                  </wps:wsp>
                </a:graphicData>
              </a:graphic>
            </wp:anchor>
          </w:drawing>
        </mc:Choice>
        <mc:Fallback>
          <w:pict>
            <v:shape id="_x0000_s1026" o:spid="_x0000_s1026" o:spt="202" type="#_x0000_t202" style="position:absolute;left:0pt;margin-left:494.3pt;margin-top:524.1pt;height:12pt;width:13.15pt;mso-position-horizontal-relative:page;mso-position-vertical-relative:page;z-index:-64512;mso-width-relative:page;mso-height-relative:page;" filled="f" stroked="f" coordsize="21600,21600" o:gfxdata="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ENP+/bAAAADgEAAA8AAAAAAAAAAQAgAAAAIgAAAGRycy9kb3ducmV2LnhtbFBL&#10;AQIUABQAAAAIAIdO4kByHGntugEAAHEDAAAOAAAAAAAAAAEAIAAAACoBAABkcnMvZTJvRG9jLnht&#10;bFBLBQYAAAAABgAGAFkBAABWBQAAAAA=&#10;">
              <v:fill on="f" focussize="0,0"/>
              <v:stroke on="f"/>
              <v:imagedata o:title=""/>
              <o:lock v:ext="edit" aspectratio="f"/>
              <v:textbox inset="0mm,0mm,0mm,0mm">
                <w:txbxContent>
                  <w:p>
                    <w:pPr>
                      <w:spacing w:before="12"/>
                      <w:ind w:left="40" w:right="0" w:firstLine="0"/>
                      <w:jc w:val="left"/>
                      <w:rPr>
                        <w:rFonts w:ascii="Times New Roman"/>
                        <w:sz w:val="18"/>
                      </w:rPr>
                    </w:pPr>
                    <w:r>
                      <w:rPr>
                        <w:rFonts w:ascii="Times New Roman"/>
                        <w:sz w:val="18"/>
                      </w:rPr>
                      <w:t>13</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503251968" behindDoc="1" locked="0" layoutInCell="1" allowOverlap="1">
              <wp:simplePos x="0" y="0"/>
              <wp:positionH relativeFrom="page">
                <wp:posOffset>6334125</wp:posOffset>
              </wp:positionH>
              <wp:positionV relativeFrom="page">
                <wp:posOffset>9789795</wp:posOffset>
              </wp:positionV>
              <wp:extent cx="107950" cy="1524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07950" cy="152400"/>
                      </a:xfrm>
                      <a:prstGeom prst="rect">
                        <a:avLst/>
                      </a:prstGeom>
                      <a:noFill/>
                      <a:ln>
                        <a:noFill/>
                      </a:ln>
                    </wps:spPr>
                    <wps:txbx>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7</w:t>
                          </w:r>
                          <w:r>
                            <w:fldChar w:fldCharType="end"/>
                          </w:r>
                        </w:p>
                      </w:txbxContent>
                    </wps:txbx>
                    <wps:bodyPr lIns="0" tIns="0" rIns="0" bIns="0" upright="1"/>
                  </wps:wsp>
                </a:graphicData>
              </a:graphic>
            </wp:anchor>
          </w:drawing>
        </mc:Choice>
        <mc:Fallback>
          <w:pict>
            <v:shape id="_x0000_s1026" o:spid="_x0000_s1026" o:spt="202" type="#_x0000_t202" style="position:absolute;left:0pt;margin-left:498.75pt;margin-top:770.85pt;height:12pt;width:8.5pt;mso-position-horizontal-relative:page;mso-position-vertical-relative:page;z-index:-64512;mso-width-relative:page;mso-height-relative:page;" filled="f" stroked="f" coordsize="21600,21600" o:gfxdata="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">
              <v:fill on="f" focussize="0,0"/>
              <v:stroke on="f"/>
              <v:imagedata o:title=""/>
              <o:lock v:ext="edit" aspectratio="f"/>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spacing w:line="14" w:lineRule="auto"/>
      <w:rPr>
        <w:sz w:val="20"/>
      </w:rPr>
    </w:pPr>
    <w:r>
      <mc:AlternateContent>
        <mc:Choice Requires="wps">
          <w:drawing>
            <wp:anchor distT="0" distB="0" distL="114300" distR="114300" simplePos="0" relativeHeight="503251968" behindDoc="1" locked="0" layoutInCell="1" allowOverlap="1">
              <wp:simplePos x="0" y="0"/>
              <wp:positionH relativeFrom="page">
                <wp:posOffset>1116965</wp:posOffset>
              </wp:positionH>
              <wp:positionV relativeFrom="page">
                <wp:posOffset>9920605</wp:posOffset>
              </wp:positionV>
              <wp:extent cx="167005" cy="1524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a:noFill/>
                      </a:ln>
                    </wps:spPr>
                    <wps:txbx>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_x0000_s1026" o:spid="_x0000_s1026" o:spt="202" type="#_x0000_t202" style="position:absolute;left:0pt;margin-left:87.95pt;margin-top:781.15pt;height:12pt;width:13.15pt;mso-position-horizontal-relative:page;mso-position-vertical-relative:page;z-index:-64512;mso-width-relative:page;mso-height-relative:page;" filled="f" stroked="f" coordsize="21600,21600" o:gfxdata="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H9ud5/bAAAADQEAAA8AAAAAAAAAAQAgAAAAIgAAAGRycy9kb3ducmV2LnhtbFBL&#10;AQIUABQAAAAIAIdO4kA7xVYyugEAAHEDAAAOAAAAAAAAAAEAIAAAACoBAABkcnMvZTJvRG9jLnht&#10;bFBLBQYAAAAABgAGAFkBAABWBQAAAAA=&#10;">
              <v:fill on="f" focussize="0,0"/>
              <v:stroke on="f"/>
              <v:imagedata o:title=""/>
              <o:lock v:ext="edit" aspectratio="f"/>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10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13A4B87"/>
    <w:multiLevelType w:val="multilevel"/>
    <w:tmpl w:val="813A4B87"/>
    <w:lvl w:ilvl="0" w:tentative="0">
      <w:start w:val="1"/>
      <w:numFmt w:val="decimal"/>
      <w:lvlText w:val="%1"/>
      <w:lvlJc w:val="left"/>
      <w:pPr>
        <w:ind w:left="121"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1">
    <w:nsid w:val="8461FADE"/>
    <w:multiLevelType w:val="multilevel"/>
    <w:tmpl w:val="8461FADE"/>
    <w:lvl w:ilvl="0" w:tentative="0">
      <w:start w:val="1"/>
      <w:numFmt w:val="decimal"/>
      <w:lvlText w:val="%1"/>
      <w:lvlJc w:val="left"/>
      <w:pPr>
        <w:ind w:left="86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2">
    <w:nsid w:val="91995D4F"/>
    <w:multiLevelType w:val="multilevel"/>
    <w:tmpl w:val="91995D4F"/>
    <w:lvl w:ilvl="0" w:tentative="0">
      <w:start w:val="1"/>
      <w:numFmt w:val="decimal"/>
      <w:lvlText w:val="%1"/>
      <w:lvlJc w:val="left"/>
      <w:pPr>
        <w:ind w:left="86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3">
    <w:nsid w:val="9239341B"/>
    <w:multiLevelType w:val="multilevel"/>
    <w:tmpl w:val="9239341B"/>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4">
    <w:nsid w:val="9288B902"/>
    <w:multiLevelType w:val="multilevel"/>
    <w:tmpl w:val="9288B902"/>
    <w:lvl w:ilvl="0" w:tentative="0">
      <w:start w:val="7"/>
      <w:numFmt w:val="decimal"/>
      <w:lvlText w:val="%1"/>
      <w:lvlJc w:val="left"/>
      <w:pPr>
        <w:ind w:left="120" w:hanging="737"/>
        <w:jc w:val="left"/>
      </w:pPr>
      <w:rPr>
        <w:rFonts w:hint="default"/>
        <w:lang w:val="zh-CN" w:eastAsia="zh-CN" w:bidi="zh-CN"/>
      </w:rPr>
    </w:lvl>
    <w:lvl w:ilvl="1" w:tentative="0">
      <w:start w:val="1"/>
      <w:numFmt w:val="decimal"/>
      <w:lvlText w:val="%1.%2"/>
      <w:lvlJc w:val="left"/>
      <w:pPr>
        <w:ind w:left="120" w:hanging="737"/>
        <w:jc w:val="left"/>
      </w:pPr>
      <w:rPr>
        <w:rFonts w:hint="default"/>
        <w:lang w:val="zh-CN" w:eastAsia="zh-CN" w:bidi="zh-CN"/>
      </w:rPr>
    </w:lvl>
    <w:lvl w:ilvl="2" w:tentative="0">
      <w:start w:val="1"/>
      <w:numFmt w:val="decimal"/>
      <w:lvlText w:val="%1.%2.%3"/>
      <w:lvlJc w:val="left"/>
      <w:pPr>
        <w:ind w:left="120" w:hanging="737"/>
        <w:jc w:val="left"/>
      </w:pPr>
      <w:rPr>
        <w:rFonts w:hint="default" w:ascii="Times New Roman" w:hAnsi="Times New Roman" w:eastAsia="Times New Roman" w:cs="Times New Roman"/>
        <w:b/>
        <w:bCs/>
        <w:w w:val="100"/>
        <w:sz w:val="21"/>
        <w:szCs w:val="21"/>
        <w:lang w:val="zh-CN" w:eastAsia="zh-CN" w:bidi="zh-CN"/>
      </w:rPr>
    </w:lvl>
    <w:lvl w:ilvl="3" w:tentative="0">
      <w:start w:val="1"/>
      <w:numFmt w:val="decimal"/>
      <w:lvlText w:val="%4"/>
      <w:lvlJc w:val="left"/>
      <w:pPr>
        <w:ind w:left="856" w:hanging="317"/>
        <w:jc w:val="left"/>
      </w:pPr>
      <w:rPr>
        <w:rFonts w:hint="default" w:ascii="Times New Roman" w:hAnsi="Times New Roman" w:eastAsia="Times New Roman" w:cs="Times New Roman"/>
        <w:b/>
        <w:bCs/>
        <w:w w:val="100"/>
        <w:sz w:val="21"/>
        <w:szCs w:val="21"/>
        <w:lang w:val="zh-CN" w:eastAsia="zh-CN" w:bidi="zh-CN"/>
      </w:rPr>
    </w:lvl>
    <w:lvl w:ilvl="4" w:tentative="0">
      <w:start w:val="0"/>
      <w:numFmt w:val="bullet"/>
      <w:lvlText w:val="•"/>
      <w:lvlJc w:val="left"/>
      <w:pPr>
        <w:ind w:left="3455" w:hanging="317"/>
      </w:pPr>
      <w:rPr>
        <w:rFonts w:hint="default"/>
        <w:lang w:val="zh-CN" w:eastAsia="zh-CN" w:bidi="zh-CN"/>
      </w:rPr>
    </w:lvl>
    <w:lvl w:ilvl="5" w:tentative="0">
      <w:start w:val="0"/>
      <w:numFmt w:val="bullet"/>
      <w:lvlText w:val="•"/>
      <w:lvlJc w:val="left"/>
      <w:pPr>
        <w:ind w:left="4320" w:hanging="317"/>
      </w:pPr>
      <w:rPr>
        <w:rFonts w:hint="default"/>
        <w:lang w:val="zh-CN" w:eastAsia="zh-CN" w:bidi="zh-CN"/>
      </w:rPr>
    </w:lvl>
    <w:lvl w:ilvl="6" w:tentative="0">
      <w:start w:val="0"/>
      <w:numFmt w:val="bullet"/>
      <w:lvlText w:val="•"/>
      <w:lvlJc w:val="left"/>
      <w:pPr>
        <w:ind w:left="5185" w:hanging="317"/>
      </w:pPr>
      <w:rPr>
        <w:rFonts w:hint="default"/>
        <w:lang w:val="zh-CN" w:eastAsia="zh-CN" w:bidi="zh-CN"/>
      </w:rPr>
    </w:lvl>
    <w:lvl w:ilvl="7" w:tentative="0">
      <w:start w:val="0"/>
      <w:numFmt w:val="bullet"/>
      <w:lvlText w:val="•"/>
      <w:lvlJc w:val="left"/>
      <w:pPr>
        <w:ind w:left="6050" w:hanging="317"/>
      </w:pPr>
      <w:rPr>
        <w:rFonts w:hint="default"/>
        <w:lang w:val="zh-CN" w:eastAsia="zh-CN" w:bidi="zh-CN"/>
      </w:rPr>
    </w:lvl>
    <w:lvl w:ilvl="8" w:tentative="0">
      <w:start w:val="0"/>
      <w:numFmt w:val="bullet"/>
      <w:lvlText w:val="•"/>
      <w:lvlJc w:val="left"/>
      <w:pPr>
        <w:ind w:left="6916" w:hanging="317"/>
      </w:pPr>
      <w:rPr>
        <w:rFonts w:hint="default"/>
        <w:lang w:val="zh-CN" w:eastAsia="zh-CN" w:bidi="zh-CN"/>
      </w:rPr>
    </w:lvl>
  </w:abstractNum>
  <w:abstractNum w:abstractNumId="5">
    <w:nsid w:val="9C8AC8EF"/>
    <w:multiLevelType w:val="multilevel"/>
    <w:tmpl w:val="9C8AC8EF"/>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6">
    <w:nsid w:val="B0F1ACD9"/>
    <w:multiLevelType w:val="multilevel"/>
    <w:tmpl w:val="B0F1ACD9"/>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7">
    <w:nsid w:val="B5E306ED"/>
    <w:multiLevelType w:val="multilevel"/>
    <w:tmpl w:val="B5E306ED"/>
    <w:lvl w:ilvl="0" w:tentative="0">
      <w:start w:val="2"/>
      <w:numFmt w:val="decimal"/>
      <w:lvlText w:val="%1."/>
      <w:lvlJc w:val="left"/>
      <w:pPr>
        <w:ind w:left="675" w:hanging="183"/>
        <w:jc w:val="left"/>
      </w:pPr>
      <w:rPr>
        <w:rFonts w:hint="default"/>
        <w:spacing w:val="1"/>
        <w:w w:val="100"/>
        <w:lang w:val="zh-CN" w:eastAsia="zh-CN" w:bidi="zh-CN"/>
      </w:rPr>
    </w:lvl>
    <w:lvl w:ilvl="1" w:tentative="0">
      <w:start w:val="0"/>
      <w:numFmt w:val="bullet"/>
      <w:lvlText w:val="•"/>
      <w:lvlJc w:val="left"/>
      <w:pPr>
        <w:ind w:left="2138" w:hanging="183"/>
      </w:pPr>
      <w:rPr>
        <w:rFonts w:hint="default"/>
        <w:lang w:val="zh-CN" w:eastAsia="zh-CN" w:bidi="zh-CN"/>
      </w:rPr>
    </w:lvl>
    <w:lvl w:ilvl="2" w:tentative="0">
      <w:start w:val="0"/>
      <w:numFmt w:val="bullet"/>
      <w:lvlText w:val="•"/>
      <w:lvlJc w:val="left"/>
      <w:pPr>
        <w:ind w:left="3596" w:hanging="183"/>
      </w:pPr>
      <w:rPr>
        <w:rFonts w:hint="default"/>
        <w:lang w:val="zh-CN" w:eastAsia="zh-CN" w:bidi="zh-CN"/>
      </w:rPr>
    </w:lvl>
    <w:lvl w:ilvl="3" w:tentative="0">
      <w:start w:val="0"/>
      <w:numFmt w:val="bullet"/>
      <w:lvlText w:val="•"/>
      <w:lvlJc w:val="left"/>
      <w:pPr>
        <w:ind w:left="5054" w:hanging="183"/>
      </w:pPr>
      <w:rPr>
        <w:rFonts w:hint="default"/>
        <w:lang w:val="zh-CN" w:eastAsia="zh-CN" w:bidi="zh-CN"/>
      </w:rPr>
    </w:lvl>
    <w:lvl w:ilvl="4" w:tentative="0">
      <w:start w:val="0"/>
      <w:numFmt w:val="bullet"/>
      <w:lvlText w:val="•"/>
      <w:lvlJc w:val="left"/>
      <w:pPr>
        <w:ind w:left="6512" w:hanging="183"/>
      </w:pPr>
      <w:rPr>
        <w:rFonts w:hint="default"/>
        <w:lang w:val="zh-CN" w:eastAsia="zh-CN" w:bidi="zh-CN"/>
      </w:rPr>
    </w:lvl>
    <w:lvl w:ilvl="5" w:tentative="0">
      <w:start w:val="0"/>
      <w:numFmt w:val="bullet"/>
      <w:lvlText w:val="•"/>
      <w:lvlJc w:val="left"/>
      <w:pPr>
        <w:ind w:left="7970" w:hanging="183"/>
      </w:pPr>
      <w:rPr>
        <w:rFonts w:hint="default"/>
        <w:lang w:val="zh-CN" w:eastAsia="zh-CN" w:bidi="zh-CN"/>
      </w:rPr>
    </w:lvl>
    <w:lvl w:ilvl="6" w:tentative="0">
      <w:start w:val="0"/>
      <w:numFmt w:val="bullet"/>
      <w:lvlText w:val="•"/>
      <w:lvlJc w:val="left"/>
      <w:pPr>
        <w:ind w:left="9428" w:hanging="183"/>
      </w:pPr>
      <w:rPr>
        <w:rFonts w:hint="default"/>
        <w:lang w:val="zh-CN" w:eastAsia="zh-CN" w:bidi="zh-CN"/>
      </w:rPr>
    </w:lvl>
    <w:lvl w:ilvl="7" w:tentative="0">
      <w:start w:val="0"/>
      <w:numFmt w:val="bullet"/>
      <w:lvlText w:val="•"/>
      <w:lvlJc w:val="left"/>
      <w:pPr>
        <w:ind w:left="10886" w:hanging="183"/>
      </w:pPr>
      <w:rPr>
        <w:rFonts w:hint="default"/>
        <w:lang w:val="zh-CN" w:eastAsia="zh-CN" w:bidi="zh-CN"/>
      </w:rPr>
    </w:lvl>
    <w:lvl w:ilvl="8" w:tentative="0">
      <w:start w:val="0"/>
      <w:numFmt w:val="bullet"/>
      <w:lvlText w:val="•"/>
      <w:lvlJc w:val="left"/>
      <w:pPr>
        <w:ind w:left="12344" w:hanging="183"/>
      </w:pPr>
      <w:rPr>
        <w:rFonts w:hint="default"/>
        <w:lang w:val="zh-CN" w:eastAsia="zh-CN" w:bidi="zh-CN"/>
      </w:rPr>
    </w:lvl>
  </w:abstractNum>
  <w:abstractNum w:abstractNumId="8">
    <w:nsid w:val="B8CEF35B"/>
    <w:multiLevelType w:val="multilevel"/>
    <w:tmpl w:val="B8CEF35B"/>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9">
    <w:nsid w:val="BB64CFA9"/>
    <w:multiLevelType w:val="multilevel"/>
    <w:tmpl w:val="BB64CFA9"/>
    <w:lvl w:ilvl="0" w:tentative="0">
      <w:start w:val="1"/>
      <w:numFmt w:val="decimal"/>
      <w:lvlText w:val="%1"/>
      <w:lvlJc w:val="left"/>
      <w:pPr>
        <w:ind w:left="86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10">
    <w:nsid w:val="BE923771"/>
    <w:multiLevelType w:val="multilevel"/>
    <w:tmpl w:val="BE923771"/>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11">
    <w:nsid w:val="BF205925"/>
    <w:multiLevelType w:val="multilevel"/>
    <w:tmpl w:val="BF205925"/>
    <w:lvl w:ilvl="0" w:tentative="0">
      <w:start w:val="3"/>
      <w:numFmt w:val="decimal"/>
      <w:lvlText w:val="%1"/>
      <w:lvlJc w:val="left"/>
      <w:pPr>
        <w:ind w:left="5520" w:hanging="279"/>
        <w:jc w:val="right"/>
      </w:pPr>
      <w:rPr>
        <w:rFonts w:hint="default" w:ascii="Times New Roman" w:hAnsi="Times New Roman" w:eastAsia="Times New Roman" w:cs="Times New Roman"/>
        <w:b/>
        <w:bCs/>
        <w:w w:val="100"/>
        <w:sz w:val="28"/>
        <w:szCs w:val="28"/>
        <w:lang w:val="zh-CN" w:eastAsia="zh-CN" w:bidi="zh-CN"/>
      </w:rPr>
    </w:lvl>
    <w:lvl w:ilvl="1" w:tentative="0">
      <w:start w:val="1"/>
      <w:numFmt w:val="decimal"/>
      <w:lvlText w:val="%1.%2"/>
      <w:lvlJc w:val="left"/>
      <w:pPr>
        <w:ind w:left="5777" w:hanging="370"/>
        <w:jc w:val="right"/>
      </w:pPr>
      <w:rPr>
        <w:rFonts w:hint="default" w:ascii="Times New Roman" w:hAnsi="Times New Roman" w:eastAsia="Times New Roman" w:cs="Times New Roman"/>
        <w:b/>
        <w:bCs/>
        <w:w w:val="100"/>
        <w:sz w:val="21"/>
        <w:szCs w:val="21"/>
        <w:lang w:val="zh-CN" w:eastAsia="zh-CN" w:bidi="zh-CN"/>
      </w:rPr>
    </w:lvl>
    <w:lvl w:ilvl="2" w:tentative="0">
      <w:start w:val="0"/>
      <w:numFmt w:val="bullet"/>
      <w:lvlText w:val="•"/>
      <w:lvlJc w:val="left"/>
      <w:pPr>
        <w:ind w:left="5780" w:hanging="370"/>
      </w:pPr>
      <w:rPr>
        <w:rFonts w:hint="default"/>
        <w:lang w:val="zh-CN" w:eastAsia="zh-CN" w:bidi="zh-CN"/>
      </w:rPr>
    </w:lvl>
    <w:lvl w:ilvl="3" w:tentative="0">
      <w:start w:val="0"/>
      <w:numFmt w:val="bullet"/>
      <w:lvlText w:val="•"/>
      <w:lvlJc w:val="left"/>
      <w:pPr>
        <w:ind w:left="6138" w:hanging="370"/>
      </w:pPr>
      <w:rPr>
        <w:rFonts w:hint="default"/>
        <w:lang w:val="zh-CN" w:eastAsia="zh-CN" w:bidi="zh-CN"/>
      </w:rPr>
    </w:lvl>
    <w:lvl w:ilvl="4" w:tentative="0">
      <w:start w:val="0"/>
      <w:numFmt w:val="bullet"/>
      <w:lvlText w:val="•"/>
      <w:lvlJc w:val="left"/>
      <w:pPr>
        <w:ind w:left="6496" w:hanging="370"/>
      </w:pPr>
      <w:rPr>
        <w:rFonts w:hint="default"/>
        <w:lang w:val="zh-CN" w:eastAsia="zh-CN" w:bidi="zh-CN"/>
      </w:rPr>
    </w:lvl>
    <w:lvl w:ilvl="5" w:tentative="0">
      <w:start w:val="0"/>
      <w:numFmt w:val="bullet"/>
      <w:lvlText w:val="•"/>
      <w:lvlJc w:val="left"/>
      <w:pPr>
        <w:ind w:left="6854" w:hanging="370"/>
      </w:pPr>
      <w:rPr>
        <w:rFonts w:hint="default"/>
        <w:lang w:val="zh-CN" w:eastAsia="zh-CN" w:bidi="zh-CN"/>
      </w:rPr>
    </w:lvl>
    <w:lvl w:ilvl="6" w:tentative="0">
      <w:start w:val="0"/>
      <w:numFmt w:val="bullet"/>
      <w:lvlText w:val="•"/>
      <w:lvlJc w:val="left"/>
      <w:pPr>
        <w:ind w:left="7213" w:hanging="370"/>
      </w:pPr>
      <w:rPr>
        <w:rFonts w:hint="default"/>
        <w:lang w:val="zh-CN" w:eastAsia="zh-CN" w:bidi="zh-CN"/>
      </w:rPr>
    </w:lvl>
    <w:lvl w:ilvl="7" w:tentative="0">
      <w:start w:val="0"/>
      <w:numFmt w:val="bullet"/>
      <w:lvlText w:val="•"/>
      <w:lvlJc w:val="left"/>
      <w:pPr>
        <w:ind w:left="7571" w:hanging="370"/>
      </w:pPr>
      <w:rPr>
        <w:rFonts w:hint="default"/>
        <w:lang w:val="zh-CN" w:eastAsia="zh-CN" w:bidi="zh-CN"/>
      </w:rPr>
    </w:lvl>
    <w:lvl w:ilvl="8" w:tentative="0">
      <w:start w:val="0"/>
      <w:numFmt w:val="bullet"/>
      <w:lvlText w:val="•"/>
      <w:lvlJc w:val="left"/>
      <w:pPr>
        <w:ind w:left="7929" w:hanging="370"/>
      </w:pPr>
      <w:rPr>
        <w:rFonts w:hint="default"/>
        <w:lang w:val="zh-CN" w:eastAsia="zh-CN" w:bidi="zh-CN"/>
      </w:rPr>
    </w:lvl>
  </w:abstractNum>
  <w:abstractNum w:abstractNumId="12">
    <w:nsid w:val="C8879AEF"/>
    <w:multiLevelType w:val="multilevel"/>
    <w:tmpl w:val="C8879AEF"/>
    <w:lvl w:ilvl="0" w:tentative="0">
      <w:start w:val="1"/>
      <w:numFmt w:val="decimal"/>
      <w:lvlText w:val="%1"/>
      <w:lvlJc w:val="left"/>
      <w:pPr>
        <w:ind w:left="11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3640" w:hanging="317"/>
      </w:pPr>
      <w:rPr>
        <w:rFonts w:hint="default"/>
        <w:lang w:val="zh-CN" w:eastAsia="zh-CN" w:bidi="zh-CN"/>
      </w:rPr>
    </w:lvl>
    <w:lvl w:ilvl="2" w:tentative="0">
      <w:start w:val="0"/>
      <w:numFmt w:val="bullet"/>
      <w:lvlText w:val="•"/>
      <w:lvlJc w:val="left"/>
      <w:pPr>
        <w:ind w:left="4040" w:hanging="317"/>
      </w:pPr>
      <w:rPr>
        <w:rFonts w:hint="default"/>
        <w:lang w:val="zh-CN" w:eastAsia="zh-CN" w:bidi="zh-CN"/>
      </w:rPr>
    </w:lvl>
    <w:lvl w:ilvl="3" w:tentative="0">
      <w:start w:val="0"/>
      <w:numFmt w:val="bullet"/>
      <w:lvlText w:val="•"/>
      <w:lvlJc w:val="left"/>
      <w:pPr>
        <w:ind w:left="4615" w:hanging="317"/>
      </w:pPr>
      <w:rPr>
        <w:rFonts w:hint="default"/>
        <w:lang w:val="zh-CN" w:eastAsia="zh-CN" w:bidi="zh-CN"/>
      </w:rPr>
    </w:lvl>
    <w:lvl w:ilvl="4" w:tentative="0">
      <w:start w:val="0"/>
      <w:numFmt w:val="bullet"/>
      <w:lvlText w:val="•"/>
      <w:lvlJc w:val="left"/>
      <w:pPr>
        <w:ind w:left="5191" w:hanging="317"/>
      </w:pPr>
      <w:rPr>
        <w:rFonts w:hint="default"/>
        <w:lang w:val="zh-CN" w:eastAsia="zh-CN" w:bidi="zh-CN"/>
      </w:rPr>
    </w:lvl>
    <w:lvl w:ilvl="5" w:tentative="0">
      <w:start w:val="0"/>
      <w:numFmt w:val="bullet"/>
      <w:lvlText w:val="•"/>
      <w:lvlJc w:val="left"/>
      <w:pPr>
        <w:ind w:left="5767" w:hanging="317"/>
      </w:pPr>
      <w:rPr>
        <w:rFonts w:hint="default"/>
        <w:lang w:val="zh-CN" w:eastAsia="zh-CN" w:bidi="zh-CN"/>
      </w:rPr>
    </w:lvl>
    <w:lvl w:ilvl="6" w:tentative="0">
      <w:start w:val="0"/>
      <w:numFmt w:val="bullet"/>
      <w:lvlText w:val="•"/>
      <w:lvlJc w:val="left"/>
      <w:pPr>
        <w:ind w:left="6343" w:hanging="317"/>
      </w:pPr>
      <w:rPr>
        <w:rFonts w:hint="default"/>
        <w:lang w:val="zh-CN" w:eastAsia="zh-CN" w:bidi="zh-CN"/>
      </w:rPr>
    </w:lvl>
    <w:lvl w:ilvl="7" w:tentative="0">
      <w:start w:val="0"/>
      <w:numFmt w:val="bullet"/>
      <w:lvlText w:val="•"/>
      <w:lvlJc w:val="left"/>
      <w:pPr>
        <w:ind w:left="6919" w:hanging="317"/>
      </w:pPr>
      <w:rPr>
        <w:rFonts w:hint="default"/>
        <w:lang w:val="zh-CN" w:eastAsia="zh-CN" w:bidi="zh-CN"/>
      </w:rPr>
    </w:lvl>
    <w:lvl w:ilvl="8" w:tentative="0">
      <w:start w:val="0"/>
      <w:numFmt w:val="bullet"/>
      <w:lvlText w:val="•"/>
      <w:lvlJc w:val="left"/>
      <w:pPr>
        <w:ind w:left="7494" w:hanging="317"/>
      </w:pPr>
      <w:rPr>
        <w:rFonts w:hint="default"/>
        <w:lang w:val="zh-CN" w:eastAsia="zh-CN" w:bidi="zh-CN"/>
      </w:rPr>
    </w:lvl>
  </w:abstractNum>
  <w:abstractNum w:abstractNumId="13">
    <w:nsid w:val="CF092B84"/>
    <w:multiLevelType w:val="multilevel"/>
    <w:tmpl w:val="CF092B84"/>
    <w:lvl w:ilvl="0" w:tentative="0">
      <w:start w:val="1"/>
      <w:numFmt w:val="decimal"/>
      <w:lvlText w:val="%1"/>
      <w:lvlJc w:val="left"/>
      <w:pPr>
        <w:ind w:left="602" w:hanging="632"/>
        <w:jc w:val="left"/>
      </w:pPr>
      <w:rPr>
        <w:rFonts w:hint="default"/>
        <w:lang w:val="zh-CN" w:eastAsia="zh-CN" w:bidi="zh-CN"/>
      </w:rPr>
    </w:lvl>
    <w:lvl w:ilvl="1" w:tentative="0">
      <w:start w:val="0"/>
      <w:numFmt w:val="decimal"/>
      <w:lvlText w:val="%1.%2"/>
      <w:lvlJc w:val="left"/>
      <w:pPr>
        <w:ind w:left="602" w:hanging="632"/>
        <w:jc w:val="left"/>
      </w:pPr>
      <w:rPr>
        <w:rFonts w:hint="default"/>
        <w:lang w:val="zh-CN" w:eastAsia="zh-CN" w:bidi="zh-CN"/>
      </w:rPr>
    </w:lvl>
    <w:lvl w:ilvl="2" w:tentative="0">
      <w:start w:val="1"/>
      <w:numFmt w:val="decimal"/>
      <w:lvlText w:val="%1.%2.%3"/>
      <w:lvlJc w:val="left"/>
      <w:pPr>
        <w:ind w:left="602" w:hanging="632"/>
        <w:jc w:val="left"/>
      </w:pPr>
      <w:rPr>
        <w:rFonts w:hint="default" w:ascii="Times New Roman" w:hAnsi="Times New Roman" w:eastAsia="Times New Roman" w:cs="Times New Roman"/>
        <w:b/>
        <w:bCs/>
        <w:w w:val="100"/>
        <w:sz w:val="21"/>
        <w:szCs w:val="21"/>
        <w:lang w:val="zh-CN" w:eastAsia="zh-CN" w:bidi="zh-CN"/>
      </w:rPr>
    </w:lvl>
    <w:lvl w:ilvl="3" w:tentative="0">
      <w:start w:val="0"/>
      <w:numFmt w:val="bullet"/>
      <w:lvlText w:val="•"/>
      <w:lvlJc w:val="left"/>
      <w:pPr>
        <w:ind w:left="3379" w:hanging="632"/>
      </w:pPr>
      <w:rPr>
        <w:rFonts w:hint="default"/>
        <w:lang w:val="zh-CN" w:eastAsia="zh-CN" w:bidi="zh-CN"/>
      </w:rPr>
    </w:lvl>
    <w:lvl w:ilvl="4" w:tentative="0">
      <w:start w:val="0"/>
      <w:numFmt w:val="bullet"/>
      <w:lvlText w:val="•"/>
      <w:lvlJc w:val="left"/>
      <w:pPr>
        <w:ind w:left="4306" w:hanging="632"/>
      </w:pPr>
      <w:rPr>
        <w:rFonts w:hint="default"/>
        <w:lang w:val="zh-CN" w:eastAsia="zh-CN" w:bidi="zh-CN"/>
      </w:rPr>
    </w:lvl>
    <w:lvl w:ilvl="5" w:tentative="0">
      <w:start w:val="0"/>
      <w:numFmt w:val="bullet"/>
      <w:lvlText w:val="•"/>
      <w:lvlJc w:val="left"/>
      <w:pPr>
        <w:ind w:left="5233" w:hanging="632"/>
      </w:pPr>
      <w:rPr>
        <w:rFonts w:hint="default"/>
        <w:lang w:val="zh-CN" w:eastAsia="zh-CN" w:bidi="zh-CN"/>
      </w:rPr>
    </w:lvl>
    <w:lvl w:ilvl="6" w:tentative="0">
      <w:start w:val="0"/>
      <w:numFmt w:val="bullet"/>
      <w:lvlText w:val="•"/>
      <w:lvlJc w:val="left"/>
      <w:pPr>
        <w:ind w:left="6159" w:hanging="632"/>
      </w:pPr>
      <w:rPr>
        <w:rFonts w:hint="default"/>
        <w:lang w:val="zh-CN" w:eastAsia="zh-CN" w:bidi="zh-CN"/>
      </w:rPr>
    </w:lvl>
    <w:lvl w:ilvl="7" w:tentative="0">
      <w:start w:val="0"/>
      <w:numFmt w:val="bullet"/>
      <w:lvlText w:val="•"/>
      <w:lvlJc w:val="left"/>
      <w:pPr>
        <w:ind w:left="7086" w:hanging="632"/>
      </w:pPr>
      <w:rPr>
        <w:rFonts w:hint="default"/>
        <w:lang w:val="zh-CN" w:eastAsia="zh-CN" w:bidi="zh-CN"/>
      </w:rPr>
    </w:lvl>
    <w:lvl w:ilvl="8" w:tentative="0">
      <w:start w:val="0"/>
      <w:numFmt w:val="bullet"/>
      <w:lvlText w:val="•"/>
      <w:lvlJc w:val="left"/>
      <w:pPr>
        <w:ind w:left="8013" w:hanging="632"/>
      </w:pPr>
      <w:rPr>
        <w:rFonts w:hint="default"/>
        <w:lang w:val="zh-CN" w:eastAsia="zh-CN" w:bidi="zh-CN"/>
      </w:rPr>
    </w:lvl>
  </w:abstractNum>
  <w:abstractNum w:abstractNumId="14">
    <w:nsid w:val="D7F9FE59"/>
    <w:multiLevelType w:val="multilevel"/>
    <w:tmpl w:val="D7F9FE59"/>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15">
    <w:nsid w:val="DCBA6B53"/>
    <w:multiLevelType w:val="multilevel"/>
    <w:tmpl w:val="DCBA6B53"/>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16">
    <w:nsid w:val="E093A4B0"/>
    <w:multiLevelType w:val="multilevel"/>
    <w:tmpl w:val="E093A4B0"/>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17">
    <w:nsid w:val="F4B5D9F5"/>
    <w:multiLevelType w:val="multilevel"/>
    <w:tmpl w:val="F4B5D9F5"/>
    <w:lvl w:ilvl="0" w:tentative="0">
      <w:start w:val="1"/>
      <w:numFmt w:val="decimal"/>
      <w:lvlText w:val="%1"/>
      <w:lvlJc w:val="left"/>
      <w:pPr>
        <w:ind w:left="121"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18">
    <w:nsid w:val="F7735DC9"/>
    <w:multiLevelType w:val="multilevel"/>
    <w:tmpl w:val="F7735DC9"/>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19">
    <w:nsid w:val="0053208E"/>
    <w:multiLevelType w:val="multilevel"/>
    <w:tmpl w:val="0053208E"/>
    <w:lvl w:ilvl="0" w:tentative="0">
      <w:start w:val="1"/>
      <w:numFmt w:val="decimal"/>
      <w:lvlText w:val="%1"/>
      <w:lvlJc w:val="left"/>
      <w:pPr>
        <w:ind w:left="813" w:hanging="212"/>
        <w:jc w:val="left"/>
      </w:pPr>
      <w:rPr>
        <w:rFonts w:hint="default" w:ascii="Times New Roman" w:hAnsi="Times New Roman" w:eastAsia="Times New Roman" w:cs="Times New Roman"/>
        <w:b/>
        <w:bCs/>
        <w:w w:val="100"/>
        <w:sz w:val="21"/>
        <w:szCs w:val="21"/>
        <w:lang w:val="zh-CN" w:eastAsia="zh-CN" w:bidi="zh-CN"/>
      </w:rPr>
    </w:lvl>
    <w:lvl w:ilvl="1" w:tentative="0">
      <w:start w:val="1"/>
      <w:numFmt w:val="decimal"/>
      <w:lvlText w:val="%1.%2"/>
      <w:lvlJc w:val="left"/>
      <w:pPr>
        <w:ind w:left="1392" w:hanging="370"/>
        <w:jc w:val="left"/>
      </w:pPr>
      <w:rPr>
        <w:rFonts w:hint="default" w:ascii="Times New Roman" w:hAnsi="Times New Roman" w:eastAsia="Times New Roman" w:cs="Times New Roman"/>
        <w:w w:val="100"/>
        <w:sz w:val="21"/>
        <w:szCs w:val="21"/>
        <w:lang w:val="zh-CN" w:eastAsia="zh-CN" w:bidi="zh-CN"/>
      </w:rPr>
    </w:lvl>
    <w:lvl w:ilvl="2" w:tentative="0">
      <w:start w:val="0"/>
      <w:numFmt w:val="bullet"/>
      <w:lvlText w:val="•"/>
      <w:lvlJc w:val="left"/>
      <w:pPr>
        <w:ind w:left="2340" w:hanging="370"/>
      </w:pPr>
      <w:rPr>
        <w:rFonts w:hint="default"/>
        <w:lang w:val="zh-CN" w:eastAsia="zh-CN" w:bidi="zh-CN"/>
      </w:rPr>
    </w:lvl>
    <w:lvl w:ilvl="3" w:tentative="0">
      <w:start w:val="0"/>
      <w:numFmt w:val="bullet"/>
      <w:lvlText w:val="•"/>
      <w:lvlJc w:val="left"/>
      <w:pPr>
        <w:ind w:left="3281" w:hanging="370"/>
      </w:pPr>
      <w:rPr>
        <w:rFonts w:hint="default"/>
        <w:lang w:val="zh-CN" w:eastAsia="zh-CN" w:bidi="zh-CN"/>
      </w:rPr>
    </w:lvl>
    <w:lvl w:ilvl="4" w:tentative="0">
      <w:start w:val="0"/>
      <w:numFmt w:val="bullet"/>
      <w:lvlText w:val="•"/>
      <w:lvlJc w:val="left"/>
      <w:pPr>
        <w:ind w:left="4222" w:hanging="370"/>
      </w:pPr>
      <w:rPr>
        <w:rFonts w:hint="default"/>
        <w:lang w:val="zh-CN" w:eastAsia="zh-CN" w:bidi="zh-CN"/>
      </w:rPr>
    </w:lvl>
    <w:lvl w:ilvl="5" w:tentative="0">
      <w:start w:val="0"/>
      <w:numFmt w:val="bullet"/>
      <w:lvlText w:val="•"/>
      <w:lvlJc w:val="left"/>
      <w:pPr>
        <w:ind w:left="5162" w:hanging="370"/>
      </w:pPr>
      <w:rPr>
        <w:rFonts w:hint="default"/>
        <w:lang w:val="zh-CN" w:eastAsia="zh-CN" w:bidi="zh-CN"/>
      </w:rPr>
    </w:lvl>
    <w:lvl w:ilvl="6" w:tentative="0">
      <w:start w:val="0"/>
      <w:numFmt w:val="bullet"/>
      <w:lvlText w:val="•"/>
      <w:lvlJc w:val="left"/>
      <w:pPr>
        <w:ind w:left="6103" w:hanging="370"/>
      </w:pPr>
      <w:rPr>
        <w:rFonts w:hint="default"/>
        <w:lang w:val="zh-CN" w:eastAsia="zh-CN" w:bidi="zh-CN"/>
      </w:rPr>
    </w:lvl>
    <w:lvl w:ilvl="7" w:tentative="0">
      <w:start w:val="0"/>
      <w:numFmt w:val="bullet"/>
      <w:lvlText w:val="•"/>
      <w:lvlJc w:val="left"/>
      <w:pPr>
        <w:ind w:left="7044" w:hanging="370"/>
      </w:pPr>
      <w:rPr>
        <w:rFonts w:hint="default"/>
        <w:lang w:val="zh-CN" w:eastAsia="zh-CN" w:bidi="zh-CN"/>
      </w:rPr>
    </w:lvl>
    <w:lvl w:ilvl="8" w:tentative="0">
      <w:start w:val="0"/>
      <w:numFmt w:val="bullet"/>
      <w:lvlText w:val="•"/>
      <w:lvlJc w:val="left"/>
      <w:pPr>
        <w:ind w:left="7984" w:hanging="370"/>
      </w:pPr>
      <w:rPr>
        <w:rFonts w:hint="default"/>
        <w:lang w:val="zh-CN" w:eastAsia="zh-CN" w:bidi="zh-CN"/>
      </w:rPr>
    </w:lvl>
  </w:abstractNum>
  <w:abstractNum w:abstractNumId="20">
    <w:nsid w:val="0248C179"/>
    <w:multiLevelType w:val="multilevel"/>
    <w:tmpl w:val="0248C179"/>
    <w:lvl w:ilvl="0" w:tentative="0">
      <w:start w:val="1"/>
      <w:numFmt w:val="decimal"/>
      <w:lvlText w:val="%1"/>
      <w:lvlJc w:val="left"/>
      <w:pPr>
        <w:ind w:left="11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21">
    <w:nsid w:val="03D62ECE"/>
    <w:multiLevelType w:val="multilevel"/>
    <w:tmpl w:val="03D62ECE"/>
    <w:lvl w:ilvl="0" w:tentative="0">
      <w:start w:val="2"/>
      <w:numFmt w:val="decimal"/>
      <w:lvlText w:val="%1."/>
      <w:lvlJc w:val="left"/>
      <w:pPr>
        <w:ind w:left="764" w:hanging="274"/>
        <w:jc w:val="right"/>
      </w:pPr>
      <w:rPr>
        <w:rFonts w:hint="default"/>
        <w:spacing w:val="0"/>
        <w:w w:val="100"/>
        <w:lang w:val="zh-CN" w:eastAsia="zh-CN" w:bidi="zh-CN"/>
      </w:rPr>
    </w:lvl>
    <w:lvl w:ilvl="1" w:tentative="0">
      <w:start w:val="0"/>
      <w:numFmt w:val="bullet"/>
      <w:lvlText w:val="•"/>
      <w:lvlJc w:val="left"/>
      <w:pPr>
        <w:ind w:left="2210" w:hanging="274"/>
      </w:pPr>
      <w:rPr>
        <w:rFonts w:hint="default"/>
        <w:lang w:val="zh-CN" w:eastAsia="zh-CN" w:bidi="zh-CN"/>
      </w:rPr>
    </w:lvl>
    <w:lvl w:ilvl="2" w:tentative="0">
      <w:start w:val="0"/>
      <w:numFmt w:val="bullet"/>
      <w:lvlText w:val="•"/>
      <w:lvlJc w:val="left"/>
      <w:pPr>
        <w:ind w:left="3660" w:hanging="274"/>
      </w:pPr>
      <w:rPr>
        <w:rFonts w:hint="default"/>
        <w:lang w:val="zh-CN" w:eastAsia="zh-CN" w:bidi="zh-CN"/>
      </w:rPr>
    </w:lvl>
    <w:lvl w:ilvl="3" w:tentative="0">
      <w:start w:val="0"/>
      <w:numFmt w:val="bullet"/>
      <w:lvlText w:val="•"/>
      <w:lvlJc w:val="left"/>
      <w:pPr>
        <w:ind w:left="5110" w:hanging="274"/>
      </w:pPr>
      <w:rPr>
        <w:rFonts w:hint="default"/>
        <w:lang w:val="zh-CN" w:eastAsia="zh-CN" w:bidi="zh-CN"/>
      </w:rPr>
    </w:lvl>
    <w:lvl w:ilvl="4" w:tentative="0">
      <w:start w:val="0"/>
      <w:numFmt w:val="bullet"/>
      <w:lvlText w:val="•"/>
      <w:lvlJc w:val="left"/>
      <w:pPr>
        <w:ind w:left="6560" w:hanging="274"/>
      </w:pPr>
      <w:rPr>
        <w:rFonts w:hint="default"/>
        <w:lang w:val="zh-CN" w:eastAsia="zh-CN" w:bidi="zh-CN"/>
      </w:rPr>
    </w:lvl>
    <w:lvl w:ilvl="5" w:tentative="0">
      <w:start w:val="0"/>
      <w:numFmt w:val="bullet"/>
      <w:lvlText w:val="•"/>
      <w:lvlJc w:val="left"/>
      <w:pPr>
        <w:ind w:left="8010" w:hanging="274"/>
      </w:pPr>
      <w:rPr>
        <w:rFonts w:hint="default"/>
        <w:lang w:val="zh-CN" w:eastAsia="zh-CN" w:bidi="zh-CN"/>
      </w:rPr>
    </w:lvl>
    <w:lvl w:ilvl="6" w:tentative="0">
      <w:start w:val="0"/>
      <w:numFmt w:val="bullet"/>
      <w:lvlText w:val="•"/>
      <w:lvlJc w:val="left"/>
      <w:pPr>
        <w:ind w:left="9460" w:hanging="274"/>
      </w:pPr>
      <w:rPr>
        <w:rFonts w:hint="default"/>
        <w:lang w:val="zh-CN" w:eastAsia="zh-CN" w:bidi="zh-CN"/>
      </w:rPr>
    </w:lvl>
    <w:lvl w:ilvl="7" w:tentative="0">
      <w:start w:val="0"/>
      <w:numFmt w:val="bullet"/>
      <w:lvlText w:val="•"/>
      <w:lvlJc w:val="left"/>
      <w:pPr>
        <w:ind w:left="10910" w:hanging="274"/>
      </w:pPr>
      <w:rPr>
        <w:rFonts w:hint="default"/>
        <w:lang w:val="zh-CN" w:eastAsia="zh-CN" w:bidi="zh-CN"/>
      </w:rPr>
    </w:lvl>
    <w:lvl w:ilvl="8" w:tentative="0">
      <w:start w:val="0"/>
      <w:numFmt w:val="bullet"/>
      <w:lvlText w:val="•"/>
      <w:lvlJc w:val="left"/>
      <w:pPr>
        <w:ind w:left="12360" w:hanging="274"/>
      </w:pPr>
      <w:rPr>
        <w:rFonts w:hint="default"/>
        <w:lang w:val="zh-CN" w:eastAsia="zh-CN" w:bidi="zh-CN"/>
      </w:rPr>
    </w:lvl>
  </w:abstractNum>
  <w:abstractNum w:abstractNumId="22">
    <w:nsid w:val="0E640482"/>
    <w:multiLevelType w:val="multilevel"/>
    <w:tmpl w:val="0E640482"/>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23">
    <w:nsid w:val="243FCF68"/>
    <w:multiLevelType w:val="multilevel"/>
    <w:tmpl w:val="243FCF68"/>
    <w:lvl w:ilvl="0" w:tentative="0">
      <w:start w:val="1"/>
      <w:numFmt w:val="decimal"/>
      <w:lvlText w:val="%1"/>
      <w:lvlJc w:val="left"/>
      <w:pPr>
        <w:ind w:left="86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24">
    <w:nsid w:val="2470EC97"/>
    <w:multiLevelType w:val="multilevel"/>
    <w:tmpl w:val="2470EC97"/>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25">
    <w:nsid w:val="25B654F3"/>
    <w:multiLevelType w:val="multilevel"/>
    <w:tmpl w:val="25B654F3"/>
    <w:lvl w:ilvl="0" w:tentative="0">
      <w:start w:val="4"/>
      <w:numFmt w:val="decimal"/>
      <w:lvlText w:val="%1"/>
      <w:lvlJc w:val="left"/>
      <w:pPr>
        <w:ind w:left="120" w:hanging="737"/>
        <w:jc w:val="left"/>
      </w:pPr>
      <w:rPr>
        <w:rFonts w:hint="default"/>
        <w:lang w:val="zh-CN" w:eastAsia="zh-CN" w:bidi="zh-CN"/>
      </w:rPr>
    </w:lvl>
    <w:lvl w:ilvl="1" w:tentative="0">
      <w:start w:val="1"/>
      <w:numFmt w:val="decimal"/>
      <w:lvlText w:val="%1.%2"/>
      <w:lvlJc w:val="left"/>
      <w:pPr>
        <w:ind w:left="120" w:hanging="737"/>
        <w:jc w:val="left"/>
      </w:pPr>
      <w:rPr>
        <w:rFonts w:hint="default"/>
        <w:lang w:val="zh-CN" w:eastAsia="zh-CN" w:bidi="zh-CN"/>
      </w:rPr>
    </w:lvl>
    <w:lvl w:ilvl="2" w:tentative="0">
      <w:start w:val="1"/>
      <w:numFmt w:val="decimal"/>
      <w:lvlText w:val="%1.%2.%3"/>
      <w:lvlJc w:val="left"/>
      <w:pPr>
        <w:ind w:left="120" w:hanging="737"/>
        <w:jc w:val="left"/>
      </w:pPr>
      <w:rPr>
        <w:rFonts w:hint="default" w:ascii="Times New Roman" w:hAnsi="Times New Roman" w:eastAsia="Times New Roman" w:cs="Times New Roman"/>
        <w:b/>
        <w:bCs/>
        <w:w w:val="100"/>
        <w:sz w:val="21"/>
        <w:szCs w:val="21"/>
        <w:lang w:val="zh-CN" w:eastAsia="zh-CN" w:bidi="zh-CN"/>
      </w:rPr>
    </w:lvl>
    <w:lvl w:ilvl="3" w:tentative="0">
      <w:start w:val="1"/>
      <w:numFmt w:val="decimal"/>
      <w:lvlText w:val="%4"/>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26">
    <w:nsid w:val="2A8F537B"/>
    <w:multiLevelType w:val="multilevel"/>
    <w:tmpl w:val="2A8F537B"/>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27">
    <w:nsid w:val="30FC5B15"/>
    <w:multiLevelType w:val="multilevel"/>
    <w:tmpl w:val="30FC5B15"/>
    <w:lvl w:ilvl="0" w:tentative="0">
      <w:start w:val="1"/>
      <w:numFmt w:val="decimal"/>
      <w:lvlText w:val="%1"/>
      <w:lvlJc w:val="left"/>
      <w:pPr>
        <w:ind w:left="54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3640" w:hanging="317"/>
      </w:pPr>
      <w:rPr>
        <w:rFonts w:hint="default"/>
        <w:lang w:val="zh-CN" w:eastAsia="zh-CN" w:bidi="zh-CN"/>
      </w:rPr>
    </w:lvl>
    <w:lvl w:ilvl="2" w:tentative="0">
      <w:start w:val="0"/>
      <w:numFmt w:val="bullet"/>
      <w:lvlText w:val="•"/>
      <w:lvlJc w:val="left"/>
      <w:pPr>
        <w:ind w:left="4040" w:hanging="317"/>
      </w:pPr>
      <w:rPr>
        <w:rFonts w:hint="default"/>
        <w:lang w:val="zh-CN" w:eastAsia="zh-CN" w:bidi="zh-CN"/>
      </w:rPr>
    </w:lvl>
    <w:lvl w:ilvl="3" w:tentative="0">
      <w:start w:val="0"/>
      <w:numFmt w:val="bullet"/>
      <w:lvlText w:val="•"/>
      <w:lvlJc w:val="left"/>
      <w:pPr>
        <w:ind w:left="4615" w:hanging="317"/>
      </w:pPr>
      <w:rPr>
        <w:rFonts w:hint="default"/>
        <w:lang w:val="zh-CN" w:eastAsia="zh-CN" w:bidi="zh-CN"/>
      </w:rPr>
    </w:lvl>
    <w:lvl w:ilvl="4" w:tentative="0">
      <w:start w:val="0"/>
      <w:numFmt w:val="bullet"/>
      <w:lvlText w:val="•"/>
      <w:lvlJc w:val="left"/>
      <w:pPr>
        <w:ind w:left="5191" w:hanging="317"/>
      </w:pPr>
      <w:rPr>
        <w:rFonts w:hint="default"/>
        <w:lang w:val="zh-CN" w:eastAsia="zh-CN" w:bidi="zh-CN"/>
      </w:rPr>
    </w:lvl>
    <w:lvl w:ilvl="5" w:tentative="0">
      <w:start w:val="0"/>
      <w:numFmt w:val="bullet"/>
      <w:lvlText w:val="•"/>
      <w:lvlJc w:val="left"/>
      <w:pPr>
        <w:ind w:left="5767" w:hanging="317"/>
      </w:pPr>
      <w:rPr>
        <w:rFonts w:hint="default"/>
        <w:lang w:val="zh-CN" w:eastAsia="zh-CN" w:bidi="zh-CN"/>
      </w:rPr>
    </w:lvl>
    <w:lvl w:ilvl="6" w:tentative="0">
      <w:start w:val="0"/>
      <w:numFmt w:val="bullet"/>
      <w:lvlText w:val="•"/>
      <w:lvlJc w:val="left"/>
      <w:pPr>
        <w:ind w:left="6343" w:hanging="317"/>
      </w:pPr>
      <w:rPr>
        <w:rFonts w:hint="default"/>
        <w:lang w:val="zh-CN" w:eastAsia="zh-CN" w:bidi="zh-CN"/>
      </w:rPr>
    </w:lvl>
    <w:lvl w:ilvl="7" w:tentative="0">
      <w:start w:val="0"/>
      <w:numFmt w:val="bullet"/>
      <w:lvlText w:val="•"/>
      <w:lvlJc w:val="left"/>
      <w:pPr>
        <w:ind w:left="6919" w:hanging="317"/>
      </w:pPr>
      <w:rPr>
        <w:rFonts w:hint="default"/>
        <w:lang w:val="zh-CN" w:eastAsia="zh-CN" w:bidi="zh-CN"/>
      </w:rPr>
    </w:lvl>
    <w:lvl w:ilvl="8" w:tentative="0">
      <w:start w:val="0"/>
      <w:numFmt w:val="bullet"/>
      <w:lvlText w:val="•"/>
      <w:lvlJc w:val="left"/>
      <w:pPr>
        <w:ind w:left="7494" w:hanging="317"/>
      </w:pPr>
      <w:rPr>
        <w:rFonts w:hint="default"/>
        <w:lang w:val="zh-CN" w:eastAsia="zh-CN" w:bidi="zh-CN"/>
      </w:rPr>
    </w:lvl>
  </w:abstractNum>
  <w:abstractNum w:abstractNumId="28">
    <w:nsid w:val="39A0D9AC"/>
    <w:multiLevelType w:val="multilevel"/>
    <w:tmpl w:val="39A0D9AC"/>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29">
    <w:nsid w:val="46A08BB8"/>
    <w:multiLevelType w:val="multilevel"/>
    <w:tmpl w:val="46A08BB8"/>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30">
    <w:nsid w:val="4C1BAE26"/>
    <w:multiLevelType w:val="multilevel"/>
    <w:tmpl w:val="4C1BAE26"/>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31">
    <w:nsid w:val="4D4DC07F"/>
    <w:multiLevelType w:val="multilevel"/>
    <w:tmpl w:val="4D4DC07F"/>
    <w:lvl w:ilvl="0" w:tentative="0">
      <w:start w:val="5"/>
      <w:numFmt w:val="decimal"/>
      <w:lvlText w:val="%1"/>
      <w:lvlJc w:val="left"/>
      <w:pPr>
        <w:ind w:left="120" w:hanging="740"/>
        <w:jc w:val="left"/>
      </w:pPr>
      <w:rPr>
        <w:rFonts w:hint="default"/>
        <w:lang w:val="zh-CN" w:eastAsia="zh-CN" w:bidi="zh-CN"/>
      </w:rPr>
    </w:lvl>
    <w:lvl w:ilvl="1" w:tentative="0">
      <w:start w:val="1"/>
      <w:numFmt w:val="decimal"/>
      <w:lvlText w:val="%1.%2"/>
      <w:lvlJc w:val="left"/>
      <w:pPr>
        <w:ind w:left="120" w:hanging="740"/>
        <w:jc w:val="left"/>
      </w:pPr>
      <w:rPr>
        <w:rFonts w:hint="default"/>
        <w:lang w:val="zh-CN" w:eastAsia="zh-CN" w:bidi="zh-CN"/>
      </w:rPr>
    </w:lvl>
    <w:lvl w:ilvl="2" w:tentative="0">
      <w:start w:val="1"/>
      <w:numFmt w:val="decimal"/>
      <w:lvlText w:val="%1.%2.%3"/>
      <w:lvlJc w:val="left"/>
      <w:pPr>
        <w:ind w:left="120" w:hanging="740"/>
        <w:jc w:val="left"/>
      </w:pPr>
      <w:rPr>
        <w:rFonts w:hint="default" w:ascii="Times New Roman" w:hAnsi="Times New Roman" w:eastAsia="Times New Roman" w:cs="Times New Roman"/>
        <w:b/>
        <w:bCs/>
        <w:w w:val="100"/>
        <w:sz w:val="21"/>
        <w:szCs w:val="21"/>
        <w:lang w:val="zh-CN" w:eastAsia="zh-CN" w:bidi="zh-CN"/>
      </w:rPr>
    </w:lvl>
    <w:lvl w:ilvl="3" w:tentative="0">
      <w:start w:val="1"/>
      <w:numFmt w:val="decimal"/>
      <w:lvlText w:val="%4"/>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4" w:tentative="0">
      <w:start w:val="0"/>
      <w:numFmt w:val="bullet"/>
      <w:lvlText w:val="•"/>
      <w:lvlJc w:val="left"/>
      <w:pPr>
        <w:ind w:left="3455" w:hanging="317"/>
      </w:pPr>
      <w:rPr>
        <w:rFonts w:hint="default"/>
        <w:lang w:val="zh-CN" w:eastAsia="zh-CN" w:bidi="zh-CN"/>
      </w:rPr>
    </w:lvl>
    <w:lvl w:ilvl="5" w:tentative="0">
      <w:start w:val="0"/>
      <w:numFmt w:val="bullet"/>
      <w:lvlText w:val="•"/>
      <w:lvlJc w:val="left"/>
      <w:pPr>
        <w:ind w:left="4320" w:hanging="317"/>
      </w:pPr>
      <w:rPr>
        <w:rFonts w:hint="default"/>
        <w:lang w:val="zh-CN" w:eastAsia="zh-CN" w:bidi="zh-CN"/>
      </w:rPr>
    </w:lvl>
    <w:lvl w:ilvl="6" w:tentative="0">
      <w:start w:val="0"/>
      <w:numFmt w:val="bullet"/>
      <w:lvlText w:val="•"/>
      <w:lvlJc w:val="left"/>
      <w:pPr>
        <w:ind w:left="5185" w:hanging="317"/>
      </w:pPr>
      <w:rPr>
        <w:rFonts w:hint="default"/>
        <w:lang w:val="zh-CN" w:eastAsia="zh-CN" w:bidi="zh-CN"/>
      </w:rPr>
    </w:lvl>
    <w:lvl w:ilvl="7" w:tentative="0">
      <w:start w:val="0"/>
      <w:numFmt w:val="bullet"/>
      <w:lvlText w:val="•"/>
      <w:lvlJc w:val="left"/>
      <w:pPr>
        <w:ind w:left="6050" w:hanging="317"/>
      </w:pPr>
      <w:rPr>
        <w:rFonts w:hint="default"/>
        <w:lang w:val="zh-CN" w:eastAsia="zh-CN" w:bidi="zh-CN"/>
      </w:rPr>
    </w:lvl>
    <w:lvl w:ilvl="8" w:tentative="0">
      <w:start w:val="0"/>
      <w:numFmt w:val="bullet"/>
      <w:lvlText w:val="•"/>
      <w:lvlJc w:val="left"/>
      <w:pPr>
        <w:ind w:left="6916" w:hanging="317"/>
      </w:pPr>
      <w:rPr>
        <w:rFonts w:hint="default"/>
        <w:lang w:val="zh-CN" w:eastAsia="zh-CN" w:bidi="zh-CN"/>
      </w:rPr>
    </w:lvl>
  </w:abstractNum>
  <w:abstractNum w:abstractNumId="32">
    <w:nsid w:val="4D94DA66"/>
    <w:multiLevelType w:val="multilevel"/>
    <w:tmpl w:val="4D94DA66"/>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abstractNum w:abstractNumId="33">
    <w:nsid w:val="58765686"/>
    <w:multiLevelType w:val="multilevel"/>
    <w:tmpl w:val="58765686"/>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34">
    <w:nsid w:val="59ADCABA"/>
    <w:multiLevelType w:val="multilevel"/>
    <w:tmpl w:val="59ADCABA"/>
    <w:lvl w:ilvl="0" w:tentative="0">
      <w:start w:val="2"/>
      <w:numFmt w:val="decimal"/>
      <w:lvlText w:val="%1"/>
      <w:lvlJc w:val="left"/>
      <w:pPr>
        <w:ind w:left="113" w:hanging="632"/>
        <w:jc w:val="left"/>
      </w:pPr>
      <w:rPr>
        <w:rFonts w:hint="default"/>
        <w:lang w:val="zh-CN" w:eastAsia="zh-CN" w:bidi="zh-CN"/>
      </w:rPr>
    </w:lvl>
    <w:lvl w:ilvl="1" w:tentative="0">
      <w:start w:val="1"/>
      <w:numFmt w:val="decimal"/>
      <w:lvlText w:val="%1.%2"/>
      <w:lvlJc w:val="left"/>
      <w:pPr>
        <w:ind w:left="113" w:hanging="632"/>
        <w:jc w:val="left"/>
      </w:pPr>
      <w:rPr>
        <w:rFonts w:hint="default"/>
        <w:lang w:val="zh-CN" w:eastAsia="zh-CN" w:bidi="zh-CN"/>
      </w:rPr>
    </w:lvl>
    <w:lvl w:ilvl="2" w:tentative="0">
      <w:start w:val="1"/>
      <w:numFmt w:val="decimal"/>
      <w:lvlText w:val="%1.%2.%3"/>
      <w:lvlJc w:val="left"/>
      <w:pPr>
        <w:ind w:left="113" w:hanging="632"/>
        <w:jc w:val="left"/>
      </w:pPr>
      <w:rPr>
        <w:rFonts w:hint="default" w:ascii="Times New Roman" w:hAnsi="Times New Roman" w:eastAsia="Times New Roman" w:cs="Times New Roman"/>
        <w:b/>
        <w:bCs/>
        <w:w w:val="100"/>
        <w:sz w:val="21"/>
        <w:szCs w:val="21"/>
        <w:lang w:val="zh-CN" w:eastAsia="zh-CN" w:bidi="zh-CN"/>
      </w:rPr>
    </w:lvl>
    <w:lvl w:ilvl="3" w:tentative="0">
      <w:start w:val="0"/>
      <w:numFmt w:val="bullet"/>
      <w:lvlText w:val="•"/>
      <w:lvlJc w:val="left"/>
      <w:pPr>
        <w:ind w:left="3043" w:hanging="632"/>
      </w:pPr>
      <w:rPr>
        <w:rFonts w:hint="default"/>
        <w:lang w:val="zh-CN" w:eastAsia="zh-CN" w:bidi="zh-CN"/>
      </w:rPr>
    </w:lvl>
    <w:lvl w:ilvl="4" w:tentative="0">
      <w:start w:val="0"/>
      <w:numFmt w:val="bullet"/>
      <w:lvlText w:val="•"/>
      <w:lvlJc w:val="left"/>
      <w:pPr>
        <w:ind w:left="4018" w:hanging="632"/>
      </w:pPr>
      <w:rPr>
        <w:rFonts w:hint="default"/>
        <w:lang w:val="zh-CN" w:eastAsia="zh-CN" w:bidi="zh-CN"/>
      </w:rPr>
    </w:lvl>
    <w:lvl w:ilvl="5" w:tentative="0">
      <w:start w:val="0"/>
      <w:numFmt w:val="bullet"/>
      <w:lvlText w:val="•"/>
      <w:lvlJc w:val="left"/>
      <w:pPr>
        <w:ind w:left="4993" w:hanging="632"/>
      </w:pPr>
      <w:rPr>
        <w:rFonts w:hint="default"/>
        <w:lang w:val="zh-CN" w:eastAsia="zh-CN" w:bidi="zh-CN"/>
      </w:rPr>
    </w:lvl>
    <w:lvl w:ilvl="6" w:tentative="0">
      <w:start w:val="0"/>
      <w:numFmt w:val="bullet"/>
      <w:lvlText w:val="•"/>
      <w:lvlJc w:val="left"/>
      <w:pPr>
        <w:ind w:left="5967" w:hanging="632"/>
      </w:pPr>
      <w:rPr>
        <w:rFonts w:hint="default"/>
        <w:lang w:val="zh-CN" w:eastAsia="zh-CN" w:bidi="zh-CN"/>
      </w:rPr>
    </w:lvl>
    <w:lvl w:ilvl="7" w:tentative="0">
      <w:start w:val="0"/>
      <w:numFmt w:val="bullet"/>
      <w:lvlText w:val="•"/>
      <w:lvlJc w:val="left"/>
      <w:pPr>
        <w:ind w:left="6942" w:hanging="632"/>
      </w:pPr>
      <w:rPr>
        <w:rFonts w:hint="default"/>
        <w:lang w:val="zh-CN" w:eastAsia="zh-CN" w:bidi="zh-CN"/>
      </w:rPr>
    </w:lvl>
    <w:lvl w:ilvl="8" w:tentative="0">
      <w:start w:val="0"/>
      <w:numFmt w:val="bullet"/>
      <w:lvlText w:val="•"/>
      <w:lvlJc w:val="left"/>
      <w:pPr>
        <w:ind w:left="7917" w:hanging="632"/>
      </w:pPr>
      <w:rPr>
        <w:rFonts w:hint="default"/>
        <w:lang w:val="zh-CN" w:eastAsia="zh-CN" w:bidi="zh-CN"/>
      </w:rPr>
    </w:lvl>
  </w:abstractNum>
  <w:abstractNum w:abstractNumId="35">
    <w:nsid w:val="5A241D34"/>
    <w:multiLevelType w:val="multilevel"/>
    <w:tmpl w:val="5A241D34"/>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36">
    <w:nsid w:val="5E29AB5A"/>
    <w:multiLevelType w:val="multilevel"/>
    <w:tmpl w:val="5E29AB5A"/>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37">
    <w:nsid w:val="60382F6E"/>
    <w:multiLevelType w:val="multilevel"/>
    <w:tmpl w:val="60382F6E"/>
    <w:lvl w:ilvl="0" w:tentative="0">
      <w:start w:val="1"/>
      <w:numFmt w:val="decimal"/>
      <w:lvlText w:val="%1"/>
      <w:lvlJc w:val="left"/>
      <w:pPr>
        <w:ind w:left="11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38">
    <w:nsid w:val="629F7852"/>
    <w:multiLevelType w:val="multilevel"/>
    <w:tmpl w:val="629F7852"/>
    <w:lvl w:ilvl="0" w:tentative="0">
      <w:start w:val="1"/>
      <w:numFmt w:val="decimal"/>
      <w:lvlText w:val="%1"/>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3640" w:hanging="317"/>
      </w:pPr>
      <w:rPr>
        <w:rFonts w:hint="default"/>
        <w:lang w:val="zh-CN" w:eastAsia="zh-CN" w:bidi="zh-CN"/>
      </w:rPr>
    </w:lvl>
    <w:lvl w:ilvl="2" w:tentative="0">
      <w:start w:val="0"/>
      <w:numFmt w:val="bullet"/>
      <w:lvlText w:val="•"/>
      <w:lvlJc w:val="left"/>
      <w:pPr>
        <w:ind w:left="4040" w:hanging="317"/>
      </w:pPr>
      <w:rPr>
        <w:rFonts w:hint="default"/>
        <w:lang w:val="zh-CN" w:eastAsia="zh-CN" w:bidi="zh-CN"/>
      </w:rPr>
    </w:lvl>
    <w:lvl w:ilvl="3" w:tentative="0">
      <w:start w:val="0"/>
      <w:numFmt w:val="bullet"/>
      <w:lvlText w:val="•"/>
      <w:lvlJc w:val="left"/>
      <w:pPr>
        <w:ind w:left="4615" w:hanging="317"/>
      </w:pPr>
      <w:rPr>
        <w:rFonts w:hint="default"/>
        <w:lang w:val="zh-CN" w:eastAsia="zh-CN" w:bidi="zh-CN"/>
      </w:rPr>
    </w:lvl>
    <w:lvl w:ilvl="4" w:tentative="0">
      <w:start w:val="0"/>
      <w:numFmt w:val="bullet"/>
      <w:lvlText w:val="•"/>
      <w:lvlJc w:val="left"/>
      <w:pPr>
        <w:ind w:left="5191" w:hanging="317"/>
      </w:pPr>
      <w:rPr>
        <w:rFonts w:hint="default"/>
        <w:lang w:val="zh-CN" w:eastAsia="zh-CN" w:bidi="zh-CN"/>
      </w:rPr>
    </w:lvl>
    <w:lvl w:ilvl="5" w:tentative="0">
      <w:start w:val="0"/>
      <w:numFmt w:val="bullet"/>
      <w:lvlText w:val="•"/>
      <w:lvlJc w:val="left"/>
      <w:pPr>
        <w:ind w:left="5767" w:hanging="317"/>
      </w:pPr>
      <w:rPr>
        <w:rFonts w:hint="default"/>
        <w:lang w:val="zh-CN" w:eastAsia="zh-CN" w:bidi="zh-CN"/>
      </w:rPr>
    </w:lvl>
    <w:lvl w:ilvl="6" w:tentative="0">
      <w:start w:val="0"/>
      <w:numFmt w:val="bullet"/>
      <w:lvlText w:val="•"/>
      <w:lvlJc w:val="left"/>
      <w:pPr>
        <w:ind w:left="6343" w:hanging="317"/>
      </w:pPr>
      <w:rPr>
        <w:rFonts w:hint="default"/>
        <w:lang w:val="zh-CN" w:eastAsia="zh-CN" w:bidi="zh-CN"/>
      </w:rPr>
    </w:lvl>
    <w:lvl w:ilvl="7" w:tentative="0">
      <w:start w:val="0"/>
      <w:numFmt w:val="bullet"/>
      <w:lvlText w:val="•"/>
      <w:lvlJc w:val="left"/>
      <w:pPr>
        <w:ind w:left="6919" w:hanging="317"/>
      </w:pPr>
      <w:rPr>
        <w:rFonts w:hint="default"/>
        <w:lang w:val="zh-CN" w:eastAsia="zh-CN" w:bidi="zh-CN"/>
      </w:rPr>
    </w:lvl>
    <w:lvl w:ilvl="8" w:tentative="0">
      <w:start w:val="0"/>
      <w:numFmt w:val="bullet"/>
      <w:lvlText w:val="•"/>
      <w:lvlJc w:val="left"/>
      <w:pPr>
        <w:ind w:left="7494" w:hanging="317"/>
      </w:pPr>
      <w:rPr>
        <w:rFonts w:hint="default"/>
        <w:lang w:val="zh-CN" w:eastAsia="zh-CN" w:bidi="zh-CN"/>
      </w:rPr>
    </w:lvl>
  </w:abstractNum>
  <w:abstractNum w:abstractNumId="39">
    <w:nsid w:val="72183CF9"/>
    <w:multiLevelType w:val="multilevel"/>
    <w:tmpl w:val="72183CF9"/>
    <w:lvl w:ilvl="0" w:tentative="0">
      <w:start w:val="1"/>
      <w:numFmt w:val="decimal"/>
      <w:lvlText w:val="%1"/>
      <w:lvlJc w:val="left"/>
      <w:pPr>
        <w:ind w:left="119"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972" w:hanging="317"/>
      </w:pPr>
      <w:rPr>
        <w:rFonts w:hint="default"/>
        <w:lang w:val="zh-CN" w:eastAsia="zh-CN" w:bidi="zh-CN"/>
      </w:rPr>
    </w:lvl>
    <w:lvl w:ilvl="2" w:tentative="0">
      <w:start w:val="0"/>
      <w:numFmt w:val="bullet"/>
      <w:lvlText w:val="•"/>
      <w:lvlJc w:val="left"/>
      <w:pPr>
        <w:ind w:left="1825" w:hanging="317"/>
      </w:pPr>
      <w:rPr>
        <w:rFonts w:hint="default"/>
        <w:lang w:val="zh-CN" w:eastAsia="zh-CN" w:bidi="zh-CN"/>
      </w:rPr>
    </w:lvl>
    <w:lvl w:ilvl="3" w:tentative="0">
      <w:start w:val="0"/>
      <w:numFmt w:val="bullet"/>
      <w:lvlText w:val="•"/>
      <w:lvlJc w:val="left"/>
      <w:pPr>
        <w:ind w:left="2677" w:hanging="317"/>
      </w:pPr>
      <w:rPr>
        <w:rFonts w:hint="default"/>
        <w:lang w:val="zh-CN" w:eastAsia="zh-CN" w:bidi="zh-CN"/>
      </w:rPr>
    </w:lvl>
    <w:lvl w:ilvl="4" w:tentative="0">
      <w:start w:val="0"/>
      <w:numFmt w:val="bullet"/>
      <w:lvlText w:val="•"/>
      <w:lvlJc w:val="left"/>
      <w:pPr>
        <w:ind w:left="3530" w:hanging="317"/>
      </w:pPr>
      <w:rPr>
        <w:rFonts w:hint="default"/>
        <w:lang w:val="zh-CN" w:eastAsia="zh-CN" w:bidi="zh-CN"/>
      </w:rPr>
    </w:lvl>
    <w:lvl w:ilvl="5" w:tentative="0">
      <w:start w:val="0"/>
      <w:numFmt w:val="bullet"/>
      <w:lvlText w:val="•"/>
      <w:lvlJc w:val="left"/>
      <w:pPr>
        <w:ind w:left="4383" w:hanging="317"/>
      </w:pPr>
      <w:rPr>
        <w:rFonts w:hint="default"/>
        <w:lang w:val="zh-CN" w:eastAsia="zh-CN" w:bidi="zh-CN"/>
      </w:rPr>
    </w:lvl>
    <w:lvl w:ilvl="6" w:tentative="0">
      <w:start w:val="0"/>
      <w:numFmt w:val="bullet"/>
      <w:lvlText w:val="•"/>
      <w:lvlJc w:val="left"/>
      <w:pPr>
        <w:ind w:left="5235" w:hanging="317"/>
      </w:pPr>
      <w:rPr>
        <w:rFonts w:hint="default"/>
        <w:lang w:val="zh-CN" w:eastAsia="zh-CN" w:bidi="zh-CN"/>
      </w:rPr>
    </w:lvl>
    <w:lvl w:ilvl="7" w:tentative="0">
      <w:start w:val="0"/>
      <w:numFmt w:val="bullet"/>
      <w:lvlText w:val="•"/>
      <w:lvlJc w:val="left"/>
      <w:pPr>
        <w:ind w:left="6088" w:hanging="317"/>
      </w:pPr>
      <w:rPr>
        <w:rFonts w:hint="default"/>
        <w:lang w:val="zh-CN" w:eastAsia="zh-CN" w:bidi="zh-CN"/>
      </w:rPr>
    </w:lvl>
    <w:lvl w:ilvl="8" w:tentative="0">
      <w:start w:val="0"/>
      <w:numFmt w:val="bullet"/>
      <w:lvlText w:val="•"/>
      <w:lvlJc w:val="left"/>
      <w:pPr>
        <w:ind w:left="6941" w:hanging="317"/>
      </w:pPr>
      <w:rPr>
        <w:rFonts w:hint="default"/>
        <w:lang w:val="zh-CN" w:eastAsia="zh-CN" w:bidi="zh-CN"/>
      </w:rPr>
    </w:lvl>
  </w:abstractNum>
  <w:abstractNum w:abstractNumId="40">
    <w:nsid w:val="77ECEA79"/>
    <w:multiLevelType w:val="multilevel"/>
    <w:tmpl w:val="77ECEA79"/>
    <w:lvl w:ilvl="0" w:tentative="0">
      <w:start w:val="6"/>
      <w:numFmt w:val="decimal"/>
      <w:lvlText w:val="%1"/>
      <w:lvlJc w:val="left"/>
      <w:pPr>
        <w:ind w:left="540" w:hanging="737"/>
        <w:jc w:val="left"/>
      </w:pPr>
      <w:rPr>
        <w:rFonts w:hint="default"/>
        <w:lang w:val="zh-CN" w:eastAsia="zh-CN" w:bidi="zh-CN"/>
      </w:rPr>
    </w:lvl>
    <w:lvl w:ilvl="1" w:tentative="0">
      <w:start w:val="1"/>
      <w:numFmt w:val="decimal"/>
      <w:lvlText w:val="%1.%2"/>
      <w:lvlJc w:val="left"/>
      <w:pPr>
        <w:ind w:left="540" w:hanging="737"/>
        <w:jc w:val="left"/>
      </w:pPr>
      <w:rPr>
        <w:rFonts w:hint="default"/>
        <w:lang w:val="zh-CN" w:eastAsia="zh-CN" w:bidi="zh-CN"/>
      </w:rPr>
    </w:lvl>
    <w:lvl w:ilvl="2" w:tentative="0">
      <w:start w:val="1"/>
      <w:numFmt w:val="decimal"/>
      <w:lvlText w:val="%1.%2.%3"/>
      <w:lvlJc w:val="left"/>
      <w:pPr>
        <w:ind w:left="540" w:hanging="737"/>
        <w:jc w:val="left"/>
      </w:pPr>
      <w:rPr>
        <w:rFonts w:hint="default" w:ascii="Times New Roman" w:hAnsi="Times New Roman" w:eastAsia="Times New Roman" w:cs="Times New Roman"/>
        <w:b/>
        <w:bCs/>
        <w:w w:val="100"/>
        <w:sz w:val="21"/>
        <w:szCs w:val="21"/>
        <w:lang w:val="zh-CN" w:eastAsia="zh-CN" w:bidi="zh-CN"/>
      </w:rPr>
    </w:lvl>
    <w:lvl w:ilvl="3" w:tentative="0">
      <w:start w:val="1"/>
      <w:numFmt w:val="decimal"/>
      <w:lvlText w:val="%4"/>
      <w:lvlJc w:val="left"/>
      <w:pPr>
        <w:ind w:left="859" w:hanging="317"/>
        <w:jc w:val="left"/>
      </w:pPr>
      <w:rPr>
        <w:rFonts w:hint="default" w:ascii="Times New Roman" w:hAnsi="Times New Roman" w:eastAsia="Times New Roman" w:cs="Times New Roman"/>
        <w:b/>
        <w:bCs/>
        <w:w w:val="100"/>
        <w:sz w:val="21"/>
        <w:szCs w:val="21"/>
        <w:lang w:val="zh-CN" w:eastAsia="zh-CN" w:bidi="zh-CN"/>
      </w:rPr>
    </w:lvl>
    <w:lvl w:ilvl="4" w:tentative="0">
      <w:start w:val="0"/>
      <w:numFmt w:val="bullet"/>
      <w:lvlText w:val="•"/>
      <w:lvlJc w:val="left"/>
      <w:pPr>
        <w:ind w:left="3455" w:hanging="317"/>
      </w:pPr>
      <w:rPr>
        <w:rFonts w:hint="default"/>
        <w:lang w:val="zh-CN" w:eastAsia="zh-CN" w:bidi="zh-CN"/>
      </w:rPr>
    </w:lvl>
    <w:lvl w:ilvl="5" w:tentative="0">
      <w:start w:val="0"/>
      <w:numFmt w:val="bullet"/>
      <w:lvlText w:val="•"/>
      <w:lvlJc w:val="left"/>
      <w:pPr>
        <w:ind w:left="4320" w:hanging="317"/>
      </w:pPr>
      <w:rPr>
        <w:rFonts w:hint="default"/>
        <w:lang w:val="zh-CN" w:eastAsia="zh-CN" w:bidi="zh-CN"/>
      </w:rPr>
    </w:lvl>
    <w:lvl w:ilvl="6" w:tentative="0">
      <w:start w:val="0"/>
      <w:numFmt w:val="bullet"/>
      <w:lvlText w:val="•"/>
      <w:lvlJc w:val="left"/>
      <w:pPr>
        <w:ind w:left="5185" w:hanging="317"/>
      </w:pPr>
      <w:rPr>
        <w:rFonts w:hint="default"/>
        <w:lang w:val="zh-CN" w:eastAsia="zh-CN" w:bidi="zh-CN"/>
      </w:rPr>
    </w:lvl>
    <w:lvl w:ilvl="7" w:tentative="0">
      <w:start w:val="0"/>
      <w:numFmt w:val="bullet"/>
      <w:lvlText w:val="•"/>
      <w:lvlJc w:val="left"/>
      <w:pPr>
        <w:ind w:left="6050" w:hanging="317"/>
      </w:pPr>
      <w:rPr>
        <w:rFonts w:hint="default"/>
        <w:lang w:val="zh-CN" w:eastAsia="zh-CN" w:bidi="zh-CN"/>
      </w:rPr>
    </w:lvl>
    <w:lvl w:ilvl="8" w:tentative="0">
      <w:start w:val="0"/>
      <w:numFmt w:val="bullet"/>
      <w:lvlText w:val="•"/>
      <w:lvlJc w:val="left"/>
      <w:pPr>
        <w:ind w:left="6916" w:hanging="317"/>
      </w:pPr>
      <w:rPr>
        <w:rFonts w:hint="default"/>
        <w:lang w:val="zh-CN" w:eastAsia="zh-CN" w:bidi="zh-CN"/>
      </w:rPr>
    </w:lvl>
  </w:abstractNum>
  <w:abstractNum w:abstractNumId="41">
    <w:nsid w:val="79AA4FA4"/>
    <w:multiLevelType w:val="multilevel"/>
    <w:tmpl w:val="79AA4FA4"/>
    <w:lvl w:ilvl="0" w:tentative="0">
      <w:start w:val="8"/>
      <w:numFmt w:val="decimal"/>
      <w:lvlText w:val="%1"/>
      <w:lvlJc w:val="left"/>
      <w:pPr>
        <w:ind w:left="540" w:hanging="737"/>
        <w:jc w:val="left"/>
      </w:pPr>
      <w:rPr>
        <w:rFonts w:hint="default"/>
        <w:lang w:val="zh-CN" w:eastAsia="zh-CN" w:bidi="zh-CN"/>
      </w:rPr>
    </w:lvl>
    <w:lvl w:ilvl="1" w:tentative="0">
      <w:start w:val="1"/>
      <w:numFmt w:val="decimal"/>
      <w:lvlText w:val="%1.%2"/>
      <w:lvlJc w:val="left"/>
      <w:pPr>
        <w:ind w:left="540" w:hanging="737"/>
        <w:jc w:val="left"/>
      </w:pPr>
      <w:rPr>
        <w:rFonts w:hint="default"/>
        <w:lang w:val="zh-CN" w:eastAsia="zh-CN" w:bidi="zh-CN"/>
      </w:rPr>
    </w:lvl>
    <w:lvl w:ilvl="2" w:tentative="0">
      <w:start w:val="1"/>
      <w:numFmt w:val="decimal"/>
      <w:lvlText w:val="%1.%2.%3"/>
      <w:lvlJc w:val="left"/>
      <w:pPr>
        <w:ind w:left="540" w:hanging="737"/>
        <w:jc w:val="left"/>
      </w:pPr>
      <w:rPr>
        <w:rFonts w:hint="default" w:ascii="Times New Roman" w:hAnsi="Times New Roman" w:eastAsia="Times New Roman" w:cs="Times New Roman"/>
        <w:b/>
        <w:bCs/>
        <w:w w:val="100"/>
        <w:sz w:val="21"/>
        <w:szCs w:val="21"/>
        <w:lang w:val="zh-CN" w:eastAsia="zh-CN" w:bidi="zh-CN"/>
      </w:rPr>
    </w:lvl>
    <w:lvl w:ilvl="3" w:tentative="0">
      <w:start w:val="1"/>
      <w:numFmt w:val="decimal"/>
      <w:lvlText w:val="%4"/>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4" w:tentative="0">
      <w:start w:val="0"/>
      <w:numFmt w:val="bullet"/>
      <w:lvlText w:val="•"/>
      <w:lvlJc w:val="left"/>
      <w:pPr>
        <w:ind w:left="3242" w:hanging="317"/>
      </w:pPr>
      <w:rPr>
        <w:rFonts w:hint="default"/>
        <w:lang w:val="zh-CN" w:eastAsia="zh-CN" w:bidi="zh-CN"/>
      </w:rPr>
    </w:lvl>
    <w:lvl w:ilvl="5" w:tentative="0">
      <w:start w:val="0"/>
      <w:numFmt w:val="bullet"/>
      <w:lvlText w:val="•"/>
      <w:lvlJc w:val="left"/>
      <w:pPr>
        <w:ind w:left="4142" w:hanging="317"/>
      </w:pPr>
      <w:rPr>
        <w:rFonts w:hint="default"/>
        <w:lang w:val="zh-CN" w:eastAsia="zh-CN" w:bidi="zh-CN"/>
      </w:rPr>
    </w:lvl>
    <w:lvl w:ilvl="6" w:tentative="0">
      <w:start w:val="0"/>
      <w:numFmt w:val="bullet"/>
      <w:lvlText w:val="•"/>
      <w:lvlJc w:val="left"/>
      <w:pPr>
        <w:ind w:left="5043" w:hanging="317"/>
      </w:pPr>
      <w:rPr>
        <w:rFonts w:hint="default"/>
        <w:lang w:val="zh-CN" w:eastAsia="zh-CN" w:bidi="zh-CN"/>
      </w:rPr>
    </w:lvl>
    <w:lvl w:ilvl="7" w:tentative="0">
      <w:start w:val="0"/>
      <w:numFmt w:val="bullet"/>
      <w:lvlText w:val="•"/>
      <w:lvlJc w:val="left"/>
      <w:pPr>
        <w:ind w:left="5944" w:hanging="317"/>
      </w:pPr>
      <w:rPr>
        <w:rFonts w:hint="default"/>
        <w:lang w:val="zh-CN" w:eastAsia="zh-CN" w:bidi="zh-CN"/>
      </w:rPr>
    </w:lvl>
    <w:lvl w:ilvl="8" w:tentative="0">
      <w:start w:val="0"/>
      <w:numFmt w:val="bullet"/>
      <w:lvlText w:val="•"/>
      <w:lvlJc w:val="left"/>
      <w:pPr>
        <w:ind w:left="6844" w:hanging="317"/>
      </w:pPr>
      <w:rPr>
        <w:rFonts w:hint="default"/>
        <w:lang w:val="zh-CN" w:eastAsia="zh-CN" w:bidi="zh-CN"/>
      </w:rPr>
    </w:lvl>
  </w:abstractNum>
  <w:abstractNum w:abstractNumId="42">
    <w:nsid w:val="7C246926"/>
    <w:multiLevelType w:val="multilevel"/>
    <w:tmpl w:val="7C246926"/>
    <w:lvl w:ilvl="0" w:tentative="0">
      <w:start w:val="1"/>
      <w:numFmt w:val="decimal"/>
      <w:lvlText w:val="%1"/>
      <w:lvlJc w:val="left"/>
      <w:pPr>
        <w:ind w:left="12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3640" w:hanging="317"/>
      </w:pPr>
      <w:rPr>
        <w:rFonts w:hint="default"/>
        <w:lang w:val="zh-CN" w:eastAsia="zh-CN" w:bidi="zh-CN"/>
      </w:rPr>
    </w:lvl>
    <w:lvl w:ilvl="2" w:tentative="0">
      <w:start w:val="0"/>
      <w:numFmt w:val="bullet"/>
      <w:lvlText w:val="•"/>
      <w:lvlJc w:val="left"/>
      <w:pPr>
        <w:ind w:left="4040" w:hanging="317"/>
      </w:pPr>
      <w:rPr>
        <w:rFonts w:hint="default"/>
        <w:lang w:val="zh-CN" w:eastAsia="zh-CN" w:bidi="zh-CN"/>
      </w:rPr>
    </w:lvl>
    <w:lvl w:ilvl="3" w:tentative="0">
      <w:start w:val="0"/>
      <w:numFmt w:val="bullet"/>
      <w:lvlText w:val="•"/>
      <w:lvlJc w:val="left"/>
      <w:pPr>
        <w:ind w:left="4615" w:hanging="317"/>
      </w:pPr>
      <w:rPr>
        <w:rFonts w:hint="default"/>
        <w:lang w:val="zh-CN" w:eastAsia="zh-CN" w:bidi="zh-CN"/>
      </w:rPr>
    </w:lvl>
    <w:lvl w:ilvl="4" w:tentative="0">
      <w:start w:val="0"/>
      <w:numFmt w:val="bullet"/>
      <w:lvlText w:val="•"/>
      <w:lvlJc w:val="left"/>
      <w:pPr>
        <w:ind w:left="5191" w:hanging="317"/>
      </w:pPr>
      <w:rPr>
        <w:rFonts w:hint="default"/>
        <w:lang w:val="zh-CN" w:eastAsia="zh-CN" w:bidi="zh-CN"/>
      </w:rPr>
    </w:lvl>
    <w:lvl w:ilvl="5" w:tentative="0">
      <w:start w:val="0"/>
      <w:numFmt w:val="bullet"/>
      <w:lvlText w:val="•"/>
      <w:lvlJc w:val="left"/>
      <w:pPr>
        <w:ind w:left="5767" w:hanging="317"/>
      </w:pPr>
      <w:rPr>
        <w:rFonts w:hint="default"/>
        <w:lang w:val="zh-CN" w:eastAsia="zh-CN" w:bidi="zh-CN"/>
      </w:rPr>
    </w:lvl>
    <w:lvl w:ilvl="6" w:tentative="0">
      <w:start w:val="0"/>
      <w:numFmt w:val="bullet"/>
      <w:lvlText w:val="•"/>
      <w:lvlJc w:val="left"/>
      <w:pPr>
        <w:ind w:left="6343" w:hanging="317"/>
      </w:pPr>
      <w:rPr>
        <w:rFonts w:hint="default"/>
        <w:lang w:val="zh-CN" w:eastAsia="zh-CN" w:bidi="zh-CN"/>
      </w:rPr>
    </w:lvl>
    <w:lvl w:ilvl="7" w:tentative="0">
      <w:start w:val="0"/>
      <w:numFmt w:val="bullet"/>
      <w:lvlText w:val="•"/>
      <w:lvlJc w:val="left"/>
      <w:pPr>
        <w:ind w:left="6919" w:hanging="317"/>
      </w:pPr>
      <w:rPr>
        <w:rFonts w:hint="default"/>
        <w:lang w:val="zh-CN" w:eastAsia="zh-CN" w:bidi="zh-CN"/>
      </w:rPr>
    </w:lvl>
    <w:lvl w:ilvl="8" w:tentative="0">
      <w:start w:val="0"/>
      <w:numFmt w:val="bullet"/>
      <w:lvlText w:val="•"/>
      <w:lvlJc w:val="left"/>
      <w:pPr>
        <w:ind w:left="7494" w:hanging="317"/>
      </w:pPr>
      <w:rPr>
        <w:rFonts w:hint="default"/>
        <w:lang w:val="zh-CN" w:eastAsia="zh-CN" w:bidi="zh-CN"/>
      </w:rPr>
    </w:lvl>
  </w:abstractNum>
  <w:abstractNum w:abstractNumId="43">
    <w:nsid w:val="7DEC2089"/>
    <w:multiLevelType w:val="multilevel"/>
    <w:tmpl w:val="7DEC2089"/>
    <w:lvl w:ilvl="0" w:tentative="0">
      <w:start w:val="1"/>
      <w:numFmt w:val="decimal"/>
      <w:lvlText w:val="%1"/>
      <w:lvlJc w:val="left"/>
      <w:pPr>
        <w:ind w:left="860" w:hanging="317"/>
        <w:jc w:val="left"/>
      </w:pPr>
      <w:rPr>
        <w:rFonts w:hint="default" w:ascii="Times New Roman" w:hAnsi="Times New Roman" w:eastAsia="Times New Roman" w:cs="Times New Roman"/>
        <w:b/>
        <w:bCs/>
        <w:w w:val="100"/>
        <w:sz w:val="21"/>
        <w:szCs w:val="21"/>
        <w:lang w:val="zh-CN" w:eastAsia="zh-CN" w:bidi="zh-CN"/>
      </w:rPr>
    </w:lvl>
    <w:lvl w:ilvl="1" w:tentative="0">
      <w:start w:val="0"/>
      <w:numFmt w:val="bullet"/>
      <w:lvlText w:val="•"/>
      <w:lvlJc w:val="left"/>
      <w:pPr>
        <w:ind w:left="1638" w:hanging="317"/>
      </w:pPr>
      <w:rPr>
        <w:rFonts w:hint="default"/>
        <w:lang w:val="zh-CN" w:eastAsia="zh-CN" w:bidi="zh-CN"/>
      </w:rPr>
    </w:lvl>
    <w:lvl w:ilvl="2" w:tentative="0">
      <w:start w:val="0"/>
      <w:numFmt w:val="bullet"/>
      <w:lvlText w:val="•"/>
      <w:lvlJc w:val="left"/>
      <w:pPr>
        <w:ind w:left="2417" w:hanging="317"/>
      </w:pPr>
      <w:rPr>
        <w:rFonts w:hint="default"/>
        <w:lang w:val="zh-CN" w:eastAsia="zh-CN" w:bidi="zh-CN"/>
      </w:rPr>
    </w:lvl>
    <w:lvl w:ilvl="3" w:tentative="0">
      <w:start w:val="0"/>
      <w:numFmt w:val="bullet"/>
      <w:lvlText w:val="•"/>
      <w:lvlJc w:val="left"/>
      <w:pPr>
        <w:ind w:left="3195" w:hanging="317"/>
      </w:pPr>
      <w:rPr>
        <w:rFonts w:hint="default"/>
        <w:lang w:val="zh-CN" w:eastAsia="zh-CN" w:bidi="zh-CN"/>
      </w:rPr>
    </w:lvl>
    <w:lvl w:ilvl="4" w:tentative="0">
      <w:start w:val="0"/>
      <w:numFmt w:val="bullet"/>
      <w:lvlText w:val="•"/>
      <w:lvlJc w:val="left"/>
      <w:pPr>
        <w:ind w:left="3974" w:hanging="317"/>
      </w:pPr>
      <w:rPr>
        <w:rFonts w:hint="default"/>
        <w:lang w:val="zh-CN" w:eastAsia="zh-CN" w:bidi="zh-CN"/>
      </w:rPr>
    </w:lvl>
    <w:lvl w:ilvl="5" w:tentative="0">
      <w:start w:val="0"/>
      <w:numFmt w:val="bullet"/>
      <w:lvlText w:val="•"/>
      <w:lvlJc w:val="left"/>
      <w:pPr>
        <w:ind w:left="4753" w:hanging="317"/>
      </w:pPr>
      <w:rPr>
        <w:rFonts w:hint="default"/>
        <w:lang w:val="zh-CN" w:eastAsia="zh-CN" w:bidi="zh-CN"/>
      </w:rPr>
    </w:lvl>
    <w:lvl w:ilvl="6" w:tentative="0">
      <w:start w:val="0"/>
      <w:numFmt w:val="bullet"/>
      <w:lvlText w:val="•"/>
      <w:lvlJc w:val="left"/>
      <w:pPr>
        <w:ind w:left="5531" w:hanging="317"/>
      </w:pPr>
      <w:rPr>
        <w:rFonts w:hint="default"/>
        <w:lang w:val="zh-CN" w:eastAsia="zh-CN" w:bidi="zh-CN"/>
      </w:rPr>
    </w:lvl>
    <w:lvl w:ilvl="7" w:tentative="0">
      <w:start w:val="0"/>
      <w:numFmt w:val="bullet"/>
      <w:lvlText w:val="•"/>
      <w:lvlJc w:val="left"/>
      <w:pPr>
        <w:ind w:left="6310" w:hanging="317"/>
      </w:pPr>
      <w:rPr>
        <w:rFonts w:hint="default"/>
        <w:lang w:val="zh-CN" w:eastAsia="zh-CN" w:bidi="zh-CN"/>
      </w:rPr>
    </w:lvl>
    <w:lvl w:ilvl="8" w:tentative="0">
      <w:start w:val="0"/>
      <w:numFmt w:val="bullet"/>
      <w:lvlText w:val="•"/>
      <w:lvlJc w:val="left"/>
      <w:pPr>
        <w:ind w:left="7089" w:hanging="317"/>
      </w:pPr>
      <w:rPr>
        <w:rFonts w:hint="default"/>
        <w:lang w:val="zh-CN" w:eastAsia="zh-CN" w:bidi="zh-CN"/>
      </w:rPr>
    </w:lvl>
  </w:abstractNum>
  <w:num w:numId="1">
    <w:abstractNumId w:val="19"/>
  </w:num>
  <w:num w:numId="2">
    <w:abstractNumId w:val="13"/>
  </w:num>
  <w:num w:numId="3">
    <w:abstractNumId w:val="34"/>
  </w:num>
  <w:num w:numId="4">
    <w:abstractNumId w:val="11"/>
  </w:num>
  <w:num w:numId="5">
    <w:abstractNumId w:val="7"/>
  </w:num>
  <w:num w:numId="6">
    <w:abstractNumId w:val="21"/>
  </w:num>
  <w:num w:numId="7">
    <w:abstractNumId w:val="25"/>
  </w:num>
  <w:num w:numId="8">
    <w:abstractNumId w:val="39"/>
  </w:num>
  <w:num w:numId="9">
    <w:abstractNumId w:val="20"/>
  </w:num>
  <w:num w:numId="10">
    <w:abstractNumId w:val="3"/>
  </w:num>
  <w:num w:numId="11">
    <w:abstractNumId w:val="26"/>
  </w:num>
  <w:num w:numId="12">
    <w:abstractNumId w:val="35"/>
  </w:num>
  <w:num w:numId="13">
    <w:abstractNumId w:val="12"/>
  </w:num>
  <w:num w:numId="14">
    <w:abstractNumId w:val="31"/>
  </w:num>
  <w:num w:numId="15">
    <w:abstractNumId w:val="17"/>
  </w:num>
  <w:num w:numId="16">
    <w:abstractNumId w:val="24"/>
  </w:num>
  <w:num w:numId="17">
    <w:abstractNumId w:val="15"/>
  </w:num>
  <w:num w:numId="18">
    <w:abstractNumId w:val="14"/>
  </w:num>
  <w:num w:numId="19">
    <w:abstractNumId w:val="5"/>
  </w:num>
  <w:num w:numId="20">
    <w:abstractNumId w:val="30"/>
  </w:num>
  <w:num w:numId="21">
    <w:abstractNumId w:val="37"/>
  </w:num>
  <w:num w:numId="22">
    <w:abstractNumId w:val="22"/>
  </w:num>
  <w:num w:numId="23">
    <w:abstractNumId w:val="29"/>
  </w:num>
  <w:num w:numId="24">
    <w:abstractNumId w:val="6"/>
  </w:num>
  <w:num w:numId="25">
    <w:abstractNumId w:val="42"/>
  </w:num>
  <w:num w:numId="26">
    <w:abstractNumId w:val="40"/>
  </w:num>
  <w:num w:numId="27">
    <w:abstractNumId w:val="10"/>
  </w:num>
  <w:num w:numId="28">
    <w:abstractNumId w:val="38"/>
  </w:num>
  <w:num w:numId="29">
    <w:abstractNumId w:val="4"/>
  </w:num>
  <w:num w:numId="30">
    <w:abstractNumId w:val="28"/>
  </w:num>
  <w:num w:numId="31">
    <w:abstractNumId w:val="1"/>
  </w:num>
  <w:num w:numId="32">
    <w:abstractNumId w:val="33"/>
  </w:num>
  <w:num w:numId="33">
    <w:abstractNumId w:val="43"/>
  </w:num>
  <w:num w:numId="34">
    <w:abstractNumId w:val="0"/>
  </w:num>
  <w:num w:numId="35">
    <w:abstractNumId w:val="23"/>
  </w:num>
  <w:num w:numId="36">
    <w:abstractNumId w:val="32"/>
  </w:num>
  <w:num w:numId="37">
    <w:abstractNumId w:val="18"/>
  </w:num>
  <w:num w:numId="38">
    <w:abstractNumId w:val="16"/>
  </w:num>
  <w:num w:numId="39">
    <w:abstractNumId w:val="27"/>
  </w:num>
  <w:num w:numId="40">
    <w:abstractNumId w:val="41"/>
  </w:num>
  <w:num w:numId="41">
    <w:abstractNumId w:val="9"/>
  </w:num>
  <w:num w:numId="42">
    <w:abstractNumId w:val="2"/>
  </w:num>
  <w:num w:numId="43">
    <w:abstractNumId w:val="8"/>
  </w:num>
  <w:num w:numId="44">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cumentProtection w:enforcement="0"/>
  <w:defaultTabStop w:val="720"/>
  <w:evenAndOddHeaders w:val="1"/>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C4A2E8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1"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paragraph" w:styleId="2">
    <w:name w:val="heading 1"/>
    <w:basedOn w:val="1"/>
    <w:next w:val="1"/>
    <w:qFormat/>
    <w:uiPriority w:val="1"/>
    <w:pPr>
      <w:ind w:left="2990"/>
      <w:outlineLvl w:val="1"/>
    </w:pPr>
    <w:rPr>
      <w:rFonts w:ascii="黑体" w:hAnsi="黑体" w:eastAsia="黑体" w:cs="黑体"/>
      <w:sz w:val="28"/>
      <w:szCs w:val="28"/>
      <w:lang w:val="zh-CN" w:eastAsia="zh-CN" w:bidi="zh-CN"/>
    </w:rPr>
  </w:style>
  <w:style w:type="character" w:default="1" w:styleId="7">
    <w:name w:val="Default Paragraph Font"/>
    <w:semiHidden/>
    <w:unhideWhenUsed/>
    <w:uiPriority w:val="1"/>
  </w:style>
  <w:style w:type="table" w:default="1" w:styleId="6">
    <w:name w:val="Normal Table"/>
    <w:semiHidden/>
    <w:uiPriority w:val="0"/>
    <w:tblPr>
      <w:tblCellMar>
        <w:top w:w="0" w:type="dxa"/>
        <w:left w:w="108" w:type="dxa"/>
        <w:bottom w:w="0" w:type="dxa"/>
        <w:right w:w="108" w:type="dxa"/>
      </w:tblCellMar>
    </w:tblPr>
  </w:style>
  <w:style w:type="paragraph" w:styleId="3">
    <w:name w:val="Body Text"/>
    <w:basedOn w:val="1"/>
    <w:qFormat/>
    <w:uiPriority w:val="1"/>
    <w:rPr>
      <w:rFonts w:ascii="宋体" w:hAnsi="宋体" w:eastAsia="宋体" w:cs="宋体"/>
      <w:sz w:val="21"/>
      <w:szCs w:val="21"/>
      <w:lang w:val="zh-CN" w:eastAsia="zh-CN" w:bidi="zh-CN"/>
    </w:rPr>
  </w:style>
  <w:style w:type="paragraph" w:styleId="4">
    <w:name w:val="toc 1"/>
    <w:basedOn w:val="1"/>
    <w:next w:val="1"/>
    <w:qFormat/>
    <w:uiPriority w:val="1"/>
    <w:pPr>
      <w:spacing w:before="43"/>
      <w:ind w:left="813" w:hanging="211"/>
    </w:pPr>
    <w:rPr>
      <w:rFonts w:ascii="宋体" w:hAnsi="宋体" w:eastAsia="宋体" w:cs="宋体"/>
      <w:sz w:val="21"/>
      <w:szCs w:val="21"/>
      <w:lang w:val="zh-CN" w:eastAsia="zh-CN" w:bidi="zh-CN"/>
    </w:rPr>
  </w:style>
  <w:style w:type="paragraph" w:styleId="5">
    <w:name w:val="toc 2"/>
    <w:basedOn w:val="1"/>
    <w:next w:val="1"/>
    <w:qFormat/>
    <w:uiPriority w:val="1"/>
    <w:pPr>
      <w:spacing w:before="43"/>
      <w:ind w:left="1391" w:hanging="369"/>
    </w:pPr>
    <w:rPr>
      <w:rFonts w:ascii="宋体" w:hAnsi="宋体" w:eastAsia="宋体" w:cs="宋体"/>
      <w:sz w:val="21"/>
      <w:szCs w:val="21"/>
      <w:lang w:val="zh-CN" w:eastAsia="zh-CN" w:bidi="zh-CN"/>
    </w:rPr>
  </w:style>
  <w:style w:type="table" w:customStyle="1" w:styleId="8">
    <w:name w:val="Table Normal"/>
    <w:semiHidden/>
    <w:unhideWhenUsed/>
    <w:qFormat/>
    <w:uiPriority w:val="2"/>
    <w:tblPr>
      <w:tblCellMar>
        <w:top w:w="0" w:type="dxa"/>
        <w:left w:w="0" w:type="dxa"/>
        <w:bottom w:w="0" w:type="dxa"/>
        <w:right w:w="0" w:type="dxa"/>
      </w:tblCellMar>
    </w:tblPr>
  </w:style>
  <w:style w:type="paragraph" w:styleId="9">
    <w:name w:val="List Paragraph"/>
    <w:basedOn w:val="1"/>
    <w:qFormat/>
    <w:uiPriority w:val="1"/>
    <w:pPr>
      <w:ind w:left="120" w:firstLine="422"/>
    </w:pPr>
    <w:rPr>
      <w:rFonts w:ascii="宋体" w:hAnsi="宋体" w:eastAsia="宋体" w:cs="宋体"/>
      <w:lang w:val="zh-CN" w:eastAsia="zh-CN" w:bidi="zh-CN"/>
    </w:rPr>
  </w:style>
  <w:style w:type="paragraph" w:customStyle="1" w:styleId="10">
    <w:name w:val="Table Paragraph"/>
    <w:basedOn w:val="1"/>
    <w:qFormat/>
    <w:uiPriority w:val="1"/>
    <w:rPr>
      <w:rFonts w:ascii="宋体" w:hAnsi="宋体" w:eastAsia="宋体" w:cs="宋体"/>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ScaleCrop>false</ScaleCrop>
  <LinksUpToDate>false</LinksUpToDate>
  <Application>WPS Office_11.1.0.10228_F1E327BC-269C-435d-A152-05C5408002CA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2020-05-18T08:58:00Z</dcterms:created>
  <dc:creator>liu</dc:creator>
  <cp:lastModifiedBy>苏玉斌</cp:lastModifiedBy>
  <dcterms:modified xsi:type="dcterms:W3CDTF">2020-12-22T07:09:50Z</dcterms:modified>
  <dc:title>beufabf</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2019-10-31T00:00:00Z</vt:filetime>
  </property>
  <property fmtid="{D5CDD505-2E9C-101B-9397-08002B2CF9AE}" pid="3" name="Creator">
    <vt:lpwstr>Acrobat PDFMaker 15 Word 版</vt:lpwstr>
  </property>
  <property fmtid="{D5CDD505-2E9C-101B-9397-08002B2CF9AE}" pid="4" name="LastSaved">
    <vt:filetime>2020-05-18T00:00:00Z</vt:filetime>
  </property>
  <property fmtid="{D5CDD505-2E9C-101B-9397-08002B2CF9AE}" pid="5" name="KSOProductBuildVer">
    <vt:lpwstr>2052-11.1.0.10228</vt:lpwstr>
  </property>
</Properties>
</file>