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附件1-1</w:t>
      </w:r>
    </w:p>
    <w:p>
      <w:pPr>
        <w:jc w:val="center"/>
        <w:rPr>
          <w:rFonts w:hint="default" w:eastAsiaTheme="minorEastAsia"/>
          <w:b/>
          <w:bCs/>
          <w:sz w:val="40"/>
          <w:szCs w:val="48"/>
          <w:lang w:val="en-US" w:eastAsia="zh-CN"/>
        </w:rPr>
      </w:pPr>
      <w:r>
        <w:rPr>
          <w:rFonts w:hint="eastAsia" w:eastAsiaTheme="minorEastAsia"/>
          <w:b/>
          <w:bCs/>
          <w:sz w:val="40"/>
          <w:szCs w:val="48"/>
          <w:lang w:val="en-US" w:eastAsia="zh-CN"/>
        </w:rPr>
        <w:t>惠州市_____县（区）</w:t>
      </w:r>
      <w:r>
        <w:rPr>
          <w:rFonts w:hint="eastAsia"/>
          <w:b/>
          <w:bCs/>
          <w:sz w:val="40"/>
          <w:szCs w:val="48"/>
          <w:lang w:val="en-US" w:eastAsia="zh-CN"/>
        </w:rPr>
        <w:t>绿色建筑工程分部竣工验收自评估报告</w:t>
      </w:r>
    </w:p>
    <w:tbl>
      <w:tblPr>
        <w:tblStyle w:val="3"/>
        <w:tblW w:w="13080" w:type="dxa"/>
        <w:tblInd w:w="0" w:type="dxa"/>
        <w:shd w:val="clear" w:color="auto" w:fill="auto"/>
        <w:tblLayout w:type="fixed"/>
        <w:tblCellMar>
          <w:top w:w="0" w:type="dxa"/>
          <w:left w:w="0" w:type="dxa"/>
          <w:bottom w:w="0" w:type="dxa"/>
          <w:right w:w="0" w:type="dxa"/>
        </w:tblCellMar>
      </w:tblPr>
      <w:tblGrid>
        <w:gridCol w:w="690"/>
        <w:gridCol w:w="462"/>
        <w:gridCol w:w="33"/>
        <w:gridCol w:w="504"/>
        <w:gridCol w:w="488"/>
        <w:gridCol w:w="403"/>
        <w:gridCol w:w="1035"/>
        <w:gridCol w:w="690"/>
        <w:gridCol w:w="123"/>
        <w:gridCol w:w="2112"/>
        <w:gridCol w:w="574"/>
        <w:gridCol w:w="563"/>
        <w:gridCol w:w="558"/>
        <w:gridCol w:w="555"/>
        <w:gridCol w:w="465"/>
        <w:gridCol w:w="123"/>
        <w:gridCol w:w="222"/>
        <w:gridCol w:w="735"/>
        <w:gridCol w:w="435"/>
        <w:gridCol w:w="885"/>
        <w:gridCol w:w="450"/>
        <w:gridCol w:w="975"/>
      </w:tblGrid>
      <w:tr>
        <w:tblPrEx>
          <w:shd w:val="clear" w:color="auto" w:fill="auto"/>
          <w:tblCellMar>
            <w:top w:w="0" w:type="dxa"/>
            <w:left w:w="0" w:type="dxa"/>
            <w:bottom w:w="0" w:type="dxa"/>
            <w:right w:w="0" w:type="dxa"/>
          </w:tblCellMar>
        </w:tblPrEx>
        <w:trPr>
          <w:trHeight w:val="702" w:hRule="atLeast"/>
        </w:trPr>
        <w:tc>
          <w:tcPr>
            <w:tcW w:w="13080" w:type="dxa"/>
            <w:gridSpan w:val="22"/>
            <w:tcBorders>
              <w:top w:val="single" w:color="000000" w:sz="12"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项 目 总 体 情 况</w:t>
            </w:r>
          </w:p>
        </w:tc>
      </w:tr>
      <w:tr>
        <w:tblPrEx>
          <w:tblCellMar>
            <w:top w:w="0" w:type="dxa"/>
            <w:left w:w="0" w:type="dxa"/>
            <w:bottom w:w="0" w:type="dxa"/>
            <w:right w:w="0" w:type="dxa"/>
          </w:tblCellMar>
        </w:tblPrEx>
        <w:trPr>
          <w:trHeight w:val="46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项目名称</w:t>
            </w:r>
          </w:p>
        </w:tc>
        <w:tc>
          <w:tcPr>
            <w:tcW w:w="7638" w:type="dxa"/>
            <w:gridSpan w:val="1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1980"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工程项目开工时间</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20___年___月___日</w:t>
            </w:r>
          </w:p>
        </w:tc>
      </w:tr>
      <w:tr>
        <w:tblPrEx>
          <w:tblCellMar>
            <w:top w:w="0" w:type="dxa"/>
            <w:left w:w="0" w:type="dxa"/>
            <w:bottom w:w="0" w:type="dxa"/>
            <w:right w:w="0" w:type="dxa"/>
          </w:tblCellMar>
        </w:tblPrEx>
        <w:trPr>
          <w:trHeight w:val="462" w:hRule="atLeast"/>
        </w:trPr>
        <w:tc>
          <w:tcPr>
            <w:tcW w:w="1152" w:type="dxa"/>
            <w:gridSpan w:val="2"/>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项目地址</w:t>
            </w:r>
          </w:p>
        </w:tc>
        <w:tc>
          <w:tcPr>
            <w:tcW w:w="7638" w:type="dxa"/>
            <w:gridSpan w:val="1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4"/>
                <w:szCs w:val="14"/>
                <w:u w:val="none"/>
              </w:rPr>
            </w:pPr>
            <w:r>
              <w:rPr>
                <w:rFonts w:hint="default" w:ascii="仿宋_GB2312" w:hAnsi="宋体" w:eastAsia="仿宋_GB2312" w:cs="仿宋_GB2312"/>
                <w:b/>
                <w:i w:val="0"/>
                <w:color w:val="000000"/>
                <w:kern w:val="0"/>
                <w:sz w:val="18"/>
                <w:szCs w:val="18"/>
                <w:u w:val="none"/>
                <w:lang w:val="en-US" w:eastAsia="zh-CN" w:bidi="ar"/>
              </w:rPr>
              <w:t>惠州市</w:t>
            </w:r>
            <w:r>
              <w:rPr>
                <w:rStyle w:val="5"/>
                <w:rFonts w:hAnsi="宋体"/>
                <w:sz w:val="18"/>
                <w:szCs w:val="18"/>
                <w:lang w:val="en-US" w:eastAsia="zh-CN" w:bidi="ar"/>
              </w:rPr>
              <w:t xml:space="preserve">     </w:t>
            </w:r>
            <w:r>
              <w:rPr>
                <w:rStyle w:val="6"/>
                <w:rFonts w:hAnsi="宋体"/>
                <w:sz w:val="18"/>
                <w:szCs w:val="18"/>
                <w:lang w:val="en-US" w:eastAsia="zh-CN" w:bidi="ar"/>
              </w:rPr>
              <w:t>县（区）</w:t>
            </w:r>
            <w:r>
              <w:rPr>
                <w:rStyle w:val="5"/>
                <w:rFonts w:hAnsi="宋体"/>
                <w:sz w:val="18"/>
                <w:szCs w:val="18"/>
                <w:lang w:val="en-US" w:eastAsia="zh-CN" w:bidi="ar"/>
              </w:rPr>
              <w:t xml:space="preserve">      </w:t>
            </w:r>
            <w:r>
              <w:rPr>
                <w:rStyle w:val="6"/>
                <w:rFonts w:hAnsi="宋体"/>
                <w:sz w:val="18"/>
                <w:szCs w:val="18"/>
                <w:lang w:val="en-US" w:eastAsia="zh-CN" w:bidi="ar"/>
              </w:rPr>
              <w:t>街道（镇）</w:t>
            </w:r>
            <w:r>
              <w:rPr>
                <w:rStyle w:val="5"/>
                <w:rFonts w:hAnsi="宋体"/>
                <w:sz w:val="18"/>
                <w:szCs w:val="18"/>
                <w:lang w:val="en-US" w:eastAsia="zh-CN" w:bidi="ar"/>
              </w:rPr>
              <w:t xml:space="preserve">      </w:t>
            </w:r>
            <w:r>
              <w:rPr>
                <w:rStyle w:val="6"/>
                <w:rFonts w:hAnsi="宋体"/>
                <w:sz w:val="18"/>
                <w:szCs w:val="18"/>
                <w:lang w:val="en-US" w:eastAsia="zh-CN" w:bidi="ar"/>
              </w:rPr>
              <w:t>居（村）</w:t>
            </w:r>
            <w:r>
              <w:rPr>
                <w:rStyle w:val="5"/>
                <w:rFonts w:hAnsi="宋体"/>
                <w:sz w:val="18"/>
                <w:szCs w:val="18"/>
                <w:lang w:val="en-US" w:eastAsia="zh-CN" w:bidi="ar"/>
              </w:rPr>
              <w:t xml:space="preserve">                                   .</w:t>
            </w:r>
          </w:p>
        </w:tc>
        <w:tc>
          <w:tcPr>
            <w:tcW w:w="1980"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工程项目主体      验收时间</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20___年___月___日</w:t>
            </w:r>
          </w:p>
        </w:tc>
      </w:tr>
      <w:tr>
        <w:tblPrEx>
          <w:tblCellMar>
            <w:top w:w="0" w:type="dxa"/>
            <w:left w:w="0" w:type="dxa"/>
            <w:bottom w:w="0" w:type="dxa"/>
            <w:right w:w="0" w:type="dxa"/>
          </w:tblCellMar>
        </w:tblPrEx>
        <w:trPr>
          <w:trHeight w:val="462" w:hRule="atLeast"/>
        </w:trPr>
        <w:tc>
          <w:tcPr>
            <w:tcW w:w="1152"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7638" w:type="dxa"/>
            <w:gridSpan w:val="1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14"/>
                <w:szCs w:val="14"/>
                <w:u w:val="none"/>
              </w:rPr>
            </w:pPr>
          </w:p>
        </w:tc>
        <w:tc>
          <w:tcPr>
            <w:tcW w:w="1980"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0"/>
                <w:szCs w:val="20"/>
                <w:u w:val="none"/>
                <w:lang w:val="en-US" w:eastAsia="zh-CN" w:bidi="ar"/>
              </w:rPr>
            </w:pPr>
            <w:r>
              <w:rPr>
                <w:rFonts w:hint="default" w:ascii="仿宋_GB2312" w:hAnsi="宋体" w:eastAsia="仿宋_GB2312" w:cs="仿宋_GB2312"/>
                <w:b/>
                <w:i w:val="0"/>
                <w:color w:val="000000"/>
                <w:kern w:val="0"/>
                <w:sz w:val="20"/>
                <w:szCs w:val="20"/>
                <w:u w:val="none"/>
                <w:lang w:val="en-US" w:eastAsia="zh-CN" w:bidi="ar"/>
              </w:rPr>
              <w:t>工程项目节</w:t>
            </w:r>
            <w:r>
              <w:rPr>
                <w:rFonts w:hint="eastAsia" w:ascii="仿宋_GB2312" w:hAnsi="宋体" w:eastAsia="仿宋_GB2312" w:cs="仿宋_GB2312"/>
                <w:b/>
                <w:i w:val="0"/>
                <w:color w:val="000000"/>
                <w:kern w:val="0"/>
                <w:sz w:val="20"/>
                <w:szCs w:val="20"/>
                <w:u w:val="none"/>
                <w:lang w:val="en-US" w:eastAsia="zh-CN" w:bidi="ar"/>
              </w:rPr>
              <w:t>绿色建筑</w:t>
            </w:r>
            <w:r>
              <w:rPr>
                <w:rFonts w:hint="default" w:ascii="仿宋_GB2312" w:hAnsi="宋体" w:eastAsia="仿宋_GB2312" w:cs="仿宋_GB2312"/>
                <w:b/>
                <w:i w:val="0"/>
                <w:color w:val="000000"/>
                <w:kern w:val="0"/>
                <w:sz w:val="20"/>
                <w:szCs w:val="20"/>
                <w:u w:val="none"/>
                <w:lang w:val="en-US" w:eastAsia="zh-CN" w:bidi="ar"/>
              </w:rPr>
              <w:t xml:space="preserve">   </w:t>
            </w:r>
          </w:p>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 xml:space="preserve"> 验收时间</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20___年___月___日</w:t>
            </w:r>
          </w:p>
        </w:tc>
      </w:tr>
      <w:tr>
        <w:tblPrEx>
          <w:tblCellMar>
            <w:top w:w="0" w:type="dxa"/>
            <w:left w:w="0" w:type="dxa"/>
            <w:bottom w:w="0" w:type="dxa"/>
            <w:right w:w="0" w:type="dxa"/>
          </w:tblCellMar>
        </w:tblPrEx>
        <w:trPr>
          <w:trHeight w:val="46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建设单位</w:t>
            </w:r>
          </w:p>
        </w:tc>
        <w:tc>
          <w:tcPr>
            <w:tcW w:w="7638" w:type="dxa"/>
            <w:gridSpan w:val="1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r>
      <w:tr>
        <w:tblPrEx>
          <w:tblCellMar>
            <w:top w:w="0" w:type="dxa"/>
            <w:left w:w="0" w:type="dxa"/>
            <w:bottom w:w="0" w:type="dxa"/>
            <w:right w:w="0" w:type="dxa"/>
          </w:tblCellMar>
        </w:tblPrEx>
        <w:trPr>
          <w:trHeight w:val="46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设计单位</w:t>
            </w:r>
          </w:p>
        </w:tc>
        <w:tc>
          <w:tcPr>
            <w:tcW w:w="7638" w:type="dxa"/>
            <w:gridSpan w:val="1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r>
      <w:tr>
        <w:tblPrEx>
          <w:tblCellMar>
            <w:top w:w="0" w:type="dxa"/>
            <w:left w:w="0" w:type="dxa"/>
            <w:bottom w:w="0" w:type="dxa"/>
            <w:right w:w="0" w:type="dxa"/>
          </w:tblCellMar>
        </w:tblPrEx>
        <w:trPr>
          <w:trHeight w:val="46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施工图审查机构</w:t>
            </w:r>
          </w:p>
        </w:tc>
        <w:tc>
          <w:tcPr>
            <w:tcW w:w="7638" w:type="dxa"/>
            <w:gridSpan w:val="1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r>
      <w:tr>
        <w:tblPrEx>
          <w:tblCellMar>
            <w:top w:w="0" w:type="dxa"/>
            <w:left w:w="0" w:type="dxa"/>
            <w:bottom w:w="0" w:type="dxa"/>
            <w:right w:w="0" w:type="dxa"/>
          </w:tblCellMar>
        </w:tblPrEx>
        <w:trPr>
          <w:trHeight w:val="46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施工单位</w:t>
            </w:r>
          </w:p>
        </w:tc>
        <w:tc>
          <w:tcPr>
            <w:tcW w:w="7638" w:type="dxa"/>
            <w:gridSpan w:val="1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r>
      <w:tr>
        <w:tblPrEx>
          <w:tblCellMar>
            <w:top w:w="0" w:type="dxa"/>
            <w:left w:w="0" w:type="dxa"/>
            <w:bottom w:w="0" w:type="dxa"/>
            <w:right w:w="0" w:type="dxa"/>
          </w:tblCellMar>
        </w:tblPrEx>
        <w:trPr>
          <w:trHeight w:val="46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监理单位</w:t>
            </w:r>
          </w:p>
        </w:tc>
        <w:tc>
          <w:tcPr>
            <w:tcW w:w="7638" w:type="dxa"/>
            <w:gridSpan w:val="1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r>
      <w:tr>
        <w:tblPrEx>
          <w:tblCellMar>
            <w:top w:w="0" w:type="dxa"/>
            <w:left w:w="0" w:type="dxa"/>
            <w:bottom w:w="0" w:type="dxa"/>
            <w:right w:w="0" w:type="dxa"/>
          </w:tblCellMar>
        </w:tblPrEx>
        <w:trPr>
          <w:trHeight w:val="46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勘察单位</w:t>
            </w:r>
          </w:p>
        </w:tc>
        <w:tc>
          <w:tcPr>
            <w:tcW w:w="7638" w:type="dxa"/>
            <w:gridSpan w:val="1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20"/>
                <w:szCs w:val="20"/>
                <w:u w:val="none"/>
                <w:lang w:val="en-US" w:eastAsia="zh-CN" w:bidi="ar-SA"/>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kern w:val="2"/>
                <w:sz w:val="20"/>
                <w:szCs w:val="20"/>
                <w:u w:val="none"/>
                <w:lang w:val="en-US" w:eastAsia="zh-CN" w:bidi="ar-SA"/>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20"/>
                <w:szCs w:val="20"/>
                <w:u w:val="none"/>
                <w:lang w:val="en-US" w:eastAsia="zh-CN" w:bidi="ar-SA"/>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46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咨询单位</w:t>
            </w:r>
          </w:p>
        </w:tc>
        <w:tc>
          <w:tcPr>
            <w:tcW w:w="7638" w:type="dxa"/>
            <w:gridSpan w:val="1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20"/>
                <w:szCs w:val="20"/>
                <w:u w:val="none"/>
                <w:lang w:val="en-US" w:eastAsia="zh-CN" w:bidi="ar-SA"/>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kern w:val="2"/>
                <w:sz w:val="20"/>
                <w:szCs w:val="20"/>
                <w:u w:val="none"/>
                <w:lang w:val="en-US" w:eastAsia="zh-CN" w:bidi="ar-SA"/>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20"/>
                <w:szCs w:val="20"/>
                <w:u w:val="none"/>
                <w:lang w:val="en-US" w:eastAsia="zh-CN" w:bidi="ar-SA"/>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3365"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spacing w:line="360" w:lineRule="auto"/>
              <w:rPr>
                <w:rFonts w:hint="eastAsia" w:ascii="仿宋" w:hAnsi="仿宋" w:eastAsia="仿宋" w:cs="仿宋"/>
                <w:sz w:val="24"/>
              </w:rPr>
            </w:pPr>
            <w:r>
              <w:rPr>
                <w:rFonts w:hint="eastAsia" w:ascii="仿宋" w:hAnsi="仿宋" w:eastAsia="仿宋" w:cs="仿宋"/>
                <w:sz w:val="24"/>
              </w:rPr>
              <w:t>绿色建筑建设目标：</w:t>
            </w:r>
            <w:r>
              <w:rPr>
                <w:rFonts w:hint="eastAsia" w:ascii="仿宋" w:hAnsi="仿宋" w:eastAsia="仿宋" w:cs="仿宋"/>
                <w:sz w:val="24"/>
                <w:lang w:val="en-US" w:eastAsia="zh-CN"/>
              </w:rPr>
              <w:t xml:space="preserve">国标   </w:t>
            </w:r>
            <w:r>
              <w:rPr>
                <w:rFonts w:hint="eastAsia" w:ascii="仿宋" w:hAnsi="仿宋" w:eastAsia="仿宋" w:cs="仿宋"/>
                <w:sz w:val="24"/>
              </w:rPr>
              <w:t>□基本级  □一星  □二星  □三星</w:t>
            </w:r>
          </w:p>
          <w:p>
            <w:pPr>
              <w:spacing w:line="360" w:lineRule="auto"/>
              <w:rPr>
                <w:rFonts w:hint="default" w:ascii="仿宋" w:hAnsi="仿宋" w:eastAsia="仿宋" w:cs="仿宋"/>
                <w:sz w:val="24"/>
                <w:lang w:val="en-US" w:eastAsia="zh-CN"/>
              </w:rPr>
            </w:pPr>
            <w:r>
              <w:rPr>
                <w:rFonts w:hint="eastAsia" w:ascii="仿宋" w:hAnsi="仿宋" w:eastAsia="仿宋" w:cs="仿宋"/>
                <w:sz w:val="24"/>
                <w:lang w:val="en-US" w:eastAsia="zh-CN"/>
              </w:rPr>
              <w:t xml:space="preserve">                  省标   </w:t>
            </w:r>
            <w:r>
              <w:rPr>
                <w:rFonts w:hint="eastAsia" w:ascii="仿宋" w:hAnsi="仿宋" w:eastAsia="仿宋" w:cs="仿宋"/>
                <w:sz w:val="24"/>
              </w:rPr>
              <w:t>□基本级  □一星  □二星  □三星</w:t>
            </w:r>
          </w:p>
          <w:p>
            <w:pPr>
              <w:spacing w:line="360" w:lineRule="auto"/>
              <w:rPr>
                <w:rFonts w:hint="eastAsia" w:ascii="仿宋" w:hAnsi="仿宋" w:eastAsia="仿宋" w:cs="仿宋"/>
                <w:sz w:val="24"/>
              </w:rPr>
            </w:pPr>
            <w:r>
              <w:rPr>
                <w:rFonts w:hint="eastAsia" w:ascii="仿宋" w:hAnsi="仿宋" w:eastAsia="仿宋" w:cs="仿宋"/>
                <w:sz w:val="24"/>
              </w:rPr>
              <w:t>建筑</w:t>
            </w:r>
            <w:r>
              <w:rPr>
                <w:rFonts w:hint="eastAsia" w:ascii="仿宋" w:hAnsi="仿宋" w:eastAsia="仿宋" w:cs="仿宋"/>
                <w:sz w:val="24"/>
                <w:lang w:val="en-US" w:eastAsia="zh-CN"/>
              </w:rPr>
              <w:t>类型</w:t>
            </w:r>
            <w:r>
              <w:rPr>
                <w:rFonts w:hint="eastAsia" w:ascii="仿宋" w:hAnsi="仿宋" w:eastAsia="仿宋" w:cs="仿宋"/>
                <w:sz w:val="24"/>
              </w:rPr>
              <w:t>：□居住建筑  □公共建筑  □综合功能建筑</w:t>
            </w:r>
          </w:p>
          <w:p>
            <w:pPr>
              <w:spacing w:line="360" w:lineRule="auto"/>
              <w:rPr>
                <w:rFonts w:hint="default" w:ascii="仿宋" w:hAnsi="仿宋" w:eastAsia="仿宋" w:cs="仿宋"/>
                <w:sz w:val="24"/>
                <w:szCs w:val="24"/>
                <w:u w:val="single"/>
                <w:lang w:val="en-US" w:eastAsia="zh-CN"/>
              </w:rPr>
            </w:pPr>
            <w:r>
              <w:rPr>
                <w:rFonts w:hint="eastAsia" w:ascii="仿宋" w:hAnsi="仿宋" w:eastAsia="仿宋" w:cs="仿宋"/>
                <w:color w:val="000000"/>
                <w:sz w:val="24"/>
                <w:szCs w:val="24"/>
                <w:shd w:val="clear" w:color="auto" w:fill="FFFFFF"/>
              </w:rPr>
              <w:t>结构类型</w:t>
            </w:r>
            <w:r>
              <w:rPr>
                <w:rFonts w:hint="eastAsia" w:ascii="仿宋" w:hAnsi="仿宋" w:eastAsia="仿宋" w:cs="仿宋"/>
                <w:color w:val="000000"/>
                <w:sz w:val="24"/>
                <w:szCs w:val="24"/>
                <w:shd w:val="clear" w:color="auto" w:fill="FFFFFF"/>
                <w:lang w:eastAsia="zh-CN"/>
              </w:rPr>
              <w:t xml:space="preserve">：□框架    □剪力墙   □框架-剪力墙 </w:t>
            </w:r>
            <w:r>
              <w:rPr>
                <w:rFonts w:hint="eastAsia" w:ascii="仿宋" w:hAnsi="仿宋" w:eastAsia="仿宋" w:cs="仿宋"/>
                <w:color w:val="000000"/>
                <w:sz w:val="24"/>
                <w:szCs w:val="24"/>
                <w:shd w:val="clear" w:color="auto" w:fill="FFFFFF"/>
                <w:lang w:val="en-US" w:eastAsia="zh-CN"/>
              </w:rPr>
              <w:t xml:space="preserve">  □钢结构   □砖混   □其他：</w:t>
            </w:r>
            <w:r>
              <w:rPr>
                <w:rFonts w:hint="eastAsia" w:ascii="仿宋" w:hAnsi="仿宋" w:eastAsia="仿宋" w:cs="仿宋"/>
                <w:color w:val="000000"/>
                <w:sz w:val="24"/>
                <w:szCs w:val="24"/>
                <w:u w:val="single"/>
                <w:shd w:val="clear" w:color="auto" w:fill="FFFFFF"/>
                <w:lang w:val="en-US" w:eastAsia="zh-CN"/>
              </w:rPr>
              <w:t xml:space="preserve">         </w:t>
            </w:r>
          </w:p>
          <w:p>
            <w:pPr>
              <w:spacing w:line="360" w:lineRule="auto"/>
              <w:rPr>
                <w:rFonts w:ascii="仿宋" w:hAnsi="仿宋" w:eastAsia="仿宋" w:cs="仿宋"/>
                <w:sz w:val="24"/>
              </w:rPr>
            </w:pPr>
            <w:r>
              <w:rPr>
                <w:rFonts w:hint="eastAsia" w:ascii="仿宋" w:hAnsi="仿宋" w:eastAsia="仿宋" w:cs="仿宋"/>
                <w:sz w:val="24"/>
              </w:rPr>
              <w:t xml:space="preserve">交楼标准：□毛坯 </w:t>
            </w:r>
            <w:r>
              <w:rPr>
                <w:rFonts w:hint="eastAsia" w:ascii="仿宋" w:hAnsi="仿宋" w:eastAsia="仿宋" w:cs="仿宋"/>
                <w:sz w:val="24"/>
                <w:lang w:val="en-US" w:eastAsia="zh-CN"/>
              </w:rPr>
              <w:t xml:space="preserve">  </w:t>
            </w:r>
            <w:r>
              <w:rPr>
                <w:rFonts w:hint="eastAsia" w:ascii="仿宋" w:hAnsi="仿宋" w:eastAsia="仿宋" w:cs="仿宋"/>
                <w:sz w:val="24"/>
              </w:rPr>
              <w:t xml:space="preserve"> □精装修</w:t>
            </w:r>
          </w:p>
          <w:p>
            <w:pPr>
              <w:spacing w:line="360" w:lineRule="auto"/>
              <w:rPr>
                <w:rFonts w:ascii="仿宋" w:hAnsi="仿宋" w:eastAsia="仿宋" w:cs="仿宋"/>
                <w:sz w:val="24"/>
              </w:rPr>
            </w:pPr>
            <w:r>
              <w:rPr>
                <w:rFonts w:hint="eastAsia" w:ascii="仿宋" w:hAnsi="仿宋" w:eastAsia="仿宋" w:cs="仿宋"/>
                <w:sz w:val="24"/>
              </w:rPr>
              <w:t>用地面积：</w:t>
            </w:r>
            <w:r>
              <w:rPr>
                <w:rFonts w:hint="eastAsia" w:ascii="仿宋" w:hAnsi="仿宋" w:eastAsia="仿宋" w:cs="仿宋"/>
                <w:sz w:val="24"/>
                <w:u w:val="single"/>
              </w:rPr>
              <w:t xml:space="preserve">          </w:t>
            </w:r>
            <w:r>
              <w:rPr>
                <w:rFonts w:hint="eastAsia" w:ascii="仿宋" w:hAnsi="仿宋" w:eastAsia="仿宋" w:cs="仿宋"/>
                <w:sz w:val="24"/>
              </w:rPr>
              <w:t>㎡</w:t>
            </w:r>
          </w:p>
          <w:p>
            <w:pPr>
              <w:spacing w:line="360" w:lineRule="auto"/>
              <w:rPr>
                <w:rFonts w:hint="default" w:ascii="仿宋" w:hAnsi="仿宋" w:eastAsia="仿宋" w:cs="仿宋"/>
                <w:sz w:val="24"/>
                <w:lang w:val="en-US" w:eastAsia="zh-CN"/>
              </w:rPr>
            </w:pPr>
            <w:r>
              <w:rPr>
                <w:rFonts w:hint="eastAsia" w:ascii="仿宋" w:hAnsi="仿宋" w:eastAsia="仿宋" w:cs="仿宋"/>
                <w:sz w:val="24"/>
              </w:rPr>
              <w:t>建筑面积：地上</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lang w:eastAsia="zh-CN"/>
              </w:rPr>
              <w:t>；</w:t>
            </w:r>
            <w:r>
              <w:rPr>
                <w:rFonts w:hint="eastAsia" w:ascii="仿宋" w:hAnsi="仿宋" w:eastAsia="仿宋" w:cs="仿宋"/>
                <w:sz w:val="24"/>
              </w:rPr>
              <w:t xml:space="preserve"> 地下</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val="en-US" w:eastAsia="zh-CN"/>
              </w:rPr>
              <w:t xml:space="preserve"> ；</w:t>
            </w:r>
            <w:r>
              <w:rPr>
                <w:rFonts w:hint="eastAsia" w:ascii="仿宋" w:hAnsi="仿宋" w:eastAsia="仿宋" w:cs="仿宋"/>
                <w:sz w:val="24"/>
              </w:rPr>
              <w:t>建筑高度：</w:t>
            </w:r>
            <w:r>
              <w:rPr>
                <w:rFonts w:hint="eastAsia" w:ascii="仿宋" w:hAnsi="仿宋" w:eastAsia="仿宋" w:cs="仿宋"/>
                <w:sz w:val="24"/>
                <w:u w:val="single"/>
              </w:rPr>
              <w:t xml:space="preserve">     </w:t>
            </w:r>
            <w:r>
              <w:rPr>
                <w:rFonts w:hint="eastAsia" w:ascii="仿宋" w:hAnsi="仿宋" w:eastAsia="仿宋" w:cs="仿宋"/>
                <w:sz w:val="24"/>
              </w:rPr>
              <w:t xml:space="preserve">m </w:t>
            </w:r>
            <w:r>
              <w:rPr>
                <w:rFonts w:hint="eastAsia" w:ascii="仿宋" w:hAnsi="仿宋" w:eastAsia="仿宋" w:cs="仿宋"/>
                <w:sz w:val="24"/>
                <w:lang w:eastAsia="zh-CN"/>
              </w:rPr>
              <w:t>；</w:t>
            </w:r>
            <w:r>
              <w:rPr>
                <w:rFonts w:hint="eastAsia" w:ascii="仿宋" w:hAnsi="仿宋" w:eastAsia="仿宋" w:cs="仿宋"/>
                <w:sz w:val="24"/>
              </w:rPr>
              <w:t xml:space="preserve"> 层数</w:t>
            </w:r>
            <w:r>
              <w:rPr>
                <w:rFonts w:hint="eastAsia" w:ascii="仿宋" w:hAnsi="仿宋" w:eastAsia="仿宋" w:cs="仿宋"/>
                <w:sz w:val="24"/>
                <w:u w:val="single"/>
              </w:rPr>
              <w:t xml:space="preserve">     </w:t>
            </w:r>
            <w:r>
              <w:rPr>
                <w:rFonts w:hint="eastAsia" w:ascii="仿宋" w:hAnsi="仿宋" w:eastAsia="仿宋" w:cs="仿宋"/>
                <w:sz w:val="24"/>
              </w:rPr>
              <w:t xml:space="preserve">   </w:t>
            </w:r>
          </w:p>
        </w:tc>
      </w:tr>
      <w:tr>
        <w:tblPrEx>
          <w:tblCellMar>
            <w:top w:w="0" w:type="dxa"/>
            <w:left w:w="0" w:type="dxa"/>
            <w:bottom w:w="0" w:type="dxa"/>
            <w:right w:w="0" w:type="dxa"/>
          </w:tblCellMar>
        </w:tblPrEx>
        <w:trPr>
          <w:trHeight w:val="122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 w:hAnsi="仿宋" w:eastAsia="仿宋" w:cs="仿宋"/>
                <w:sz w:val="24"/>
                <w:lang w:val="en-US" w:eastAsia="zh-CN"/>
              </w:rPr>
            </w:pPr>
            <w:r>
              <w:rPr>
                <w:rFonts w:hint="eastAsia" w:ascii="黑体" w:hAnsi="黑体" w:eastAsia="黑体" w:cs="黑体"/>
                <w:sz w:val="24"/>
                <w:lang w:val="en-US" w:eastAsia="zh-CN"/>
              </w:rPr>
              <w:t>项目自评</w:t>
            </w:r>
          </w:p>
        </w:tc>
        <w:tc>
          <w:tcPr>
            <w:tcW w:w="11928" w:type="dxa"/>
            <w:gridSpan w:val="2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 w:hAnsi="仿宋" w:eastAsia="仿宋" w:cs="仿宋"/>
                <w:sz w:val="24"/>
                <w:lang w:val="en-US" w:eastAsia="zh-CN"/>
              </w:rPr>
            </w:pPr>
          </w:p>
        </w:tc>
      </w:tr>
      <w:tr>
        <w:tblPrEx>
          <w:tblCellMar>
            <w:top w:w="0" w:type="dxa"/>
            <w:left w:w="0" w:type="dxa"/>
            <w:bottom w:w="0" w:type="dxa"/>
            <w:right w:w="0" w:type="dxa"/>
          </w:tblCellMar>
        </w:tblPrEx>
        <w:trPr>
          <w:trHeight w:val="752"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 w:hAnsi="仿宋" w:eastAsia="仿宋" w:cs="仿宋"/>
                <w:sz w:val="24"/>
                <w:lang w:val="en-US" w:eastAsia="zh-CN"/>
              </w:rPr>
            </w:pPr>
            <w:r>
              <w:rPr>
                <w:rFonts w:hint="eastAsia" w:ascii="黑体" w:hAnsi="黑体" w:eastAsia="黑体" w:cs="黑体"/>
                <w:b/>
                <w:bCs/>
                <w:sz w:val="28"/>
                <w:szCs w:val="28"/>
              </w:rPr>
              <w:t>地</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基</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基</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础</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与</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结</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构</w:t>
            </w: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控制项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4"/>
                <w:szCs w:val="24"/>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4"/>
                <w:szCs w:val="24"/>
              </w:rPr>
            </w:pP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评分项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4"/>
                <w:szCs w:val="24"/>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4"/>
                <w:szCs w:val="24"/>
              </w:rPr>
            </w:pPr>
          </w:p>
        </w:tc>
      </w:tr>
      <w:tr>
        <w:tblPrEx>
          <w:tblCellMar>
            <w:top w:w="0" w:type="dxa"/>
            <w:left w:w="0" w:type="dxa"/>
            <w:bottom w:w="0" w:type="dxa"/>
            <w:right w:w="0" w:type="dxa"/>
          </w:tblCellMar>
        </w:tblPrEx>
        <w:trPr>
          <w:trHeight w:val="752"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8"/>
                <w:szCs w:val="28"/>
              </w:rPr>
            </w:pPr>
            <w:r>
              <w:rPr>
                <w:rFonts w:hint="eastAsia" w:ascii="黑体" w:hAnsi="黑体" w:eastAsia="黑体" w:cs="黑体"/>
                <w:b/>
                <w:bCs/>
                <w:sz w:val="28"/>
                <w:szCs w:val="28"/>
              </w:rPr>
              <w:t>建</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筑</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装</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饰</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装</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修</w:t>
            </w:r>
          </w:p>
        </w:tc>
      </w:tr>
      <w:tr>
        <w:tblPrEx>
          <w:tblCellMar>
            <w:top w:w="0" w:type="dxa"/>
            <w:left w:w="0" w:type="dxa"/>
            <w:bottom w:w="0" w:type="dxa"/>
            <w:right w:w="0" w:type="dxa"/>
          </w:tblCellMar>
        </w:tblPrEx>
        <w:trPr>
          <w:trHeight w:val="729"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控制项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评分项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52"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8"/>
                <w:szCs w:val="28"/>
              </w:rPr>
            </w:pPr>
            <w:r>
              <w:rPr>
                <w:rFonts w:hint="eastAsia" w:ascii="黑体" w:hAnsi="黑体" w:eastAsia="黑体" w:cs="黑体"/>
                <w:b/>
                <w:bCs/>
                <w:sz w:val="28"/>
                <w:szCs w:val="28"/>
              </w:rPr>
              <w:t>通</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风</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与</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空</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调</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工</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程</w:t>
            </w: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控制项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评分项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52"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8"/>
                <w:szCs w:val="28"/>
              </w:rPr>
            </w:pPr>
            <w:r>
              <w:rPr>
                <w:rFonts w:hint="eastAsia" w:ascii="黑体" w:hAnsi="黑体" w:eastAsia="黑体" w:cs="黑体"/>
                <w:b/>
                <w:bCs/>
                <w:sz w:val="28"/>
                <w:szCs w:val="28"/>
              </w:rPr>
              <w:t>建</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筑</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电</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气</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与</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智</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能</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建</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筑</w:t>
            </w: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控制项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评分项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52"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8"/>
                <w:szCs w:val="28"/>
              </w:rPr>
            </w:pPr>
            <w:r>
              <w:rPr>
                <w:rFonts w:hint="eastAsia" w:ascii="黑体" w:hAnsi="黑体" w:eastAsia="黑体" w:cs="黑体"/>
                <w:b/>
                <w:bCs/>
                <w:sz w:val="28"/>
                <w:szCs w:val="28"/>
              </w:rPr>
              <w:t>室</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内</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外</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环</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境</w:t>
            </w: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控制项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评分项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02"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黑体" w:hAnsi="宋体" w:eastAsia="黑体" w:cs="黑体"/>
                <w:b/>
                <w:i w:val="0"/>
                <w:color w:val="000000"/>
                <w:kern w:val="0"/>
                <w:sz w:val="28"/>
                <w:szCs w:val="28"/>
                <w:u w:val="none"/>
                <w:lang w:val="en-US" w:eastAsia="zh-CN" w:bidi="ar"/>
              </w:rPr>
            </w:pPr>
            <w:r>
              <w:rPr>
                <w:rFonts w:hint="eastAsia" w:ascii="黑体" w:hAnsi="宋体" w:eastAsia="黑体" w:cs="黑体"/>
                <w:b/>
                <w:i w:val="0"/>
                <w:color w:val="000000"/>
                <w:kern w:val="0"/>
                <w:sz w:val="28"/>
                <w:szCs w:val="28"/>
                <w:u w:val="none"/>
                <w:lang w:val="en-US" w:eastAsia="zh-CN" w:bidi="ar"/>
              </w:rPr>
              <w:t>建 筑 给 水 排 水</w:t>
            </w:r>
          </w:p>
        </w:tc>
      </w:tr>
      <w:tr>
        <w:tblPrEx>
          <w:tblCellMar>
            <w:top w:w="0" w:type="dxa"/>
            <w:left w:w="0" w:type="dxa"/>
            <w:bottom w:w="0" w:type="dxa"/>
            <w:right w:w="0" w:type="dxa"/>
          </w:tblCellMar>
        </w:tblPrEx>
        <w:trPr>
          <w:trHeight w:val="70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控制项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0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评分项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02"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围 护 结 构 建 筑 热 工 设 计 与 验 收 情 况</w:t>
            </w:r>
          </w:p>
        </w:tc>
      </w:tr>
      <w:tr>
        <w:tblPrEx>
          <w:tblCellMar>
            <w:top w:w="0" w:type="dxa"/>
            <w:left w:w="0" w:type="dxa"/>
            <w:bottom w:w="0" w:type="dxa"/>
            <w:right w:w="0" w:type="dxa"/>
          </w:tblCellMar>
        </w:tblPrEx>
        <w:trPr>
          <w:trHeight w:val="462" w:hRule="atLeast"/>
        </w:trPr>
        <w:tc>
          <w:tcPr>
            <w:tcW w:w="11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eastAsia"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(包括非透明幕墙)</w:t>
            </w:r>
            <w:r>
              <w:rPr>
                <w:rStyle w:val="8"/>
                <w:lang w:val="en-US" w:eastAsia="zh-CN" w:bidi="ar"/>
              </w:rPr>
              <w:br w:type="textWrapping"/>
            </w:r>
            <w:r>
              <w:rPr>
                <w:rStyle w:val="8"/>
                <w:lang w:val="en-US" w:eastAsia="zh-CN" w:bidi="ar"/>
              </w:rPr>
              <w:t>外墙</w:t>
            </w:r>
          </w:p>
        </w:tc>
        <w:tc>
          <w:tcPr>
            <w:tcW w:w="504"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设计情况</w:t>
            </w:r>
          </w:p>
        </w:tc>
        <w:tc>
          <w:tcPr>
            <w:tcW w:w="4851" w:type="dxa"/>
            <w:gridSpan w:val="6"/>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材料类型、品种、厚度</w:t>
            </w:r>
          </w:p>
        </w:tc>
        <w:tc>
          <w:tcPr>
            <w:tcW w:w="574" w:type="dxa"/>
            <w:vMerge w:val="restart"/>
            <w:tcBorders>
              <w:top w:val="single" w:color="000000" w:sz="8" w:space="0"/>
              <w:left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验收情况</w:t>
            </w:r>
          </w:p>
        </w:tc>
        <w:tc>
          <w:tcPr>
            <w:tcW w:w="4991" w:type="dxa"/>
            <w:gridSpan w:val="10"/>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材料类型、品种、厚度</w:t>
            </w:r>
          </w:p>
        </w:tc>
        <w:tc>
          <w:tcPr>
            <w:tcW w:w="97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使用比例</w:t>
            </w: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8"/>
                <w:szCs w:val="18"/>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488"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填充墙</w:t>
            </w:r>
          </w:p>
        </w:tc>
        <w:tc>
          <w:tcPr>
            <w:tcW w:w="4363"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left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63"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填充墙</w:t>
            </w:r>
          </w:p>
        </w:tc>
        <w:tc>
          <w:tcPr>
            <w:tcW w:w="4428" w:type="dxa"/>
            <w:gridSpan w:val="9"/>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21"/>
                <w:szCs w:val="21"/>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single"/>
              </w:rPr>
            </w:pPr>
            <w:r>
              <w:rPr>
                <w:rFonts w:hint="default" w:ascii="仿宋_GB2312" w:hAnsi="宋体" w:eastAsia="仿宋_GB2312" w:cs="仿宋_GB2312"/>
                <w:b/>
                <w:i w:val="0"/>
                <w:color w:val="000000"/>
                <w:kern w:val="0"/>
                <w:sz w:val="21"/>
                <w:szCs w:val="21"/>
                <w:u w:val="single"/>
                <w:lang w:val="en-US" w:eastAsia="zh-CN" w:bidi="ar"/>
              </w:rPr>
              <w:t xml:space="preserve">    </w:t>
            </w:r>
            <w:r>
              <w:rPr>
                <w:rStyle w:val="9"/>
                <w:rFonts w:hAnsi="宋体"/>
                <w:sz w:val="21"/>
                <w:szCs w:val="21"/>
                <w:u w:val="single"/>
                <w:lang w:val="en-US" w:eastAsia="zh-CN" w:bidi="ar"/>
              </w:rPr>
              <w:t>%</w:t>
            </w: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8"/>
                <w:szCs w:val="18"/>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4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18"/>
                <w:szCs w:val="18"/>
                <w:u w:val="none"/>
              </w:rPr>
            </w:pPr>
          </w:p>
        </w:tc>
        <w:tc>
          <w:tcPr>
            <w:tcW w:w="4363"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left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63"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18"/>
                <w:szCs w:val="18"/>
                <w:u w:val="none"/>
              </w:rPr>
            </w:pPr>
          </w:p>
        </w:tc>
        <w:tc>
          <w:tcPr>
            <w:tcW w:w="4428" w:type="dxa"/>
            <w:gridSpan w:val="9"/>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21"/>
                <w:szCs w:val="21"/>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single"/>
              </w:rPr>
            </w:pPr>
            <w:r>
              <w:rPr>
                <w:rFonts w:hint="default" w:ascii="仿宋_GB2312" w:hAnsi="宋体" w:eastAsia="仿宋_GB2312" w:cs="仿宋_GB2312"/>
                <w:b/>
                <w:i w:val="0"/>
                <w:color w:val="000000"/>
                <w:kern w:val="0"/>
                <w:sz w:val="21"/>
                <w:szCs w:val="21"/>
                <w:u w:val="single"/>
                <w:lang w:val="en-US" w:eastAsia="zh-CN" w:bidi="ar"/>
              </w:rPr>
              <w:t xml:space="preserve">    </w:t>
            </w:r>
            <w:r>
              <w:rPr>
                <w:rStyle w:val="9"/>
                <w:rFonts w:hAnsi="宋体"/>
                <w:sz w:val="21"/>
                <w:szCs w:val="21"/>
                <w:u w:val="single"/>
                <w:lang w:val="en-US" w:eastAsia="zh-CN" w:bidi="ar"/>
              </w:rPr>
              <w:t>%</w:t>
            </w: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8"/>
                <w:szCs w:val="18"/>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488"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隔热层</w:t>
            </w:r>
          </w:p>
        </w:tc>
        <w:tc>
          <w:tcPr>
            <w:tcW w:w="4363"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left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63"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隔热层</w:t>
            </w:r>
          </w:p>
        </w:tc>
        <w:tc>
          <w:tcPr>
            <w:tcW w:w="4428" w:type="dxa"/>
            <w:gridSpan w:val="9"/>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2867025</wp:posOffset>
                  </wp:positionH>
                  <wp:positionV relativeFrom="paragraph">
                    <wp:posOffset>0</wp:posOffset>
                  </wp:positionV>
                  <wp:extent cx="628650" cy="293370"/>
                  <wp:effectExtent l="0" t="0" r="6350" b="11430"/>
                  <wp:wrapNone/>
                  <wp:docPr id="3" name="Line_1"/>
                  <wp:cNvGraphicFramePr/>
                  <a:graphic xmlns:a="http://schemas.openxmlformats.org/drawingml/2006/main">
                    <a:graphicData uri="http://schemas.openxmlformats.org/drawingml/2006/picture">
                      <pic:pic xmlns:pic="http://schemas.openxmlformats.org/drawingml/2006/picture">
                        <pic:nvPicPr>
                          <pic:cNvPr id="3" name="Line_1"/>
                          <pic:cNvPicPr/>
                        </pic:nvPicPr>
                        <pic:blipFill>
                          <a:blip r:embed="rId4"/>
                          <a:stretch>
                            <a:fillRect/>
                          </a:stretch>
                        </pic:blipFill>
                        <pic:spPr>
                          <a:xfrm>
                            <a:off x="0" y="0"/>
                            <a:ext cx="628650" cy="293370"/>
                          </a:xfrm>
                          <a:prstGeom prst="rect">
                            <a:avLst/>
                          </a:prstGeom>
                          <a:noFill/>
                          <a:ln>
                            <a:noFill/>
                          </a:ln>
                        </pic:spPr>
                      </pic:pic>
                    </a:graphicData>
                  </a:graphic>
                </wp:anchor>
              </w:drawing>
            </w:r>
          </w:p>
        </w:tc>
        <w:tc>
          <w:tcPr>
            <w:tcW w:w="97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8"/>
                <w:szCs w:val="18"/>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4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18"/>
                <w:szCs w:val="18"/>
                <w:u w:val="none"/>
              </w:rPr>
            </w:pPr>
          </w:p>
        </w:tc>
        <w:tc>
          <w:tcPr>
            <w:tcW w:w="4363"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63"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18"/>
                <w:szCs w:val="18"/>
                <w:u w:val="none"/>
              </w:rPr>
            </w:pPr>
          </w:p>
        </w:tc>
        <w:tc>
          <w:tcPr>
            <w:tcW w:w="4428" w:type="dxa"/>
            <w:gridSpan w:val="9"/>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2795905</wp:posOffset>
                  </wp:positionH>
                  <wp:positionV relativeFrom="paragraph">
                    <wp:posOffset>15875</wp:posOffset>
                  </wp:positionV>
                  <wp:extent cx="628650" cy="293370"/>
                  <wp:effectExtent l="0" t="0" r="6350" b="11430"/>
                  <wp:wrapNone/>
                  <wp:docPr id="4" name="Line_2"/>
                  <wp:cNvGraphicFramePr/>
                  <a:graphic xmlns:a="http://schemas.openxmlformats.org/drawingml/2006/main">
                    <a:graphicData uri="http://schemas.openxmlformats.org/drawingml/2006/picture">
                      <pic:pic xmlns:pic="http://schemas.openxmlformats.org/drawingml/2006/picture">
                        <pic:nvPicPr>
                          <pic:cNvPr id="4" name="Line_2"/>
                          <pic:cNvPicPr/>
                        </pic:nvPicPr>
                        <pic:blipFill>
                          <a:blip r:embed="rId4"/>
                          <a:stretch>
                            <a:fillRect/>
                          </a:stretch>
                        </pic:blipFill>
                        <pic:spPr>
                          <a:xfrm>
                            <a:off x="0" y="0"/>
                            <a:ext cx="628650" cy="293370"/>
                          </a:xfrm>
                          <a:prstGeom prst="rect">
                            <a:avLst/>
                          </a:prstGeom>
                          <a:noFill/>
                          <a:ln>
                            <a:noFill/>
                          </a:ln>
                        </pic:spPr>
                      </pic:pic>
                    </a:graphicData>
                  </a:graphic>
                </wp:anchor>
              </w:drawing>
            </w:r>
          </w:p>
        </w:tc>
        <w:tc>
          <w:tcPr>
            <w:tcW w:w="97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462" w:hRule="atLeast"/>
        </w:trPr>
        <w:tc>
          <w:tcPr>
            <w:tcW w:w="11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eastAsia" w:ascii="黑体" w:hAnsi="宋体" w:eastAsia="黑体" w:cs="黑体"/>
                <w:b/>
                <w:i w:val="0"/>
                <w:color w:val="000000"/>
                <w:sz w:val="12"/>
                <w:szCs w:val="12"/>
                <w:u w:val="none"/>
              </w:rPr>
            </w:pPr>
            <w:r>
              <w:rPr>
                <w:rFonts w:hint="eastAsia" w:ascii="黑体" w:hAnsi="宋体" w:eastAsia="黑体" w:cs="黑体"/>
                <w:b/>
                <w:i w:val="0"/>
                <w:color w:val="000000"/>
                <w:kern w:val="0"/>
                <w:sz w:val="12"/>
                <w:szCs w:val="12"/>
                <w:u w:val="none"/>
                <w:lang w:val="en-US" w:eastAsia="zh-CN" w:bidi="ar"/>
              </w:rPr>
              <w:t>(包括透明幕墙)</w:t>
            </w:r>
            <w:r>
              <w:rPr>
                <w:rStyle w:val="10"/>
                <w:lang w:val="en-US" w:eastAsia="zh-CN" w:bidi="ar"/>
              </w:rPr>
              <w:br w:type="textWrapping"/>
            </w:r>
            <w:r>
              <w:rPr>
                <w:rStyle w:val="8"/>
                <w:lang w:val="en-US" w:eastAsia="zh-CN" w:bidi="ar"/>
              </w:rPr>
              <w:t>外窗</w:t>
            </w:r>
          </w:p>
        </w:tc>
        <w:tc>
          <w:tcPr>
            <w:tcW w:w="504"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设计情况</w:t>
            </w:r>
          </w:p>
        </w:tc>
        <w:tc>
          <w:tcPr>
            <w:tcW w:w="1926"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外窗框型材</w:t>
            </w:r>
          </w:p>
        </w:tc>
        <w:tc>
          <w:tcPr>
            <w:tcW w:w="2925"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玻璃品种、厚度、规格</w:t>
            </w:r>
          </w:p>
        </w:tc>
        <w:tc>
          <w:tcPr>
            <w:tcW w:w="574"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验收情况</w:t>
            </w:r>
          </w:p>
        </w:tc>
        <w:tc>
          <w:tcPr>
            <w:tcW w:w="2141" w:type="dxa"/>
            <w:gridSpan w:val="4"/>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外窗框型材</w:t>
            </w:r>
          </w:p>
        </w:tc>
        <w:tc>
          <w:tcPr>
            <w:tcW w:w="3825" w:type="dxa"/>
            <w:gridSpan w:val="7"/>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玻璃品种、厚度、规格</w:t>
            </w: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2"/>
                <w:szCs w:val="12"/>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926"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2925"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2141" w:type="dxa"/>
            <w:gridSpan w:val="4"/>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3825" w:type="dxa"/>
            <w:gridSpan w:val="7"/>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2"/>
                <w:szCs w:val="12"/>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926"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遮阳措施</w:t>
            </w:r>
          </w:p>
        </w:tc>
        <w:tc>
          <w:tcPr>
            <w:tcW w:w="2925"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2141" w:type="dxa"/>
            <w:gridSpan w:val="4"/>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遮阳措施</w:t>
            </w:r>
          </w:p>
        </w:tc>
        <w:tc>
          <w:tcPr>
            <w:tcW w:w="3825" w:type="dxa"/>
            <w:gridSpan w:val="7"/>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462" w:hRule="atLeast"/>
        </w:trPr>
        <w:tc>
          <w:tcPr>
            <w:tcW w:w="11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屋面</w:t>
            </w:r>
          </w:p>
        </w:tc>
        <w:tc>
          <w:tcPr>
            <w:tcW w:w="504"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设计情况</w:t>
            </w:r>
          </w:p>
        </w:tc>
        <w:tc>
          <w:tcPr>
            <w:tcW w:w="89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非透明屋面主要隔热材料</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 正置式</w:t>
            </w:r>
            <w:r>
              <w:rPr>
                <w:rFonts w:hint="eastAsia" w:ascii="仿宋" w:hAnsi="仿宋" w:eastAsia="仿宋" w:cs="仿宋"/>
                <w:b/>
                <w:i w:val="0"/>
                <w:color w:val="000000"/>
                <w:kern w:val="0"/>
                <w:sz w:val="21"/>
                <w:szCs w:val="21"/>
                <w:u w:val="none"/>
                <w:lang w:val="en-US" w:eastAsia="zh-CN" w:bidi="ar"/>
              </w:rPr>
              <w:br w:type="textWrapping"/>
            </w:r>
            <w:r>
              <w:rPr>
                <w:rFonts w:hint="eastAsia" w:ascii="仿宋" w:hAnsi="仿宋" w:eastAsia="仿宋" w:cs="仿宋"/>
                <w:b/>
                <w:i w:val="0"/>
                <w:color w:val="000000"/>
                <w:kern w:val="0"/>
                <w:sz w:val="21"/>
                <w:szCs w:val="21"/>
                <w:u w:val="none"/>
                <w:lang w:val="en-US" w:eastAsia="zh-CN" w:bidi="ar"/>
              </w:rPr>
              <w:br w:type="textWrapping"/>
            </w:r>
            <w:r>
              <w:rPr>
                <w:rFonts w:hint="eastAsia" w:ascii="仿宋" w:hAnsi="仿宋" w:eastAsia="仿宋" w:cs="仿宋"/>
                <w:b/>
                <w:i w:val="0"/>
                <w:color w:val="000000"/>
                <w:kern w:val="0"/>
                <w:sz w:val="21"/>
                <w:szCs w:val="21"/>
                <w:u w:val="none"/>
                <w:lang w:val="en-US" w:eastAsia="zh-CN" w:bidi="ar"/>
              </w:rPr>
              <w:t>□ 倒置式</w:t>
            </w:r>
          </w:p>
        </w:tc>
        <w:tc>
          <w:tcPr>
            <w:tcW w:w="2925"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隔热层材料品种、厚度</w:t>
            </w:r>
          </w:p>
        </w:tc>
        <w:tc>
          <w:tcPr>
            <w:tcW w:w="574"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验收情况</w:t>
            </w:r>
          </w:p>
        </w:tc>
        <w:tc>
          <w:tcPr>
            <w:tcW w:w="112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非透明屋面主要隔热材料</w:t>
            </w:r>
          </w:p>
        </w:tc>
        <w:tc>
          <w:tcPr>
            <w:tcW w:w="102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 正置式</w:t>
            </w:r>
            <w:r>
              <w:rPr>
                <w:rFonts w:hint="eastAsia" w:ascii="仿宋" w:hAnsi="仿宋" w:eastAsia="仿宋" w:cs="仿宋"/>
                <w:b/>
                <w:i w:val="0"/>
                <w:color w:val="000000"/>
                <w:kern w:val="0"/>
                <w:sz w:val="21"/>
                <w:szCs w:val="21"/>
                <w:u w:val="none"/>
                <w:lang w:val="en-US" w:eastAsia="zh-CN" w:bidi="ar"/>
              </w:rPr>
              <w:br w:type="textWrapping"/>
            </w:r>
            <w:r>
              <w:rPr>
                <w:rFonts w:hint="eastAsia" w:ascii="仿宋" w:hAnsi="仿宋" w:eastAsia="仿宋" w:cs="仿宋"/>
                <w:b/>
                <w:i w:val="0"/>
                <w:color w:val="000000"/>
                <w:kern w:val="0"/>
                <w:sz w:val="21"/>
                <w:szCs w:val="21"/>
                <w:u w:val="none"/>
                <w:lang w:val="en-US" w:eastAsia="zh-CN" w:bidi="ar"/>
              </w:rPr>
              <w:br w:type="textWrapping"/>
            </w:r>
            <w:r>
              <w:rPr>
                <w:rFonts w:hint="eastAsia" w:ascii="仿宋" w:hAnsi="仿宋" w:eastAsia="仿宋" w:cs="仿宋"/>
                <w:b/>
                <w:i w:val="0"/>
                <w:color w:val="000000"/>
                <w:kern w:val="0"/>
                <w:sz w:val="21"/>
                <w:szCs w:val="21"/>
                <w:u w:val="none"/>
                <w:lang w:val="en-US" w:eastAsia="zh-CN" w:bidi="ar"/>
              </w:rPr>
              <w:t>□ 倒置式</w:t>
            </w:r>
          </w:p>
        </w:tc>
        <w:tc>
          <w:tcPr>
            <w:tcW w:w="3825" w:type="dxa"/>
            <w:gridSpan w:val="7"/>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隔热层材料品种、厚度</w:t>
            </w: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22"/>
                <w:szCs w:val="22"/>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89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2925"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12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02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3825" w:type="dxa"/>
            <w:gridSpan w:val="7"/>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22"/>
                <w:szCs w:val="22"/>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89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2925"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12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02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3825" w:type="dxa"/>
            <w:gridSpan w:val="7"/>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22"/>
                <w:szCs w:val="22"/>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89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2925"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12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02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3825" w:type="dxa"/>
            <w:gridSpan w:val="7"/>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22"/>
                <w:szCs w:val="22"/>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89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天窗</w:t>
            </w:r>
          </w:p>
        </w:tc>
        <w:tc>
          <w:tcPr>
            <w:tcW w:w="17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窗框型材</w:t>
            </w:r>
          </w:p>
        </w:tc>
        <w:tc>
          <w:tcPr>
            <w:tcW w:w="223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玻璃品种、规格</w:t>
            </w:r>
          </w:p>
        </w:tc>
        <w:tc>
          <w:tcPr>
            <w:tcW w:w="5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12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天窗</w:t>
            </w:r>
          </w:p>
        </w:tc>
        <w:tc>
          <w:tcPr>
            <w:tcW w:w="2100"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窗框型材</w:t>
            </w:r>
          </w:p>
        </w:tc>
        <w:tc>
          <w:tcPr>
            <w:tcW w:w="2745" w:type="dxa"/>
            <w:gridSpan w:val="4"/>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玻璃品种、规格</w:t>
            </w: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22"/>
                <w:szCs w:val="22"/>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89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7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223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12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2100"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2745" w:type="dxa"/>
            <w:gridSpan w:val="4"/>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702"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可 再 生 能 源 利 用 情 况</w:t>
            </w:r>
          </w:p>
        </w:tc>
      </w:tr>
      <w:tr>
        <w:tblPrEx>
          <w:tblCellMar>
            <w:top w:w="0" w:type="dxa"/>
            <w:left w:w="0" w:type="dxa"/>
            <w:bottom w:w="0" w:type="dxa"/>
            <w:right w:w="0" w:type="dxa"/>
          </w:tblCellMar>
        </w:tblPrEx>
        <w:trPr>
          <w:trHeight w:val="439" w:hRule="atLeast"/>
        </w:trPr>
        <w:tc>
          <w:tcPr>
            <w:tcW w:w="690" w:type="dxa"/>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设计是否使用可再生能源</w:t>
            </w:r>
          </w:p>
        </w:tc>
        <w:tc>
          <w:tcPr>
            <w:tcW w:w="49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□是</w:t>
            </w:r>
          </w:p>
        </w:tc>
        <w:tc>
          <w:tcPr>
            <w:tcW w:w="504"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实际是否使用可再生能源</w:t>
            </w:r>
          </w:p>
        </w:tc>
        <w:tc>
          <w:tcPr>
            <w:tcW w:w="89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□是</w:t>
            </w:r>
          </w:p>
        </w:tc>
        <w:tc>
          <w:tcPr>
            <w:tcW w:w="1848"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项目类型</w:t>
            </w:r>
          </w:p>
        </w:tc>
        <w:tc>
          <w:tcPr>
            <w:tcW w:w="8652" w:type="dxa"/>
            <w:gridSpan w:val="1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□太阳能光热应用   □太阳能光电应用   □地源热泵  □其他：</w:t>
            </w:r>
            <w:r>
              <w:rPr>
                <w:rStyle w:val="11"/>
                <w:rFonts w:hAnsi="宋体"/>
                <w:lang w:val="en-US" w:eastAsia="zh-CN" w:bidi="ar"/>
              </w:rPr>
              <w:t xml:space="preserve">                  .</w:t>
            </w:r>
          </w:p>
        </w:tc>
      </w:tr>
      <w:tr>
        <w:tblPrEx>
          <w:tblCellMar>
            <w:top w:w="0" w:type="dxa"/>
            <w:left w:w="0" w:type="dxa"/>
            <w:bottom w:w="0" w:type="dxa"/>
            <w:right w:w="0" w:type="dxa"/>
          </w:tblCellMar>
        </w:tblPrEx>
        <w:trPr>
          <w:trHeight w:val="510" w:hRule="atLeast"/>
        </w:trPr>
        <w:tc>
          <w:tcPr>
            <w:tcW w:w="690" w:type="dxa"/>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6"/>
                <w:szCs w:val="16"/>
                <w:u w:val="none"/>
              </w:rPr>
            </w:pPr>
          </w:p>
        </w:tc>
        <w:tc>
          <w:tcPr>
            <w:tcW w:w="49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18"/>
                <w:szCs w:val="18"/>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6"/>
                <w:szCs w:val="16"/>
                <w:u w:val="none"/>
              </w:rPr>
            </w:pPr>
          </w:p>
        </w:tc>
        <w:tc>
          <w:tcPr>
            <w:tcW w:w="89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18"/>
                <w:szCs w:val="18"/>
                <w:u w:val="none"/>
              </w:rPr>
            </w:pPr>
          </w:p>
        </w:tc>
        <w:tc>
          <w:tcPr>
            <w:tcW w:w="1848"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应用面积</w:t>
            </w:r>
          </w:p>
        </w:tc>
        <w:tc>
          <w:tcPr>
            <w:tcW w:w="2686"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single"/>
              </w:rPr>
            </w:pPr>
            <w:r>
              <w:rPr>
                <w:rFonts w:hint="default" w:ascii="仿宋_GB2312" w:hAnsi="宋体" w:eastAsia="仿宋_GB2312" w:cs="仿宋_GB2312"/>
                <w:b/>
                <w:i w:val="0"/>
                <w:color w:val="000000"/>
                <w:kern w:val="0"/>
                <w:sz w:val="20"/>
                <w:szCs w:val="20"/>
                <w:u w:val="single"/>
                <w:lang w:val="en-US" w:eastAsia="zh-CN" w:bidi="ar"/>
              </w:rPr>
              <w:t xml:space="preserve">              </w:t>
            </w:r>
            <w:r>
              <w:rPr>
                <w:rStyle w:val="9"/>
                <w:rFonts w:hAnsi="宋体"/>
                <w:u w:val="single"/>
                <w:lang w:val="en-US" w:eastAsia="zh-CN" w:bidi="ar"/>
              </w:rPr>
              <w:t>㎡</w:t>
            </w:r>
          </w:p>
        </w:tc>
        <w:tc>
          <w:tcPr>
            <w:tcW w:w="2264"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项目规模</w:t>
            </w:r>
          </w:p>
        </w:tc>
        <w:tc>
          <w:tcPr>
            <w:tcW w:w="3702" w:type="dxa"/>
            <w:gridSpan w:val="6"/>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single"/>
              </w:rPr>
            </w:pPr>
            <w:r>
              <w:rPr>
                <w:rFonts w:hint="default" w:ascii="仿宋_GB2312" w:hAnsi="宋体" w:eastAsia="仿宋_GB2312" w:cs="仿宋_GB2312"/>
                <w:b/>
                <w:i w:val="0"/>
                <w:color w:val="000000"/>
                <w:kern w:val="0"/>
                <w:sz w:val="20"/>
                <w:szCs w:val="20"/>
                <w:u w:val="single"/>
                <w:lang w:val="en-US" w:eastAsia="zh-CN" w:bidi="ar"/>
              </w:rPr>
              <w:t xml:space="preserve">             </w:t>
            </w:r>
            <w:r>
              <w:rPr>
                <w:rStyle w:val="9"/>
                <w:rFonts w:hAnsi="宋体"/>
                <w:u w:val="single"/>
                <w:lang w:val="en-US" w:eastAsia="zh-CN" w:bidi="ar"/>
              </w:rPr>
              <w:t>kW</w:t>
            </w:r>
          </w:p>
        </w:tc>
      </w:tr>
      <w:tr>
        <w:tblPrEx>
          <w:tblCellMar>
            <w:top w:w="0" w:type="dxa"/>
            <w:left w:w="0" w:type="dxa"/>
            <w:bottom w:w="0" w:type="dxa"/>
            <w:right w:w="0" w:type="dxa"/>
          </w:tblCellMar>
        </w:tblPrEx>
        <w:trPr>
          <w:trHeight w:val="439" w:hRule="atLeast"/>
        </w:trPr>
        <w:tc>
          <w:tcPr>
            <w:tcW w:w="690" w:type="dxa"/>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6"/>
                <w:szCs w:val="16"/>
                <w:u w:val="none"/>
              </w:rPr>
            </w:pPr>
          </w:p>
        </w:tc>
        <w:tc>
          <w:tcPr>
            <w:tcW w:w="49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□否</w:t>
            </w: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6"/>
                <w:szCs w:val="16"/>
                <w:u w:val="none"/>
              </w:rPr>
            </w:pPr>
          </w:p>
        </w:tc>
        <w:tc>
          <w:tcPr>
            <w:tcW w:w="89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□否</w:t>
            </w:r>
          </w:p>
        </w:tc>
        <w:tc>
          <w:tcPr>
            <w:tcW w:w="1848"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总 投 资</w:t>
            </w:r>
          </w:p>
        </w:tc>
        <w:tc>
          <w:tcPr>
            <w:tcW w:w="2686"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single"/>
              </w:rPr>
            </w:pPr>
            <w:r>
              <w:rPr>
                <w:rFonts w:hint="default" w:ascii="仿宋_GB2312" w:hAnsi="宋体" w:eastAsia="仿宋_GB2312" w:cs="仿宋_GB2312"/>
                <w:b/>
                <w:i w:val="0"/>
                <w:color w:val="000000"/>
                <w:kern w:val="0"/>
                <w:sz w:val="20"/>
                <w:szCs w:val="20"/>
                <w:u w:val="single"/>
                <w:lang w:val="en-US" w:eastAsia="zh-CN" w:bidi="ar"/>
              </w:rPr>
              <w:t xml:space="preserve">            </w:t>
            </w:r>
            <w:r>
              <w:rPr>
                <w:rStyle w:val="9"/>
                <w:rFonts w:hAnsi="宋体"/>
                <w:u w:val="single"/>
                <w:lang w:val="en-US" w:eastAsia="zh-CN" w:bidi="ar"/>
              </w:rPr>
              <w:t>万元</w:t>
            </w:r>
          </w:p>
        </w:tc>
        <w:tc>
          <w:tcPr>
            <w:tcW w:w="2264"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国家补贴</w:t>
            </w:r>
          </w:p>
        </w:tc>
        <w:tc>
          <w:tcPr>
            <w:tcW w:w="3702" w:type="dxa"/>
            <w:gridSpan w:val="6"/>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single"/>
              </w:rPr>
            </w:pPr>
            <w:r>
              <w:rPr>
                <w:rFonts w:hint="default" w:ascii="仿宋_GB2312" w:hAnsi="宋体" w:eastAsia="仿宋_GB2312" w:cs="仿宋_GB2312"/>
                <w:b/>
                <w:i w:val="0"/>
                <w:color w:val="000000"/>
                <w:kern w:val="0"/>
                <w:sz w:val="20"/>
                <w:szCs w:val="20"/>
                <w:u w:val="single"/>
                <w:lang w:val="en-US" w:eastAsia="zh-CN" w:bidi="ar"/>
              </w:rPr>
              <w:t xml:space="preserve">            </w:t>
            </w:r>
            <w:r>
              <w:rPr>
                <w:rStyle w:val="9"/>
                <w:rFonts w:hAnsi="宋体"/>
                <w:u w:val="single"/>
                <w:lang w:val="en-US" w:eastAsia="zh-CN" w:bidi="ar"/>
              </w:rPr>
              <w:t>万元</w:t>
            </w:r>
          </w:p>
        </w:tc>
      </w:tr>
      <w:tr>
        <w:tblPrEx>
          <w:tblCellMar>
            <w:top w:w="0" w:type="dxa"/>
            <w:left w:w="0" w:type="dxa"/>
            <w:bottom w:w="0" w:type="dxa"/>
            <w:right w:w="0" w:type="dxa"/>
          </w:tblCellMar>
        </w:tblPrEx>
        <w:trPr>
          <w:trHeight w:val="439" w:hRule="atLeast"/>
        </w:trPr>
        <w:tc>
          <w:tcPr>
            <w:tcW w:w="690" w:type="dxa"/>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6"/>
                <w:szCs w:val="16"/>
                <w:u w:val="none"/>
              </w:rPr>
            </w:pPr>
          </w:p>
        </w:tc>
        <w:tc>
          <w:tcPr>
            <w:tcW w:w="49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18"/>
                <w:szCs w:val="18"/>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6"/>
                <w:szCs w:val="16"/>
                <w:u w:val="none"/>
              </w:rPr>
            </w:pPr>
          </w:p>
        </w:tc>
        <w:tc>
          <w:tcPr>
            <w:tcW w:w="89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18"/>
                <w:szCs w:val="18"/>
                <w:u w:val="none"/>
              </w:rPr>
            </w:pPr>
          </w:p>
        </w:tc>
        <w:tc>
          <w:tcPr>
            <w:tcW w:w="1848"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开始时间</w:t>
            </w:r>
          </w:p>
        </w:tc>
        <w:tc>
          <w:tcPr>
            <w:tcW w:w="2686"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20</w:t>
            </w:r>
            <w:r>
              <w:rPr>
                <w:rStyle w:val="11"/>
                <w:rFonts w:hAnsi="宋体"/>
                <w:lang w:val="en-US" w:eastAsia="zh-CN" w:bidi="ar"/>
              </w:rPr>
              <w:t xml:space="preserve">    </w:t>
            </w:r>
            <w:r>
              <w:rPr>
                <w:rStyle w:val="9"/>
                <w:rFonts w:hAnsi="宋体"/>
                <w:lang w:val="en-US" w:eastAsia="zh-CN" w:bidi="ar"/>
              </w:rPr>
              <w:t>年</w:t>
            </w:r>
            <w:r>
              <w:rPr>
                <w:rStyle w:val="11"/>
                <w:rFonts w:hAnsi="宋体"/>
                <w:lang w:val="en-US" w:eastAsia="zh-CN" w:bidi="ar"/>
              </w:rPr>
              <w:t xml:space="preserve">    </w:t>
            </w:r>
            <w:r>
              <w:rPr>
                <w:rStyle w:val="9"/>
                <w:rFonts w:hAnsi="宋体"/>
                <w:lang w:val="en-US" w:eastAsia="zh-CN" w:bidi="ar"/>
              </w:rPr>
              <w:t>月</w:t>
            </w:r>
          </w:p>
        </w:tc>
        <w:tc>
          <w:tcPr>
            <w:tcW w:w="2264"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完成时间</w:t>
            </w:r>
          </w:p>
        </w:tc>
        <w:tc>
          <w:tcPr>
            <w:tcW w:w="3702" w:type="dxa"/>
            <w:gridSpan w:val="6"/>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20</w:t>
            </w:r>
            <w:r>
              <w:rPr>
                <w:rStyle w:val="11"/>
                <w:rFonts w:hAnsi="宋体"/>
                <w:lang w:val="en-US" w:eastAsia="zh-CN" w:bidi="ar"/>
              </w:rPr>
              <w:t xml:space="preserve">    </w:t>
            </w:r>
            <w:r>
              <w:rPr>
                <w:rStyle w:val="9"/>
                <w:rFonts w:hAnsi="宋体"/>
                <w:lang w:val="en-US" w:eastAsia="zh-CN" w:bidi="ar"/>
              </w:rPr>
              <w:t>年</w:t>
            </w:r>
            <w:r>
              <w:rPr>
                <w:rStyle w:val="11"/>
                <w:rFonts w:hAnsi="宋体"/>
                <w:lang w:val="en-US" w:eastAsia="zh-CN" w:bidi="ar"/>
              </w:rPr>
              <w:t xml:space="preserve">    </w:t>
            </w:r>
            <w:r>
              <w:rPr>
                <w:rStyle w:val="9"/>
                <w:rFonts w:hAnsi="宋体"/>
                <w:lang w:val="en-US" w:eastAsia="zh-CN" w:bidi="ar"/>
              </w:rPr>
              <w:t>月</w:t>
            </w:r>
          </w:p>
        </w:tc>
      </w:tr>
      <w:tr>
        <w:tblPrEx>
          <w:tblCellMar>
            <w:top w:w="0" w:type="dxa"/>
            <w:left w:w="0" w:type="dxa"/>
            <w:bottom w:w="0" w:type="dxa"/>
            <w:right w:w="0" w:type="dxa"/>
          </w:tblCellMar>
        </w:tblPrEx>
        <w:trPr>
          <w:trHeight w:val="439" w:hRule="atLeast"/>
        </w:trPr>
        <w:tc>
          <w:tcPr>
            <w:tcW w:w="690" w:type="dxa"/>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6"/>
                <w:szCs w:val="16"/>
                <w:u w:val="none"/>
              </w:rPr>
            </w:pPr>
          </w:p>
        </w:tc>
        <w:tc>
          <w:tcPr>
            <w:tcW w:w="49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18"/>
                <w:szCs w:val="18"/>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6"/>
                <w:szCs w:val="16"/>
                <w:u w:val="none"/>
              </w:rPr>
            </w:pPr>
          </w:p>
        </w:tc>
        <w:tc>
          <w:tcPr>
            <w:tcW w:w="89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18"/>
                <w:szCs w:val="18"/>
                <w:u w:val="none"/>
              </w:rPr>
            </w:pPr>
          </w:p>
        </w:tc>
        <w:tc>
          <w:tcPr>
            <w:tcW w:w="1848"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节 能 量</w:t>
            </w:r>
          </w:p>
        </w:tc>
        <w:tc>
          <w:tcPr>
            <w:tcW w:w="2686"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single"/>
              </w:rPr>
            </w:pPr>
            <w:r>
              <w:rPr>
                <w:rFonts w:hint="default" w:ascii="仿宋_GB2312" w:hAnsi="宋体" w:eastAsia="仿宋_GB2312" w:cs="仿宋_GB2312"/>
                <w:b/>
                <w:i w:val="0"/>
                <w:color w:val="000000"/>
                <w:kern w:val="0"/>
                <w:sz w:val="20"/>
                <w:szCs w:val="20"/>
                <w:u w:val="single"/>
                <w:lang w:val="en-US" w:eastAsia="zh-CN" w:bidi="ar"/>
              </w:rPr>
              <w:t xml:space="preserve">            </w:t>
            </w:r>
            <w:r>
              <w:rPr>
                <w:rStyle w:val="9"/>
                <w:rFonts w:hAnsi="宋体"/>
                <w:u w:val="single"/>
                <w:lang w:val="en-US" w:eastAsia="zh-CN" w:bidi="ar"/>
              </w:rPr>
              <w:t>万吨</w:t>
            </w:r>
          </w:p>
        </w:tc>
        <w:tc>
          <w:tcPr>
            <w:tcW w:w="2264"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减 排 量</w:t>
            </w:r>
          </w:p>
        </w:tc>
        <w:tc>
          <w:tcPr>
            <w:tcW w:w="3702" w:type="dxa"/>
            <w:gridSpan w:val="6"/>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single"/>
              </w:rPr>
            </w:pPr>
            <w:r>
              <w:rPr>
                <w:rFonts w:hint="default" w:ascii="仿宋_GB2312" w:hAnsi="宋体" w:eastAsia="仿宋_GB2312" w:cs="仿宋_GB2312"/>
                <w:b/>
                <w:i w:val="0"/>
                <w:color w:val="000000"/>
                <w:kern w:val="0"/>
                <w:sz w:val="20"/>
                <w:szCs w:val="20"/>
                <w:u w:val="single"/>
                <w:lang w:val="en-US" w:eastAsia="zh-CN" w:bidi="ar"/>
              </w:rPr>
              <w:t xml:space="preserve">            </w:t>
            </w:r>
            <w:r>
              <w:rPr>
                <w:rStyle w:val="9"/>
                <w:rFonts w:hAnsi="宋体"/>
                <w:u w:val="single"/>
                <w:lang w:val="en-US" w:eastAsia="zh-CN" w:bidi="ar"/>
              </w:rPr>
              <w:t>万吨</w:t>
            </w:r>
          </w:p>
        </w:tc>
      </w:tr>
      <w:tr>
        <w:tblPrEx>
          <w:tblCellMar>
            <w:top w:w="0" w:type="dxa"/>
            <w:left w:w="0" w:type="dxa"/>
            <w:bottom w:w="0" w:type="dxa"/>
            <w:right w:w="0" w:type="dxa"/>
          </w:tblCellMar>
        </w:tblPrEx>
        <w:trPr>
          <w:trHeight w:val="465"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集 中 空 调 系 统 情 况</w:t>
            </w:r>
          </w:p>
        </w:tc>
      </w:tr>
      <w:tr>
        <w:tblPrEx>
          <w:tblCellMar>
            <w:top w:w="0" w:type="dxa"/>
            <w:left w:w="0" w:type="dxa"/>
            <w:bottom w:w="0" w:type="dxa"/>
            <w:right w:w="0" w:type="dxa"/>
          </w:tblCellMar>
        </w:tblPrEx>
        <w:trPr>
          <w:trHeight w:val="462" w:hRule="atLeast"/>
        </w:trPr>
        <w:tc>
          <w:tcPr>
            <w:tcW w:w="4305" w:type="dxa"/>
            <w:gridSpan w:val="8"/>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设计是否采用集中空调系统</w:t>
            </w:r>
          </w:p>
        </w:tc>
        <w:tc>
          <w:tcPr>
            <w:tcW w:w="2235"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□是   □否</w:t>
            </w:r>
          </w:p>
        </w:tc>
        <w:tc>
          <w:tcPr>
            <w:tcW w:w="4230" w:type="dxa"/>
            <w:gridSpan w:val="9"/>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实际是否采用集中空调系统</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□是   □否</w:t>
            </w:r>
          </w:p>
        </w:tc>
      </w:tr>
      <w:tr>
        <w:tblPrEx>
          <w:tblCellMar>
            <w:top w:w="0" w:type="dxa"/>
            <w:left w:w="0" w:type="dxa"/>
            <w:bottom w:w="0" w:type="dxa"/>
            <w:right w:w="0" w:type="dxa"/>
          </w:tblCellMar>
        </w:tblPrEx>
        <w:trPr>
          <w:trHeight w:val="462" w:hRule="atLeast"/>
        </w:trPr>
        <w:tc>
          <w:tcPr>
            <w:tcW w:w="4305" w:type="dxa"/>
            <w:gridSpan w:val="8"/>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设计是否采用空调废热回收利用装置</w:t>
            </w:r>
          </w:p>
        </w:tc>
        <w:tc>
          <w:tcPr>
            <w:tcW w:w="2235"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□是   □否</w:t>
            </w:r>
          </w:p>
        </w:tc>
        <w:tc>
          <w:tcPr>
            <w:tcW w:w="4230" w:type="dxa"/>
            <w:gridSpan w:val="9"/>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实际是否采用空调废热回收利用装置</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□是   □否</w:t>
            </w:r>
          </w:p>
        </w:tc>
      </w:tr>
      <w:tr>
        <w:tblPrEx>
          <w:tblCellMar>
            <w:top w:w="0" w:type="dxa"/>
            <w:left w:w="0" w:type="dxa"/>
            <w:bottom w:w="0" w:type="dxa"/>
            <w:right w:w="0" w:type="dxa"/>
          </w:tblCellMar>
        </w:tblPrEx>
        <w:trPr>
          <w:trHeight w:val="822" w:hRule="atLeast"/>
        </w:trPr>
        <w:tc>
          <w:tcPr>
            <w:tcW w:w="11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br w:type="textWrapping"/>
            </w:r>
            <w:r>
              <w:rPr>
                <w:rFonts w:hint="eastAsia" w:ascii="黑体" w:hAnsi="宋体" w:eastAsia="黑体" w:cs="黑体"/>
                <w:b/>
                <w:i w:val="0"/>
                <w:color w:val="000000"/>
                <w:kern w:val="0"/>
                <w:sz w:val="22"/>
                <w:szCs w:val="22"/>
                <w:u w:val="none"/>
                <w:lang w:val="en-US" w:eastAsia="zh-CN" w:bidi="ar"/>
              </w:rPr>
              <w:t>设计单位</w:t>
            </w:r>
            <w:r>
              <w:rPr>
                <w:rFonts w:hint="eastAsia" w:ascii="黑体" w:hAnsi="宋体" w:eastAsia="黑体" w:cs="黑体"/>
                <w:b/>
                <w:i w:val="0"/>
                <w:color w:val="000000"/>
                <w:kern w:val="0"/>
                <w:sz w:val="22"/>
                <w:szCs w:val="22"/>
                <w:u w:val="none"/>
                <w:lang w:val="en-US" w:eastAsia="zh-CN" w:bidi="ar"/>
              </w:rPr>
              <w:br w:type="textWrapping"/>
            </w:r>
            <w:r>
              <w:rPr>
                <w:rFonts w:hint="eastAsia" w:ascii="黑体" w:hAnsi="宋体" w:eastAsia="黑体" w:cs="黑体"/>
                <w:b/>
                <w:i w:val="0"/>
                <w:color w:val="000000"/>
                <w:kern w:val="0"/>
                <w:sz w:val="22"/>
                <w:szCs w:val="22"/>
                <w:u w:val="none"/>
                <w:lang w:val="en-US" w:eastAsia="zh-CN" w:bidi="ar"/>
              </w:rPr>
              <w:t>意见</w:t>
            </w:r>
          </w:p>
        </w:tc>
        <w:tc>
          <w:tcPr>
            <w:tcW w:w="11895" w:type="dxa"/>
            <w:gridSpan w:val="19"/>
            <w:tcBorders>
              <w:top w:val="single" w:color="000000" w:sz="8" w:space="0"/>
              <w:left w:val="single" w:color="000000" w:sz="8" w:space="0"/>
              <w:bottom w:val="nil"/>
              <w:right w:val="single" w:color="000000" w:sz="8" w:space="0"/>
            </w:tcBorders>
            <w:shd w:val="clear" w:color="auto" w:fill="auto"/>
            <w:noWrap/>
            <w:tcMar>
              <w:top w:w="10" w:type="dxa"/>
              <w:left w:w="10" w:type="dxa"/>
              <w:right w:w="10" w:type="dxa"/>
            </w:tcMar>
            <w:vAlign w:val="bottom"/>
          </w:tcPr>
          <w:p>
            <w:pPr>
              <w:jc w:val="center"/>
              <w:rPr>
                <w:rFonts w:hint="default"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nil"/>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（盖     章）</w:t>
            </w: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负责人：              年   月   日</w:t>
            </w:r>
          </w:p>
        </w:tc>
      </w:tr>
      <w:tr>
        <w:tblPrEx>
          <w:tblCellMar>
            <w:top w:w="0" w:type="dxa"/>
            <w:left w:w="0" w:type="dxa"/>
            <w:bottom w:w="0" w:type="dxa"/>
            <w:right w:w="0" w:type="dxa"/>
          </w:tblCellMar>
        </w:tblPrEx>
        <w:trPr>
          <w:trHeight w:val="842" w:hRule="atLeast"/>
        </w:trPr>
        <w:tc>
          <w:tcPr>
            <w:tcW w:w="1185" w:type="dxa"/>
            <w:gridSpan w:val="3"/>
            <w:vMerge w:val="restart"/>
            <w:tcBorders>
              <w:top w:val="single" w:color="000000" w:sz="8" w:space="0"/>
              <w:left w:val="single" w:color="000000" w:sz="12"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lang w:val="en-US" w:eastAsia="zh-CN"/>
              </w:rPr>
            </w:pPr>
            <w:r>
              <w:rPr>
                <w:rFonts w:hint="eastAsia" w:ascii="黑体" w:hAnsi="宋体" w:eastAsia="黑体" w:cs="黑体"/>
                <w:b/>
                <w:i w:val="0"/>
                <w:color w:val="000000"/>
                <w:sz w:val="22"/>
                <w:szCs w:val="22"/>
                <w:u w:val="none"/>
                <w:lang w:val="en-US" w:eastAsia="zh-CN"/>
              </w:rPr>
              <w:t>勘察单位</w:t>
            </w:r>
          </w:p>
          <w:p>
            <w:pPr>
              <w:jc w:val="center"/>
              <w:rPr>
                <w:rFonts w:hint="default" w:ascii="黑体" w:hAnsi="宋体" w:eastAsia="黑体" w:cs="黑体"/>
                <w:b/>
                <w:i w:val="0"/>
                <w:color w:val="000000"/>
                <w:sz w:val="22"/>
                <w:szCs w:val="22"/>
                <w:u w:val="none"/>
                <w:lang w:val="en-US" w:eastAsia="zh-CN"/>
              </w:rPr>
            </w:pPr>
            <w:r>
              <w:rPr>
                <w:rFonts w:hint="eastAsia" w:ascii="黑体" w:hAnsi="宋体" w:eastAsia="黑体" w:cs="黑体"/>
                <w:b/>
                <w:i w:val="0"/>
                <w:color w:val="000000"/>
                <w:sz w:val="22"/>
                <w:szCs w:val="22"/>
                <w:u w:val="none"/>
                <w:lang w:val="en-US" w:eastAsia="zh-CN"/>
              </w:rPr>
              <w:t>意见</w:t>
            </w:r>
          </w:p>
        </w:tc>
        <w:tc>
          <w:tcPr>
            <w:tcW w:w="11895" w:type="dxa"/>
            <w:gridSpan w:val="19"/>
            <w:tcBorders>
              <w:top w:val="single" w:color="000000" w:sz="8" w:space="0"/>
              <w:left w:val="single" w:color="000000" w:sz="8" w:space="0"/>
              <w:bottom w:val="nil"/>
              <w:right w:val="single" w:color="000000" w:sz="8" w:space="0"/>
            </w:tcBorders>
            <w:shd w:val="clear" w:color="auto" w:fill="auto"/>
            <w:noWrap/>
            <w:tcMar>
              <w:top w:w="10" w:type="dxa"/>
              <w:left w:w="10" w:type="dxa"/>
              <w:right w:w="10" w:type="dxa"/>
            </w:tcMar>
            <w:vAlign w:val="bottom"/>
          </w:tcPr>
          <w:p>
            <w:pPr>
              <w:jc w:val="center"/>
              <w:rPr>
                <w:rFonts w:hint="default" w:ascii="仿宋_GB2312" w:hAnsi="宋体" w:eastAsia="仿宋_GB2312" w:cs="仿宋_GB2312"/>
                <w:i w:val="0"/>
                <w:color w:val="000000"/>
                <w:kern w:val="0"/>
                <w:sz w:val="24"/>
                <w:szCs w:val="24"/>
                <w:u w:val="none"/>
                <w:lang w:val="en-US" w:eastAsia="zh-CN" w:bidi="ar"/>
              </w:rPr>
            </w:pPr>
          </w:p>
        </w:tc>
      </w:tr>
      <w:tr>
        <w:tblPrEx>
          <w:tblCellMar>
            <w:top w:w="0" w:type="dxa"/>
            <w:left w:w="0" w:type="dxa"/>
            <w:bottom w:w="0" w:type="dxa"/>
            <w:right w:w="0" w:type="dxa"/>
          </w:tblCellMar>
        </w:tblPrEx>
        <w:trPr>
          <w:trHeight w:val="842" w:hRule="atLeast"/>
        </w:trPr>
        <w:tc>
          <w:tcPr>
            <w:tcW w:w="1185" w:type="dxa"/>
            <w:gridSpan w:val="3"/>
            <w:vMerge w:val="continue"/>
            <w:tcBorders>
              <w:left w:val="single" w:color="000000" w:sz="12"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right"/>
              <w:textAlignment w:val="bottom"/>
            </w:pPr>
          </w:p>
        </w:tc>
        <w:tc>
          <w:tcPr>
            <w:tcW w:w="11895" w:type="dxa"/>
            <w:gridSpan w:val="19"/>
            <w:tcBorders>
              <w:top w:val="nil"/>
              <w:left w:val="single" w:color="000000" w:sz="8" w:space="0"/>
              <w:bottom w:val="nil"/>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kern w:val="2"/>
                <w:sz w:val="24"/>
                <w:szCs w:val="24"/>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（盖     章）</w:t>
            </w:r>
          </w:p>
        </w:tc>
      </w:tr>
      <w:tr>
        <w:tblPrEx>
          <w:tblCellMar>
            <w:top w:w="0" w:type="dxa"/>
            <w:left w:w="0" w:type="dxa"/>
            <w:bottom w:w="0" w:type="dxa"/>
            <w:right w:w="0" w:type="dxa"/>
          </w:tblCellMar>
        </w:tblPrEx>
        <w:trPr>
          <w:trHeight w:val="842" w:hRule="atLeast"/>
        </w:trPr>
        <w:tc>
          <w:tcPr>
            <w:tcW w:w="1185" w:type="dxa"/>
            <w:gridSpan w:val="3"/>
            <w:vMerge w:val="continue"/>
            <w:tcBorders>
              <w:left w:val="single" w:color="000000" w:sz="12"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right"/>
              <w:textAlignment w:val="bottom"/>
              <w:rPr>
                <w:rFonts w:hint="default" w:ascii="仿宋_GB2312" w:hAnsi="宋体" w:eastAsia="仿宋_GB2312" w:cs="仿宋_GB2312"/>
                <w:i w:val="0"/>
                <w:color w:val="000000"/>
                <w:kern w:val="0"/>
                <w:sz w:val="24"/>
                <w:szCs w:val="24"/>
                <w:u w:val="none"/>
                <w:lang w:val="en-US" w:eastAsia="zh-CN" w:bidi="ar"/>
              </w:rPr>
            </w:pPr>
          </w:p>
        </w:tc>
        <w:tc>
          <w:tcPr>
            <w:tcW w:w="11895" w:type="dxa"/>
            <w:gridSpan w:val="19"/>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kern w:val="2"/>
                <w:sz w:val="24"/>
                <w:szCs w:val="24"/>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负责人：              年   月   日</w:t>
            </w:r>
          </w:p>
        </w:tc>
      </w:tr>
      <w:tr>
        <w:tblPrEx>
          <w:tblCellMar>
            <w:top w:w="0" w:type="dxa"/>
            <w:left w:w="0" w:type="dxa"/>
            <w:bottom w:w="0" w:type="dxa"/>
            <w:right w:w="0" w:type="dxa"/>
          </w:tblCellMar>
        </w:tblPrEx>
        <w:trPr>
          <w:trHeight w:val="822" w:hRule="atLeast"/>
        </w:trPr>
        <w:tc>
          <w:tcPr>
            <w:tcW w:w="11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br w:type="textWrapping"/>
            </w:r>
            <w:r>
              <w:rPr>
                <w:rFonts w:hint="eastAsia" w:ascii="黑体" w:hAnsi="宋体" w:eastAsia="黑体" w:cs="黑体"/>
                <w:b/>
                <w:i w:val="0"/>
                <w:color w:val="000000"/>
                <w:kern w:val="0"/>
                <w:sz w:val="22"/>
                <w:szCs w:val="22"/>
                <w:u w:val="none"/>
                <w:lang w:val="en-US" w:eastAsia="zh-CN" w:bidi="ar"/>
              </w:rPr>
              <w:t xml:space="preserve"> 施工单位 意见</w:t>
            </w:r>
          </w:p>
        </w:tc>
        <w:tc>
          <w:tcPr>
            <w:tcW w:w="11895" w:type="dxa"/>
            <w:gridSpan w:val="19"/>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jc w:val="both"/>
              <w:rPr>
                <w:rFonts w:hint="eastAsia" w:ascii="黑体" w:hAnsi="宋体" w:eastAsia="黑体" w:cs="黑体"/>
                <w:b/>
                <w:i w:val="0"/>
                <w:color w:val="000000"/>
                <w:sz w:val="22"/>
                <w:szCs w:val="22"/>
                <w:u w:val="none"/>
              </w:rPr>
            </w:pP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nil"/>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（盖     章）</w:t>
            </w: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负责人：              年   月   日</w:t>
            </w:r>
          </w:p>
        </w:tc>
      </w:tr>
      <w:tr>
        <w:tblPrEx>
          <w:tblCellMar>
            <w:top w:w="0" w:type="dxa"/>
            <w:left w:w="0" w:type="dxa"/>
            <w:bottom w:w="0" w:type="dxa"/>
            <w:right w:w="0" w:type="dxa"/>
          </w:tblCellMar>
        </w:tblPrEx>
        <w:trPr>
          <w:trHeight w:val="822" w:hRule="atLeast"/>
        </w:trPr>
        <w:tc>
          <w:tcPr>
            <w:tcW w:w="11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br w:type="textWrapping"/>
            </w:r>
            <w:r>
              <w:rPr>
                <w:rFonts w:hint="eastAsia" w:ascii="黑体" w:hAnsi="宋体" w:eastAsia="黑体" w:cs="黑体"/>
                <w:b/>
                <w:i w:val="0"/>
                <w:color w:val="000000"/>
                <w:kern w:val="0"/>
                <w:sz w:val="22"/>
                <w:szCs w:val="22"/>
                <w:u w:val="none"/>
                <w:lang w:val="en-US" w:eastAsia="zh-CN" w:bidi="ar"/>
              </w:rPr>
              <w:t xml:space="preserve"> 监理单位  意见</w:t>
            </w:r>
          </w:p>
        </w:tc>
        <w:tc>
          <w:tcPr>
            <w:tcW w:w="11895" w:type="dxa"/>
            <w:gridSpan w:val="19"/>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nil"/>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（盖     章）</w:t>
            </w: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负责人：              年   月   日</w:t>
            </w:r>
          </w:p>
        </w:tc>
      </w:tr>
      <w:tr>
        <w:tblPrEx>
          <w:tblCellMar>
            <w:top w:w="0" w:type="dxa"/>
            <w:left w:w="0" w:type="dxa"/>
            <w:bottom w:w="0" w:type="dxa"/>
            <w:right w:w="0" w:type="dxa"/>
          </w:tblCellMar>
        </w:tblPrEx>
        <w:trPr>
          <w:trHeight w:val="822" w:hRule="atLeast"/>
        </w:trPr>
        <w:tc>
          <w:tcPr>
            <w:tcW w:w="11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黑体" w:hAnsi="宋体" w:eastAsia="黑体" w:cs="黑体"/>
                <w:b/>
                <w:i w:val="0"/>
                <w:color w:val="000000"/>
                <w:sz w:val="22"/>
                <w:szCs w:val="22"/>
                <w:u w:val="none"/>
                <w:lang w:val="en-US"/>
              </w:rPr>
            </w:pPr>
            <w:r>
              <w:rPr>
                <w:rFonts w:hint="eastAsia" w:ascii="黑体" w:hAnsi="宋体" w:eastAsia="黑体" w:cs="黑体"/>
                <w:b/>
                <w:i w:val="0"/>
                <w:color w:val="000000"/>
                <w:kern w:val="0"/>
                <w:sz w:val="22"/>
                <w:szCs w:val="22"/>
                <w:u w:val="none"/>
                <w:lang w:val="en-US" w:eastAsia="zh-CN" w:bidi="ar"/>
              </w:rPr>
              <w:br w:type="textWrapping"/>
            </w:r>
            <w:r>
              <w:rPr>
                <w:rFonts w:hint="eastAsia" w:ascii="黑体" w:hAnsi="宋体" w:eastAsia="黑体" w:cs="黑体"/>
                <w:b/>
                <w:i w:val="0"/>
                <w:color w:val="000000"/>
                <w:kern w:val="0"/>
                <w:sz w:val="22"/>
                <w:szCs w:val="22"/>
                <w:u w:val="none"/>
                <w:lang w:val="en-US" w:eastAsia="zh-CN" w:bidi="ar"/>
              </w:rPr>
              <w:t>建设单位</w:t>
            </w:r>
            <w:r>
              <w:rPr>
                <w:rFonts w:hint="eastAsia" w:ascii="黑体" w:hAnsi="宋体" w:eastAsia="黑体" w:cs="黑体"/>
                <w:b/>
                <w:i w:val="0"/>
                <w:color w:val="000000"/>
                <w:kern w:val="0"/>
                <w:sz w:val="22"/>
                <w:szCs w:val="22"/>
                <w:u w:val="none"/>
                <w:lang w:val="en-US" w:eastAsia="zh-CN" w:bidi="ar"/>
              </w:rPr>
              <w:br w:type="textWrapping"/>
            </w:r>
            <w:r>
              <w:rPr>
                <w:rFonts w:hint="eastAsia" w:ascii="黑体" w:hAnsi="宋体" w:eastAsia="黑体" w:cs="黑体"/>
                <w:b/>
                <w:i w:val="0"/>
                <w:color w:val="000000"/>
                <w:kern w:val="0"/>
                <w:sz w:val="22"/>
                <w:szCs w:val="22"/>
                <w:u w:val="none"/>
                <w:lang w:val="en-US" w:eastAsia="zh-CN" w:bidi="ar"/>
              </w:rPr>
              <w:t>自审结论</w:t>
            </w:r>
          </w:p>
        </w:tc>
        <w:tc>
          <w:tcPr>
            <w:tcW w:w="11895" w:type="dxa"/>
            <w:gridSpan w:val="19"/>
            <w:tcBorders>
              <w:top w:val="single" w:color="000000" w:sz="8" w:space="0"/>
              <w:left w:val="single" w:color="000000" w:sz="8" w:space="0"/>
              <w:bottom w:val="nil"/>
              <w:right w:val="single" w:color="000000" w:sz="8" w:space="0"/>
            </w:tcBorders>
            <w:shd w:val="clear" w:color="auto" w:fill="auto"/>
            <w:noWrap/>
            <w:tcMar>
              <w:top w:w="10" w:type="dxa"/>
              <w:left w:w="10" w:type="dxa"/>
              <w:right w:w="10" w:type="dxa"/>
            </w:tcMar>
            <w:vAlign w:val="bottom"/>
          </w:tcPr>
          <w:p>
            <w:pPr>
              <w:jc w:val="center"/>
              <w:rPr>
                <w:rFonts w:hint="default"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nil"/>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（盖     章）</w:t>
            </w: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负责人：              年   月   日</w:t>
            </w:r>
          </w:p>
        </w:tc>
      </w:tr>
    </w:tbl>
    <w:p>
      <w:pPr>
        <w:rPr>
          <w:rFonts w:hint="default"/>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附件1-2</w:t>
      </w:r>
    </w:p>
    <w:p>
      <w:pPr>
        <w:jc w:val="center"/>
        <w:rPr>
          <w:rFonts w:hint="default" w:eastAsiaTheme="minorEastAsia"/>
          <w:b/>
          <w:bCs/>
          <w:sz w:val="40"/>
          <w:szCs w:val="48"/>
          <w:lang w:val="en-US" w:eastAsia="zh-CN"/>
        </w:rPr>
      </w:pPr>
      <w:r>
        <w:rPr>
          <w:rFonts w:hint="eastAsia" w:eastAsiaTheme="minorEastAsia"/>
          <w:b/>
          <w:bCs/>
          <w:sz w:val="40"/>
          <w:szCs w:val="48"/>
          <w:lang w:val="en-US" w:eastAsia="zh-CN"/>
        </w:rPr>
        <w:t>惠州市_____县（区）</w:t>
      </w:r>
      <w:r>
        <w:rPr>
          <w:rFonts w:hint="eastAsia"/>
          <w:b/>
          <w:bCs/>
          <w:sz w:val="40"/>
          <w:szCs w:val="48"/>
          <w:lang w:val="en-US" w:eastAsia="zh-CN"/>
        </w:rPr>
        <w:t>绿色建筑</w:t>
      </w:r>
      <w:r>
        <w:rPr>
          <w:rFonts w:hint="eastAsia" w:eastAsiaTheme="minorEastAsia"/>
          <w:b/>
          <w:bCs/>
          <w:sz w:val="40"/>
          <w:szCs w:val="48"/>
          <w:lang w:val="en-US" w:eastAsia="zh-CN"/>
        </w:rPr>
        <w:t>专项验收</w:t>
      </w:r>
      <w:r>
        <w:rPr>
          <w:rFonts w:hint="eastAsia"/>
          <w:b/>
          <w:bCs/>
          <w:sz w:val="40"/>
          <w:szCs w:val="48"/>
          <w:lang w:val="en-US" w:eastAsia="zh-CN"/>
        </w:rPr>
        <w:t>申请表</w:t>
      </w:r>
    </w:p>
    <w:tbl>
      <w:tblPr>
        <w:tblStyle w:val="3"/>
        <w:tblW w:w="13080" w:type="dxa"/>
        <w:tblInd w:w="0" w:type="dxa"/>
        <w:shd w:val="clear" w:color="auto" w:fill="auto"/>
        <w:tblLayout w:type="fixed"/>
        <w:tblCellMar>
          <w:top w:w="0" w:type="dxa"/>
          <w:left w:w="0" w:type="dxa"/>
          <w:bottom w:w="0" w:type="dxa"/>
          <w:right w:w="0" w:type="dxa"/>
        </w:tblCellMar>
      </w:tblPr>
      <w:tblGrid>
        <w:gridCol w:w="1152"/>
        <w:gridCol w:w="3208"/>
        <w:gridCol w:w="4360"/>
        <w:gridCol w:w="70"/>
        <w:gridCol w:w="810"/>
        <w:gridCol w:w="1170"/>
        <w:gridCol w:w="885"/>
        <w:gridCol w:w="1425"/>
      </w:tblGrid>
      <w:tr>
        <w:tblPrEx>
          <w:shd w:val="clear" w:color="auto" w:fill="auto"/>
          <w:tblCellMar>
            <w:top w:w="0" w:type="dxa"/>
            <w:left w:w="0" w:type="dxa"/>
            <w:bottom w:w="0" w:type="dxa"/>
            <w:right w:w="0" w:type="dxa"/>
          </w:tblCellMar>
        </w:tblPrEx>
        <w:trPr>
          <w:trHeight w:val="702" w:hRule="atLeast"/>
        </w:trPr>
        <w:tc>
          <w:tcPr>
            <w:tcW w:w="13080" w:type="dxa"/>
            <w:gridSpan w:val="8"/>
            <w:tcBorders>
              <w:top w:val="single" w:color="000000" w:sz="12"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项 目 总 体 情 况</w:t>
            </w:r>
          </w:p>
        </w:tc>
      </w:tr>
      <w:tr>
        <w:tblPrEx>
          <w:tblCellMar>
            <w:top w:w="0" w:type="dxa"/>
            <w:left w:w="0" w:type="dxa"/>
            <w:bottom w:w="0" w:type="dxa"/>
            <w:right w:w="0" w:type="dxa"/>
          </w:tblCellMar>
        </w:tblPrEx>
        <w:trPr>
          <w:trHeight w:val="462" w:hRule="atLeast"/>
        </w:trPr>
        <w:tc>
          <w:tcPr>
            <w:tcW w:w="1152" w:type="dxa"/>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项目名称</w:t>
            </w:r>
          </w:p>
        </w:tc>
        <w:tc>
          <w:tcPr>
            <w:tcW w:w="7638"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198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工程项目开工时间</w:t>
            </w:r>
          </w:p>
        </w:tc>
        <w:tc>
          <w:tcPr>
            <w:tcW w:w="2310"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20___年___月___日</w:t>
            </w:r>
          </w:p>
        </w:tc>
      </w:tr>
      <w:tr>
        <w:tblPrEx>
          <w:tblCellMar>
            <w:top w:w="0" w:type="dxa"/>
            <w:left w:w="0" w:type="dxa"/>
            <w:bottom w:w="0" w:type="dxa"/>
            <w:right w:w="0" w:type="dxa"/>
          </w:tblCellMar>
        </w:tblPrEx>
        <w:trPr>
          <w:trHeight w:val="462" w:hRule="atLeast"/>
        </w:trPr>
        <w:tc>
          <w:tcPr>
            <w:tcW w:w="1152" w:type="dxa"/>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项目地址</w:t>
            </w:r>
          </w:p>
        </w:tc>
        <w:tc>
          <w:tcPr>
            <w:tcW w:w="7638"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4"/>
                <w:szCs w:val="14"/>
                <w:u w:val="none"/>
              </w:rPr>
            </w:pPr>
            <w:r>
              <w:rPr>
                <w:rFonts w:hint="default" w:ascii="仿宋_GB2312" w:hAnsi="宋体" w:eastAsia="仿宋_GB2312" w:cs="仿宋_GB2312"/>
                <w:b/>
                <w:i w:val="0"/>
                <w:color w:val="000000"/>
                <w:kern w:val="0"/>
                <w:sz w:val="18"/>
                <w:szCs w:val="18"/>
                <w:u w:val="none"/>
                <w:lang w:val="en-US" w:eastAsia="zh-CN" w:bidi="ar"/>
              </w:rPr>
              <w:t>惠州市</w:t>
            </w:r>
            <w:r>
              <w:rPr>
                <w:rStyle w:val="5"/>
                <w:rFonts w:hAnsi="宋体"/>
                <w:sz w:val="18"/>
                <w:szCs w:val="18"/>
                <w:lang w:val="en-US" w:eastAsia="zh-CN" w:bidi="ar"/>
              </w:rPr>
              <w:t xml:space="preserve">     </w:t>
            </w:r>
            <w:r>
              <w:rPr>
                <w:rStyle w:val="6"/>
                <w:rFonts w:hAnsi="宋体"/>
                <w:sz w:val="18"/>
                <w:szCs w:val="18"/>
                <w:lang w:val="en-US" w:eastAsia="zh-CN" w:bidi="ar"/>
              </w:rPr>
              <w:t>县（区）</w:t>
            </w:r>
            <w:r>
              <w:rPr>
                <w:rStyle w:val="5"/>
                <w:rFonts w:hAnsi="宋体"/>
                <w:sz w:val="18"/>
                <w:szCs w:val="18"/>
                <w:lang w:val="en-US" w:eastAsia="zh-CN" w:bidi="ar"/>
              </w:rPr>
              <w:t xml:space="preserve">      </w:t>
            </w:r>
            <w:r>
              <w:rPr>
                <w:rStyle w:val="6"/>
                <w:rFonts w:hAnsi="宋体"/>
                <w:sz w:val="18"/>
                <w:szCs w:val="18"/>
                <w:lang w:val="en-US" w:eastAsia="zh-CN" w:bidi="ar"/>
              </w:rPr>
              <w:t>街道（镇）</w:t>
            </w:r>
            <w:r>
              <w:rPr>
                <w:rStyle w:val="5"/>
                <w:rFonts w:hAnsi="宋体"/>
                <w:sz w:val="18"/>
                <w:szCs w:val="18"/>
                <w:lang w:val="en-US" w:eastAsia="zh-CN" w:bidi="ar"/>
              </w:rPr>
              <w:t xml:space="preserve">      </w:t>
            </w:r>
            <w:r>
              <w:rPr>
                <w:rStyle w:val="6"/>
                <w:rFonts w:hAnsi="宋体"/>
                <w:sz w:val="18"/>
                <w:szCs w:val="18"/>
                <w:lang w:val="en-US" w:eastAsia="zh-CN" w:bidi="ar"/>
              </w:rPr>
              <w:t>居（村）</w:t>
            </w:r>
            <w:r>
              <w:rPr>
                <w:rStyle w:val="5"/>
                <w:rFonts w:hAnsi="宋体"/>
                <w:sz w:val="18"/>
                <w:szCs w:val="18"/>
                <w:lang w:val="en-US" w:eastAsia="zh-CN" w:bidi="ar"/>
              </w:rPr>
              <w:t xml:space="preserve">                                   .</w:t>
            </w:r>
          </w:p>
        </w:tc>
        <w:tc>
          <w:tcPr>
            <w:tcW w:w="198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工程项目主体      验收时间</w:t>
            </w:r>
          </w:p>
        </w:tc>
        <w:tc>
          <w:tcPr>
            <w:tcW w:w="2310"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20___年___月___日</w:t>
            </w:r>
          </w:p>
        </w:tc>
      </w:tr>
      <w:tr>
        <w:tblPrEx>
          <w:tblCellMar>
            <w:top w:w="0" w:type="dxa"/>
            <w:left w:w="0" w:type="dxa"/>
            <w:bottom w:w="0" w:type="dxa"/>
            <w:right w:w="0" w:type="dxa"/>
          </w:tblCellMar>
        </w:tblPrEx>
        <w:trPr>
          <w:trHeight w:val="462" w:hRule="atLeast"/>
        </w:trPr>
        <w:tc>
          <w:tcPr>
            <w:tcW w:w="1152" w:type="dxa"/>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7638"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14"/>
                <w:szCs w:val="14"/>
                <w:u w:val="none"/>
              </w:rPr>
            </w:pPr>
          </w:p>
        </w:tc>
        <w:tc>
          <w:tcPr>
            <w:tcW w:w="198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0"/>
                <w:szCs w:val="20"/>
                <w:u w:val="none"/>
                <w:lang w:val="en-US" w:eastAsia="zh-CN" w:bidi="ar"/>
              </w:rPr>
            </w:pPr>
            <w:r>
              <w:rPr>
                <w:rFonts w:hint="default" w:ascii="仿宋_GB2312" w:hAnsi="宋体" w:eastAsia="仿宋_GB2312" w:cs="仿宋_GB2312"/>
                <w:b/>
                <w:i w:val="0"/>
                <w:color w:val="000000"/>
                <w:kern w:val="0"/>
                <w:sz w:val="20"/>
                <w:szCs w:val="20"/>
                <w:u w:val="none"/>
                <w:lang w:val="en-US" w:eastAsia="zh-CN" w:bidi="ar"/>
              </w:rPr>
              <w:t>工程项目节</w:t>
            </w:r>
            <w:r>
              <w:rPr>
                <w:rFonts w:hint="eastAsia" w:ascii="仿宋_GB2312" w:hAnsi="宋体" w:eastAsia="仿宋_GB2312" w:cs="仿宋_GB2312"/>
                <w:b/>
                <w:i w:val="0"/>
                <w:color w:val="000000"/>
                <w:kern w:val="0"/>
                <w:sz w:val="20"/>
                <w:szCs w:val="20"/>
                <w:u w:val="none"/>
                <w:lang w:val="en-US" w:eastAsia="zh-CN" w:bidi="ar"/>
              </w:rPr>
              <w:t>绿色建筑</w:t>
            </w:r>
            <w:r>
              <w:rPr>
                <w:rFonts w:hint="default" w:ascii="仿宋_GB2312" w:hAnsi="宋体" w:eastAsia="仿宋_GB2312" w:cs="仿宋_GB2312"/>
                <w:b/>
                <w:i w:val="0"/>
                <w:color w:val="000000"/>
                <w:kern w:val="0"/>
                <w:sz w:val="20"/>
                <w:szCs w:val="20"/>
                <w:u w:val="none"/>
                <w:lang w:val="en-US" w:eastAsia="zh-CN" w:bidi="ar"/>
              </w:rPr>
              <w:t xml:space="preserve">   </w:t>
            </w:r>
          </w:p>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 xml:space="preserve"> 验收时间</w:t>
            </w:r>
          </w:p>
        </w:tc>
        <w:tc>
          <w:tcPr>
            <w:tcW w:w="2310"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20___年___月___日</w:t>
            </w:r>
          </w:p>
        </w:tc>
      </w:tr>
      <w:tr>
        <w:tblPrEx>
          <w:tblCellMar>
            <w:top w:w="0" w:type="dxa"/>
            <w:left w:w="0" w:type="dxa"/>
            <w:bottom w:w="0" w:type="dxa"/>
            <w:right w:w="0" w:type="dxa"/>
          </w:tblCellMar>
        </w:tblPrEx>
        <w:trPr>
          <w:trHeight w:val="462" w:hRule="atLeast"/>
        </w:trPr>
        <w:tc>
          <w:tcPr>
            <w:tcW w:w="1152" w:type="dxa"/>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建设单位</w:t>
            </w:r>
          </w:p>
        </w:tc>
        <w:tc>
          <w:tcPr>
            <w:tcW w:w="7638"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r>
      <w:tr>
        <w:tblPrEx>
          <w:tblCellMar>
            <w:top w:w="0" w:type="dxa"/>
            <w:left w:w="0" w:type="dxa"/>
            <w:bottom w:w="0" w:type="dxa"/>
            <w:right w:w="0" w:type="dxa"/>
          </w:tblCellMar>
        </w:tblPrEx>
        <w:trPr>
          <w:trHeight w:val="462" w:hRule="atLeast"/>
        </w:trPr>
        <w:tc>
          <w:tcPr>
            <w:tcW w:w="1152" w:type="dxa"/>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设计单位</w:t>
            </w:r>
          </w:p>
        </w:tc>
        <w:tc>
          <w:tcPr>
            <w:tcW w:w="7638"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r>
      <w:tr>
        <w:tblPrEx>
          <w:tblCellMar>
            <w:top w:w="0" w:type="dxa"/>
            <w:left w:w="0" w:type="dxa"/>
            <w:bottom w:w="0" w:type="dxa"/>
            <w:right w:w="0" w:type="dxa"/>
          </w:tblCellMar>
        </w:tblPrEx>
        <w:trPr>
          <w:trHeight w:val="462" w:hRule="atLeast"/>
        </w:trPr>
        <w:tc>
          <w:tcPr>
            <w:tcW w:w="1152" w:type="dxa"/>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施工图审查机构</w:t>
            </w:r>
          </w:p>
        </w:tc>
        <w:tc>
          <w:tcPr>
            <w:tcW w:w="7638"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r>
      <w:tr>
        <w:tblPrEx>
          <w:tblCellMar>
            <w:top w:w="0" w:type="dxa"/>
            <w:left w:w="0" w:type="dxa"/>
            <w:bottom w:w="0" w:type="dxa"/>
            <w:right w:w="0" w:type="dxa"/>
          </w:tblCellMar>
        </w:tblPrEx>
        <w:trPr>
          <w:trHeight w:val="462" w:hRule="atLeast"/>
        </w:trPr>
        <w:tc>
          <w:tcPr>
            <w:tcW w:w="1152" w:type="dxa"/>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施工单位</w:t>
            </w:r>
          </w:p>
        </w:tc>
        <w:tc>
          <w:tcPr>
            <w:tcW w:w="7638"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r>
      <w:tr>
        <w:tblPrEx>
          <w:tblCellMar>
            <w:top w:w="0" w:type="dxa"/>
            <w:left w:w="0" w:type="dxa"/>
            <w:bottom w:w="0" w:type="dxa"/>
            <w:right w:w="0" w:type="dxa"/>
          </w:tblCellMar>
        </w:tblPrEx>
        <w:trPr>
          <w:trHeight w:val="462" w:hRule="atLeast"/>
        </w:trPr>
        <w:tc>
          <w:tcPr>
            <w:tcW w:w="1152" w:type="dxa"/>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监理单位</w:t>
            </w:r>
          </w:p>
        </w:tc>
        <w:tc>
          <w:tcPr>
            <w:tcW w:w="7638"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r>
      <w:tr>
        <w:tblPrEx>
          <w:tblCellMar>
            <w:top w:w="0" w:type="dxa"/>
            <w:left w:w="0" w:type="dxa"/>
            <w:bottom w:w="0" w:type="dxa"/>
            <w:right w:w="0" w:type="dxa"/>
          </w:tblCellMar>
        </w:tblPrEx>
        <w:trPr>
          <w:trHeight w:val="462" w:hRule="atLeast"/>
        </w:trPr>
        <w:tc>
          <w:tcPr>
            <w:tcW w:w="1152" w:type="dxa"/>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勘察单位</w:t>
            </w:r>
          </w:p>
        </w:tc>
        <w:tc>
          <w:tcPr>
            <w:tcW w:w="7638"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20"/>
                <w:szCs w:val="20"/>
                <w:u w:val="none"/>
                <w:lang w:val="en-US" w:eastAsia="zh-CN" w:bidi="ar-SA"/>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kern w:val="2"/>
                <w:sz w:val="20"/>
                <w:szCs w:val="20"/>
                <w:u w:val="none"/>
                <w:lang w:val="en-US" w:eastAsia="zh-CN" w:bidi="ar-SA"/>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20"/>
                <w:szCs w:val="20"/>
                <w:u w:val="none"/>
                <w:lang w:val="en-US" w:eastAsia="zh-CN" w:bidi="ar-SA"/>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462" w:hRule="atLeast"/>
        </w:trPr>
        <w:tc>
          <w:tcPr>
            <w:tcW w:w="1152" w:type="dxa"/>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咨询单位</w:t>
            </w:r>
          </w:p>
        </w:tc>
        <w:tc>
          <w:tcPr>
            <w:tcW w:w="7638"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20"/>
                <w:szCs w:val="20"/>
                <w:u w:val="none"/>
                <w:lang w:val="en-US" w:eastAsia="zh-CN" w:bidi="ar-SA"/>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kern w:val="2"/>
                <w:sz w:val="20"/>
                <w:szCs w:val="20"/>
                <w:u w:val="none"/>
                <w:lang w:val="en-US" w:eastAsia="zh-CN" w:bidi="ar-SA"/>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20"/>
                <w:szCs w:val="20"/>
                <w:u w:val="none"/>
                <w:lang w:val="en-US" w:eastAsia="zh-CN" w:bidi="ar-SA"/>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3365" w:hRule="atLeast"/>
        </w:trPr>
        <w:tc>
          <w:tcPr>
            <w:tcW w:w="13080" w:type="dxa"/>
            <w:gridSpan w:val="8"/>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spacing w:line="360" w:lineRule="auto"/>
              <w:rPr>
                <w:rFonts w:hint="eastAsia" w:ascii="仿宋" w:hAnsi="仿宋" w:eastAsia="仿宋" w:cs="仿宋"/>
                <w:sz w:val="24"/>
              </w:rPr>
            </w:pPr>
            <w:r>
              <w:rPr>
                <w:rFonts w:hint="eastAsia" w:ascii="仿宋" w:hAnsi="仿宋" w:eastAsia="仿宋" w:cs="仿宋"/>
                <w:sz w:val="24"/>
              </w:rPr>
              <w:t>绿色建筑建设目标：</w:t>
            </w:r>
            <w:r>
              <w:rPr>
                <w:rFonts w:hint="eastAsia" w:ascii="仿宋" w:hAnsi="仿宋" w:eastAsia="仿宋" w:cs="仿宋"/>
                <w:sz w:val="24"/>
                <w:lang w:val="en-US" w:eastAsia="zh-CN"/>
              </w:rPr>
              <w:t xml:space="preserve">国标   </w:t>
            </w:r>
            <w:r>
              <w:rPr>
                <w:rFonts w:hint="eastAsia" w:ascii="仿宋" w:hAnsi="仿宋" w:eastAsia="仿宋" w:cs="仿宋"/>
                <w:sz w:val="24"/>
              </w:rPr>
              <w:t>□基本级  □一星  □二星  □三星</w:t>
            </w:r>
          </w:p>
          <w:p>
            <w:pPr>
              <w:spacing w:line="360" w:lineRule="auto"/>
              <w:rPr>
                <w:rFonts w:hint="default" w:ascii="仿宋" w:hAnsi="仿宋" w:eastAsia="仿宋" w:cs="仿宋"/>
                <w:sz w:val="24"/>
                <w:lang w:val="en-US" w:eastAsia="zh-CN"/>
              </w:rPr>
            </w:pPr>
            <w:r>
              <w:rPr>
                <w:rFonts w:hint="eastAsia" w:ascii="仿宋" w:hAnsi="仿宋" w:eastAsia="仿宋" w:cs="仿宋"/>
                <w:sz w:val="24"/>
                <w:lang w:val="en-US" w:eastAsia="zh-CN"/>
              </w:rPr>
              <w:t xml:space="preserve">                  省标   </w:t>
            </w:r>
            <w:r>
              <w:rPr>
                <w:rFonts w:hint="eastAsia" w:ascii="仿宋" w:hAnsi="仿宋" w:eastAsia="仿宋" w:cs="仿宋"/>
                <w:sz w:val="24"/>
              </w:rPr>
              <w:t>□基本级  □一星  □二星  □三星</w:t>
            </w:r>
          </w:p>
          <w:p>
            <w:pPr>
              <w:spacing w:line="360" w:lineRule="auto"/>
              <w:rPr>
                <w:rFonts w:hint="eastAsia" w:ascii="仿宋" w:hAnsi="仿宋" w:eastAsia="仿宋" w:cs="仿宋"/>
                <w:sz w:val="24"/>
              </w:rPr>
            </w:pPr>
            <w:r>
              <w:rPr>
                <w:rFonts w:hint="eastAsia" w:ascii="仿宋" w:hAnsi="仿宋" w:eastAsia="仿宋" w:cs="仿宋"/>
                <w:sz w:val="24"/>
              </w:rPr>
              <w:t>建筑</w:t>
            </w:r>
            <w:r>
              <w:rPr>
                <w:rFonts w:hint="eastAsia" w:ascii="仿宋" w:hAnsi="仿宋" w:eastAsia="仿宋" w:cs="仿宋"/>
                <w:sz w:val="24"/>
                <w:lang w:val="en-US" w:eastAsia="zh-CN"/>
              </w:rPr>
              <w:t>类型</w:t>
            </w:r>
            <w:r>
              <w:rPr>
                <w:rFonts w:hint="eastAsia" w:ascii="仿宋" w:hAnsi="仿宋" w:eastAsia="仿宋" w:cs="仿宋"/>
                <w:sz w:val="24"/>
              </w:rPr>
              <w:t>：□居住建筑  □公共建筑  □综合功能建筑</w:t>
            </w:r>
          </w:p>
          <w:p>
            <w:pPr>
              <w:spacing w:line="360" w:lineRule="auto"/>
              <w:rPr>
                <w:rFonts w:hint="default" w:ascii="仿宋" w:hAnsi="仿宋" w:eastAsia="仿宋" w:cs="仿宋"/>
                <w:sz w:val="24"/>
                <w:szCs w:val="24"/>
                <w:u w:val="single"/>
                <w:lang w:val="en-US" w:eastAsia="zh-CN"/>
              </w:rPr>
            </w:pPr>
            <w:r>
              <w:rPr>
                <w:rFonts w:hint="eastAsia" w:ascii="仿宋" w:hAnsi="仿宋" w:eastAsia="仿宋" w:cs="仿宋"/>
                <w:color w:val="000000"/>
                <w:sz w:val="24"/>
                <w:szCs w:val="24"/>
                <w:shd w:val="clear" w:color="auto" w:fill="FFFFFF"/>
              </w:rPr>
              <w:t>结构类型</w:t>
            </w:r>
            <w:r>
              <w:rPr>
                <w:rFonts w:hint="eastAsia" w:ascii="仿宋" w:hAnsi="仿宋" w:eastAsia="仿宋" w:cs="仿宋"/>
                <w:color w:val="000000"/>
                <w:sz w:val="24"/>
                <w:szCs w:val="24"/>
                <w:shd w:val="clear" w:color="auto" w:fill="FFFFFF"/>
                <w:lang w:eastAsia="zh-CN"/>
              </w:rPr>
              <w:t xml:space="preserve">：□框架    □剪力墙   □框架-剪力墙 </w:t>
            </w:r>
            <w:r>
              <w:rPr>
                <w:rFonts w:hint="eastAsia" w:ascii="仿宋" w:hAnsi="仿宋" w:eastAsia="仿宋" w:cs="仿宋"/>
                <w:color w:val="000000"/>
                <w:sz w:val="24"/>
                <w:szCs w:val="24"/>
                <w:shd w:val="clear" w:color="auto" w:fill="FFFFFF"/>
                <w:lang w:val="en-US" w:eastAsia="zh-CN"/>
              </w:rPr>
              <w:t xml:space="preserve">  □钢结构   □砖混   □其他：</w:t>
            </w:r>
            <w:r>
              <w:rPr>
                <w:rFonts w:hint="eastAsia" w:ascii="仿宋" w:hAnsi="仿宋" w:eastAsia="仿宋" w:cs="仿宋"/>
                <w:color w:val="000000"/>
                <w:sz w:val="24"/>
                <w:szCs w:val="24"/>
                <w:u w:val="single"/>
                <w:shd w:val="clear" w:color="auto" w:fill="FFFFFF"/>
                <w:lang w:val="en-US" w:eastAsia="zh-CN"/>
              </w:rPr>
              <w:t xml:space="preserve">         </w:t>
            </w:r>
          </w:p>
          <w:p>
            <w:pPr>
              <w:spacing w:line="360" w:lineRule="auto"/>
              <w:rPr>
                <w:rFonts w:ascii="仿宋" w:hAnsi="仿宋" w:eastAsia="仿宋" w:cs="仿宋"/>
                <w:sz w:val="24"/>
              </w:rPr>
            </w:pPr>
            <w:r>
              <w:rPr>
                <w:rFonts w:hint="eastAsia" w:ascii="仿宋" w:hAnsi="仿宋" w:eastAsia="仿宋" w:cs="仿宋"/>
                <w:sz w:val="24"/>
              </w:rPr>
              <w:t xml:space="preserve">交楼标准：□毛坯 </w:t>
            </w:r>
            <w:r>
              <w:rPr>
                <w:rFonts w:hint="eastAsia" w:ascii="仿宋" w:hAnsi="仿宋" w:eastAsia="仿宋" w:cs="仿宋"/>
                <w:sz w:val="24"/>
                <w:lang w:val="en-US" w:eastAsia="zh-CN"/>
              </w:rPr>
              <w:t xml:space="preserve">  </w:t>
            </w:r>
            <w:r>
              <w:rPr>
                <w:rFonts w:hint="eastAsia" w:ascii="仿宋" w:hAnsi="仿宋" w:eastAsia="仿宋" w:cs="仿宋"/>
                <w:sz w:val="24"/>
              </w:rPr>
              <w:t xml:space="preserve"> □精装修</w:t>
            </w:r>
          </w:p>
          <w:p>
            <w:pPr>
              <w:spacing w:line="360" w:lineRule="auto"/>
              <w:rPr>
                <w:rFonts w:ascii="仿宋" w:hAnsi="仿宋" w:eastAsia="仿宋" w:cs="仿宋"/>
                <w:sz w:val="24"/>
              </w:rPr>
            </w:pPr>
            <w:r>
              <w:rPr>
                <w:rFonts w:hint="eastAsia" w:ascii="仿宋" w:hAnsi="仿宋" w:eastAsia="仿宋" w:cs="仿宋"/>
                <w:sz w:val="24"/>
              </w:rPr>
              <w:t>用地面积：</w:t>
            </w:r>
            <w:r>
              <w:rPr>
                <w:rFonts w:hint="eastAsia" w:ascii="仿宋" w:hAnsi="仿宋" w:eastAsia="仿宋" w:cs="仿宋"/>
                <w:sz w:val="24"/>
                <w:u w:val="single"/>
              </w:rPr>
              <w:t xml:space="preserve">          </w:t>
            </w:r>
            <w:r>
              <w:rPr>
                <w:rFonts w:hint="eastAsia" w:ascii="仿宋" w:hAnsi="仿宋" w:eastAsia="仿宋" w:cs="仿宋"/>
                <w:sz w:val="24"/>
              </w:rPr>
              <w:t>㎡</w:t>
            </w:r>
          </w:p>
          <w:p>
            <w:pPr>
              <w:spacing w:line="360" w:lineRule="auto"/>
              <w:rPr>
                <w:rFonts w:hint="default" w:ascii="仿宋" w:hAnsi="仿宋" w:eastAsia="仿宋" w:cs="仿宋"/>
                <w:sz w:val="24"/>
                <w:lang w:val="en-US" w:eastAsia="zh-CN"/>
              </w:rPr>
            </w:pPr>
            <w:r>
              <w:rPr>
                <w:rFonts w:hint="eastAsia" w:ascii="仿宋" w:hAnsi="仿宋" w:eastAsia="仿宋" w:cs="仿宋"/>
                <w:sz w:val="24"/>
              </w:rPr>
              <w:t>建筑面积：地上</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lang w:eastAsia="zh-CN"/>
              </w:rPr>
              <w:t>；</w:t>
            </w:r>
            <w:r>
              <w:rPr>
                <w:rFonts w:hint="eastAsia" w:ascii="仿宋" w:hAnsi="仿宋" w:eastAsia="仿宋" w:cs="仿宋"/>
                <w:sz w:val="24"/>
              </w:rPr>
              <w:t xml:space="preserve"> 地下</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val="en-US" w:eastAsia="zh-CN"/>
              </w:rPr>
              <w:t xml:space="preserve"> ；</w:t>
            </w:r>
            <w:r>
              <w:rPr>
                <w:rFonts w:hint="eastAsia" w:ascii="仿宋" w:hAnsi="仿宋" w:eastAsia="仿宋" w:cs="仿宋"/>
                <w:sz w:val="24"/>
              </w:rPr>
              <w:t>建筑高度：</w:t>
            </w:r>
            <w:r>
              <w:rPr>
                <w:rFonts w:hint="eastAsia" w:ascii="仿宋" w:hAnsi="仿宋" w:eastAsia="仿宋" w:cs="仿宋"/>
                <w:sz w:val="24"/>
                <w:u w:val="single"/>
              </w:rPr>
              <w:t xml:space="preserve">     </w:t>
            </w:r>
            <w:r>
              <w:rPr>
                <w:rFonts w:hint="eastAsia" w:ascii="仿宋" w:hAnsi="仿宋" w:eastAsia="仿宋" w:cs="仿宋"/>
                <w:sz w:val="24"/>
              </w:rPr>
              <w:t xml:space="preserve">m </w:t>
            </w:r>
            <w:r>
              <w:rPr>
                <w:rFonts w:hint="eastAsia" w:ascii="仿宋" w:hAnsi="仿宋" w:eastAsia="仿宋" w:cs="仿宋"/>
                <w:sz w:val="24"/>
                <w:lang w:eastAsia="zh-CN"/>
              </w:rPr>
              <w:t>；</w:t>
            </w:r>
            <w:r>
              <w:rPr>
                <w:rFonts w:hint="eastAsia" w:ascii="仿宋" w:hAnsi="仿宋" w:eastAsia="仿宋" w:cs="仿宋"/>
                <w:sz w:val="24"/>
              </w:rPr>
              <w:t xml:space="preserve"> 层数</w:t>
            </w:r>
            <w:r>
              <w:rPr>
                <w:rFonts w:hint="eastAsia" w:ascii="仿宋" w:hAnsi="仿宋" w:eastAsia="仿宋" w:cs="仿宋"/>
                <w:sz w:val="24"/>
                <w:u w:val="single"/>
              </w:rPr>
              <w:t xml:space="preserve">     </w:t>
            </w:r>
            <w:r>
              <w:rPr>
                <w:rFonts w:hint="eastAsia" w:ascii="仿宋" w:hAnsi="仿宋" w:eastAsia="仿宋" w:cs="仿宋"/>
                <w:sz w:val="24"/>
              </w:rPr>
              <w:t xml:space="preserve">   </w:t>
            </w:r>
          </w:p>
        </w:tc>
      </w:tr>
      <w:tr>
        <w:tblPrEx>
          <w:tblCellMar>
            <w:top w:w="0" w:type="dxa"/>
            <w:left w:w="0" w:type="dxa"/>
            <w:bottom w:w="0" w:type="dxa"/>
            <w:right w:w="0" w:type="dxa"/>
          </w:tblCellMar>
        </w:tblPrEx>
        <w:trPr>
          <w:trHeight w:val="1687" w:hRule="atLeast"/>
        </w:trPr>
        <w:tc>
          <w:tcPr>
            <w:tcW w:w="4360"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top"/>
          </w:tcPr>
          <w:p>
            <w:pPr>
              <w:widowControl/>
              <w:textAlignment w:val="bottom"/>
            </w:pPr>
            <w:r>
              <w:rPr>
                <w:kern w:val="0"/>
                <w:sz w:val="24"/>
              </w:rPr>
              <w:t>建设单位意见</w:t>
            </w:r>
            <w:r>
              <w:rPr>
                <w:rFonts w:hint="eastAsia"/>
                <w:kern w:val="0"/>
                <w:sz w:val="24"/>
                <w:lang w:eastAsia="zh-CN"/>
              </w:rPr>
              <w:t>：</w:t>
            </w:r>
          </w:p>
          <w:p>
            <w:pPr>
              <w:widowControl/>
              <w:textAlignment w:val="bottom"/>
            </w:pPr>
          </w:p>
          <w:p>
            <w:pPr>
              <w:widowControl/>
              <w:textAlignment w:val="bottom"/>
            </w:pPr>
          </w:p>
          <w:p>
            <w:pPr>
              <w:widowControl/>
              <w:textAlignment w:val="bottom"/>
              <w:rPr>
                <w:rFonts w:hint="eastAsia"/>
              </w:rPr>
            </w:pPr>
            <w:r>
              <w:rPr>
                <w:kern w:val="0"/>
                <w:sz w:val="24"/>
              </w:rPr>
              <w:t>签名：</w:t>
            </w:r>
          </w:p>
          <w:p>
            <w:pPr>
              <w:widowControl/>
              <w:ind w:firstLine="2296" w:firstLineChars="957"/>
              <w:textAlignment w:val="bottom"/>
            </w:pPr>
            <w:r>
              <w:rPr>
                <w:kern w:val="0"/>
                <w:sz w:val="24"/>
              </w:rPr>
              <w:t>（章）</w:t>
            </w:r>
          </w:p>
          <w:p>
            <w:pPr>
              <w:widowControl/>
              <w:ind w:firstLine="2020" w:firstLineChars="842"/>
              <w:textAlignment w:val="bottom"/>
              <w:rPr>
                <w:rFonts w:hint="eastAsia" w:asciiTheme="minorHAnsi" w:hAnsiTheme="minorHAnsi" w:eastAsiaTheme="minorEastAsia" w:cstheme="minorBidi"/>
                <w:kern w:val="0"/>
                <w:sz w:val="24"/>
                <w:szCs w:val="24"/>
                <w:lang w:val="en-US" w:eastAsia="zh-CN" w:bidi="ar-SA"/>
              </w:rPr>
            </w:pPr>
            <w:r>
              <w:rPr>
                <w:kern w:val="0"/>
                <w:sz w:val="24"/>
              </w:rPr>
              <w:t>年  月  日</w:t>
            </w:r>
          </w:p>
        </w:tc>
        <w:tc>
          <w:tcPr>
            <w:tcW w:w="4360" w:type="dxa"/>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top"/>
          </w:tcPr>
          <w:p>
            <w:pPr>
              <w:widowControl/>
              <w:textAlignment w:val="bottom"/>
            </w:pPr>
            <w:r>
              <w:rPr>
                <w:kern w:val="0"/>
                <w:sz w:val="24"/>
              </w:rPr>
              <w:t>施工单位意见</w:t>
            </w:r>
            <w:r>
              <w:rPr>
                <w:rFonts w:hint="eastAsia"/>
                <w:kern w:val="0"/>
                <w:sz w:val="24"/>
                <w:lang w:eastAsia="zh-CN"/>
              </w:rPr>
              <w:t>：</w:t>
            </w:r>
          </w:p>
          <w:p>
            <w:pPr>
              <w:widowControl/>
              <w:ind w:firstLine="1800"/>
              <w:textAlignment w:val="bottom"/>
            </w:pPr>
          </w:p>
          <w:p>
            <w:pPr>
              <w:widowControl/>
              <w:textAlignment w:val="bottom"/>
            </w:pPr>
          </w:p>
          <w:p>
            <w:pPr>
              <w:widowControl/>
              <w:textAlignment w:val="bottom"/>
              <w:rPr>
                <w:rFonts w:hint="eastAsia"/>
              </w:rPr>
            </w:pPr>
            <w:r>
              <w:rPr>
                <w:kern w:val="0"/>
                <w:sz w:val="24"/>
              </w:rPr>
              <w:t>签名：</w:t>
            </w:r>
          </w:p>
          <w:p>
            <w:pPr>
              <w:widowControl/>
              <w:ind w:firstLine="1920" w:firstLineChars="800"/>
              <w:textAlignment w:val="bottom"/>
            </w:pPr>
            <w:r>
              <w:rPr>
                <w:kern w:val="0"/>
                <w:sz w:val="24"/>
              </w:rPr>
              <w:t>（章）</w:t>
            </w:r>
          </w:p>
          <w:p>
            <w:pPr>
              <w:widowControl/>
              <w:ind w:firstLine="1920" w:firstLineChars="800"/>
              <w:textAlignment w:val="bottom"/>
              <w:rPr>
                <w:rFonts w:hint="eastAsia" w:asciiTheme="minorHAnsi" w:hAnsiTheme="minorHAnsi" w:eastAsiaTheme="minorEastAsia" w:cstheme="minorBidi"/>
                <w:kern w:val="0"/>
                <w:sz w:val="24"/>
                <w:szCs w:val="24"/>
                <w:lang w:val="en-US" w:eastAsia="zh-CN" w:bidi="ar-SA"/>
              </w:rPr>
            </w:pPr>
            <w:r>
              <w:rPr>
                <w:kern w:val="0"/>
                <w:sz w:val="24"/>
              </w:rPr>
              <w:t>年  月  日</w:t>
            </w:r>
          </w:p>
        </w:tc>
        <w:tc>
          <w:tcPr>
            <w:tcW w:w="4360"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top"/>
          </w:tcPr>
          <w:p>
            <w:pPr>
              <w:widowControl/>
              <w:textAlignment w:val="bottom"/>
            </w:pPr>
            <w:r>
              <w:rPr>
                <w:kern w:val="0"/>
                <w:sz w:val="24"/>
              </w:rPr>
              <w:t>监理单位意见</w:t>
            </w:r>
            <w:r>
              <w:rPr>
                <w:rFonts w:hint="eastAsia"/>
                <w:kern w:val="0"/>
                <w:sz w:val="24"/>
                <w:lang w:eastAsia="zh-CN"/>
              </w:rPr>
              <w:t>：</w:t>
            </w:r>
          </w:p>
          <w:p>
            <w:pPr>
              <w:widowControl/>
              <w:ind w:firstLine="1800"/>
              <w:textAlignment w:val="bottom"/>
            </w:pPr>
          </w:p>
          <w:p>
            <w:pPr>
              <w:widowControl/>
              <w:textAlignment w:val="bottom"/>
            </w:pPr>
          </w:p>
          <w:p>
            <w:pPr>
              <w:widowControl/>
              <w:textAlignment w:val="bottom"/>
              <w:rPr>
                <w:rFonts w:hint="eastAsia"/>
              </w:rPr>
            </w:pPr>
            <w:r>
              <w:rPr>
                <w:kern w:val="0"/>
                <w:sz w:val="24"/>
              </w:rPr>
              <w:t>签名：</w:t>
            </w:r>
          </w:p>
          <w:p>
            <w:pPr>
              <w:widowControl/>
              <w:ind w:firstLine="1800"/>
              <w:textAlignment w:val="bottom"/>
            </w:pPr>
            <w:r>
              <w:rPr>
                <w:kern w:val="0"/>
                <w:sz w:val="24"/>
              </w:rPr>
              <w:t>（章）</w:t>
            </w:r>
          </w:p>
          <w:p>
            <w:pPr>
              <w:widowControl/>
              <w:ind w:firstLine="1680" w:firstLineChars="700"/>
              <w:textAlignment w:val="bottom"/>
              <w:rPr>
                <w:rFonts w:hint="eastAsia" w:asciiTheme="minorHAnsi" w:hAnsiTheme="minorHAnsi" w:eastAsiaTheme="minorEastAsia" w:cstheme="minorBidi"/>
                <w:kern w:val="0"/>
                <w:sz w:val="24"/>
                <w:szCs w:val="24"/>
                <w:lang w:val="en-US" w:eastAsia="zh-CN" w:bidi="ar-SA"/>
              </w:rPr>
            </w:pPr>
            <w:r>
              <w:rPr>
                <w:kern w:val="0"/>
                <w:sz w:val="24"/>
              </w:rPr>
              <w:t>年  月  日</w:t>
            </w:r>
          </w:p>
        </w:tc>
      </w:tr>
      <w:tr>
        <w:tblPrEx>
          <w:tblCellMar>
            <w:top w:w="0" w:type="dxa"/>
            <w:left w:w="0" w:type="dxa"/>
            <w:bottom w:w="0" w:type="dxa"/>
            <w:right w:w="0" w:type="dxa"/>
          </w:tblCellMar>
        </w:tblPrEx>
        <w:trPr>
          <w:trHeight w:val="1687" w:hRule="atLeast"/>
        </w:trPr>
        <w:tc>
          <w:tcPr>
            <w:tcW w:w="4360"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top"/>
          </w:tcPr>
          <w:p>
            <w:pPr>
              <w:widowControl/>
              <w:textAlignment w:val="bottom"/>
            </w:pPr>
            <w:r>
              <w:rPr>
                <w:kern w:val="0"/>
                <w:sz w:val="24"/>
              </w:rPr>
              <w:t>设计单位意见</w:t>
            </w:r>
            <w:r>
              <w:rPr>
                <w:rFonts w:hint="eastAsia"/>
                <w:kern w:val="0"/>
                <w:sz w:val="24"/>
                <w:lang w:eastAsia="zh-CN"/>
              </w:rPr>
              <w:t>：</w:t>
            </w:r>
          </w:p>
          <w:p>
            <w:pPr>
              <w:widowControl/>
              <w:ind w:firstLine="1800"/>
              <w:textAlignment w:val="bottom"/>
            </w:pPr>
          </w:p>
          <w:p>
            <w:pPr>
              <w:widowControl/>
              <w:textAlignment w:val="bottom"/>
            </w:pPr>
          </w:p>
          <w:p>
            <w:pPr>
              <w:widowControl/>
              <w:textAlignment w:val="bottom"/>
            </w:pPr>
            <w:r>
              <w:rPr>
                <w:kern w:val="0"/>
                <w:sz w:val="24"/>
              </w:rPr>
              <w:t>签名：</w:t>
            </w:r>
          </w:p>
          <w:p>
            <w:pPr>
              <w:widowControl/>
              <w:ind w:firstLine="2296" w:firstLineChars="957"/>
              <w:textAlignment w:val="bottom"/>
            </w:pPr>
            <w:r>
              <w:rPr>
                <w:kern w:val="0"/>
                <w:sz w:val="24"/>
              </w:rPr>
              <w:t>（章）</w:t>
            </w:r>
          </w:p>
          <w:p>
            <w:pPr>
              <w:widowControl/>
              <w:ind w:firstLine="2020" w:firstLineChars="842"/>
              <w:textAlignment w:val="bottom"/>
              <w:rPr>
                <w:rFonts w:hint="eastAsia" w:asciiTheme="minorHAnsi" w:hAnsiTheme="minorHAnsi" w:eastAsiaTheme="minorEastAsia" w:cstheme="minorBidi"/>
                <w:kern w:val="0"/>
                <w:sz w:val="24"/>
                <w:szCs w:val="24"/>
                <w:lang w:val="en-US" w:eastAsia="zh-CN" w:bidi="ar-SA"/>
              </w:rPr>
            </w:pPr>
            <w:r>
              <w:rPr>
                <w:kern w:val="0"/>
                <w:sz w:val="24"/>
              </w:rPr>
              <w:t>年  月  日</w:t>
            </w:r>
          </w:p>
        </w:tc>
        <w:tc>
          <w:tcPr>
            <w:tcW w:w="4360" w:type="dxa"/>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top"/>
          </w:tcPr>
          <w:p>
            <w:pPr>
              <w:widowControl/>
              <w:textAlignment w:val="bottom"/>
              <w:rPr>
                <w:rFonts w:hint="eastAsia"/>
                <w:kern w:val="0"/>
                <w:sz w:val="24"/>
              </w:rPr>
            </w:pPr>
            <w:r>
              <w:rPr>
                <w:rFonts w:hint="eastAsia"/>
                <w:kern w:val="0"/>
                <w:sz w:val="24"/>
              </w:rPr>
              <w:t>勘查单位意见</w:t>
            </w:r>
            <w:r>
              <w:rPr>
                <w:rFonts w:hint="eastAsia"/>
                <w:kern w:val="0"/>
                <w:sz w:val="24"/>
                <w:lang w:eastAsia="zh-CN"/>
              </w:rPr>
              <w:t>：</w:t>
            </w:r>
          </w:p>
          <w:p>
            <w:pPr>
              <w:widowControl/>
              <w:textAlignment w:val="bottom"/>
              <w:rPr>
                <w:rFonts w:hint="eastAsia"/>
                <w:kern w:val="0"/>
                <w:sz w:val="24"/>
              </w:rPr>
            </w:pPr>
          </w:p>
          <w:p>
            <w:pPr>
              <w:widowControl/>
              <w:textAlignment w:val="bottom"/>
              <w:rPr>
                <w:rFonts w:hint="eastAsia"/>
                <w:kern w:val="0"/>
                <w:sz w:val="24"/>
              </w:rPr>
            </w:pPr>
          </w:p>
          <w:p>
            <w:pPr>
              <w:widowControl/>
              <w:textAlignment w:val="bottom"/>
              <w:rPr>
                <w:rFonts w:hint="eastAsia"/>
              </w:rPr>
            </w:pPr>
            <w:r>
              <w:rPr>
                <w:kern w:val="0"/>
                <w:sz w:val="24"/>
              </w:rPr>
              <w:t>签名：</w:t>
            </w:r>
          </w:p>
          <w:p>
            <w:pPr>
              <w:widowControl/>
              <w:ind w:firstLine="2296" w:firstLineChars="957"/>
              <w:textAlignment w:val="bottom"/>
            </w:pPr>
            <w:r>
              <w:rPr>
                <w:kern w:val="0"/>
                <w:sz w:val="24"/>
              </w:rPr>
              <w:t>（章）</w:t>
            </w:r>
          </w:p>
          <w:p>
            <w:pPr>
              <w:widowControl/>
              <w:ind w:firstLine="1920" w:firstLineChars="800"/>
              <w:textAlignment w:val="bottom"/>
              <w:rPr>
                <w:rFonts w:hint="eastAsia" w:asciiTheme="minorHAnsi" w:hAnsiTheme="minorHAnsi" w:eastAsiaTheme="minorEastAsia" w:cstheme="minorBidi"/>
                <w:kern w:val="0"/>
                <w:sz w:val="24"/>
                <w:szCs w:val="24"/>
                <w:lang w:val="en-US" w:eastAsia="zh-CN" w:bidi="ar-SA"/>
              </w:rPr>
            </w:pPr>
            <w:r>
              <w:rPr>
                <w:kern w:val="0"/>
                <w:sz w:val="24"/>
              </w:rPr>
              <w:t>年  月  日</w:t>
            </w:r>
          </w:p>
        </w:tc>
        <w:tc>
          <w:tcPr>
            <w:tcW w:w="4360"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top"/>
          </w:tcPr>
          <w:p>
            <w:pPr>
              <w:widowControl/>
              <w:ind w:firstLine="1680" w:firstLineChars="0"/>
              <w:textAlignment w:val="bottom"/>
              <w:rPr>
                <w:rFonts w:hint="eastAsia" w:asciiTheme="minorHAnsi" w:hAnsiTheme="minorHAnsi" w:eastAsiaTheme="minorEastAsia" w:cstheme="minorBidi"/>
                <w:kern w:val="0"/>
                <w:sz w:val="24"/>
                <w:szCs w:val="24"/>
                <w:lang w:val="en-US" w:eastAsia="zh-CN" w:bidi="ar-SA"/>
              </w:rPr>
            </w:pPr>
          </w:p>
        </w:tc>
      </w:tr>
    </w:tbl>
    <w:p>
      <w:pPr>
        <w:rPr>
          <w:rFonts w:hint="eastAsia"/>
          <w:b/>
          <w:bCs/>
          <w:sz w:val="22"/>
          <w:szCs w:val="28"/>
          <w:lang w:val="en-US" w:eastAsia="zh-CN"/>
        </w:rPr>
      </w:pPr>
    </w:p>
    <w:p>
      <w:pPr>
        <w:rPr>
          <w:rFonts w:hint="default"/>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b/>
          <w:bCs/>
          <w:sz w:val="22"/>
          <w:szCs w:val="28"/>
          <w:lang w:val="en-US" w:eastAsia="zh-CN"/>
        </w:rPr>
      </w:pPr>
    </w:p>
    <w:p>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附件1-3</w:t>
      </w:r>
    </w:p>
    <w:p>
      <w:pPr>
        <w:jc w:val="center"/>
        <w:rPr>
          <w:rFonts w:hint="default"/>
          <w:sz w:val="28"/>
          <w:szCs w:val="36"/>
          <w:lang w:val="en-US" w:eastAsia="zh-CN"/>
        </w:rPr>
      </w:pPr>
      <w:r>
        <w:rPr>
          <w:rFonts w:hint="default"/>
          <w:sz w:val="28"/>
          <w:szCs w:val="36"/>
          <w:lang w:val="en-US" w:eastAsia="zh-CN"/>
        </w:rPr>
        <w:t>绿色建筑工程验收专家评审意见表——地基基础与结构</w:t>
      </w:r>
    </w:p>
    <w:tbl>
      <w:tblPr>
        <w:tblStyle w:val="3"/>
        <w:tblW w:w="13112"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88"/>
        <w:gridCol w:w="4412"/>
        <w:gridCol w:w="3713"/>
        <w:gridCol w:w="1612"/>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rPr>
                <w:rFonts w:hint="default"/>
                <w:lang w:val="en-US" w:eastAsia="zh-CN"/>
              </w:rPr>
            </w:pPr>
            <w:r>
              <w:rPr>
                <w:rFonts w:hint="default"/>
                <w:lang w:val="en-US" w:eastAsia="zh-CN"/>
              </w:rPr>
              <w:t>类别</w:t>
            </w:r>
          </w:p>
        </w:tc>
        <w:tc>
          <w:tcPr>
            <w:tcW w:w="1088" w:type="dxa"/>
            <w:vAlign w:val="center"/>
          </w:tcPr>
          <w:p>
            <w:pPr>
              <w:rPr>
                <w:rFonts w:hint="default"/>
                <w:lang w:val="en-US" w:eastAsia="zh-CN"/>
              </w:rPr>
            </w:pPr>
            <w:r>
              <w:rPr>
                <w:rFonts w:hint="default"/>
                <w:lang w:val="en-US" w:eastAsia="zh-CN"/>
              </w:rPr>
              <w:t>评价标准条文编号</w:t>
            </w:r>
          </w:p>
        </w:tc>
        <w:tc>
          <w:tcPr>
            <w:tcW w:w="4412" w:type="dxa"/>
            <w:vAlign w:val="center"/>
          </w:tcPr>
          <w:p>
            <w:pPr>
              <w:rPr>
                <w:rFonts w:hint="default"/>
                <w:lang w:val="en-US" w:eastAsia="zh-CN"/>
              </w:rPr>
            </w:pPr>
            <w:r>
              <w:rPr>
                <w:rFonts w:hint="default"/>
                <w:lang w:val="en-US" w:eastAsia="zh-CN"/>
              </w:rPr>
              <w:t>条文内容及分值</w:t>
            </w:r>
          </w:p>
        </w:tc>
        <w:tc>
          <w:tcPr>
            <w:tcW w:w="3713" w:type="dxa"/>
            <w:vAlign w:val="center"/>
          </w:tcPr>
          <w:p>
            <w:pPr>
              <w:rPr>
                <w:rFonts w:hint="default"/>
                <w:lang w:val="en-US" w:eastAsia="zh-CN"/>
              </w:rPr>
            </w:pPr>
            <w:r>
              <w:rPr>
                <w:rFonts w:hint="default"/>
                <w:lang w:val="en-US" w:eastAsia="zh-CN"/>
              </w:rPr>
              <w:t>证明文件</w:t>
            </w:r>
          </w:p>
        </w:tc>
        <w:tc>
          <w:tcPr>
            <w:tcW w:w="1612" w:type="dxa"/>
            <w:vAlign w:val="center"/>
          </w:tcPr>
          <w:p>
            <w:pPr>
              <w:rPr>
                <w:rFonts w:hint="default"/>
                <w:lang w:val="en-US" w:eastAsia="zh-CN"/>
              </w:rPr>
            </w:pPr>
            <w:r>
              <w:rPr>
                <w:rFonts w:hint="default"/>
                <w:lang w:val="en-US" w:eastAsia="zh-CN"/>
              </w:rPr>
              <w:t>评审结果</w:t>
            </w:r>
          </w:p>
        </w:tc>
        <w:tc>
          <w:tcPr>
            <w:tcW w:w="1325" w:type="dxa"/>
            <w:vAlign w:val="center"/>
          </w:tcPr>
          <w:p>
            <w:pPr>
              <w:rPr>
                <w:rFonts w:hint="default"/>
                <w:lang w:val="en-US" w:eastAsia="zh-CN"/>
              </w:rPr>
            </w:pPr>
            <w:r>
              <w:rPr>
                <w:rFonts w:hint="default"/>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2" w:type="dxa"/>
            <w:vMerge w:val="restart"/>
            <w:vAlign w:val="center"/>
          </w:tcPr>
          <w:p>
            <w:pPr>
              <w:rPr>
                <w:rFonts w:hint="default"/>
                <w:lang w:val="en-US" w:eastAsia="zh-CN"/>
              </w:rPr>
            </w:pPr>
            <w:r>
              <w:rPr>
                <w:rFonts w:hint="default"/>
                <w:lang w:val="en-US" w:eastAsia="zh-CN"/>
              </w:rPr>
              <w:t>控制项</w:t>
            </w:r>
          </w:p>
        </w:tc>
        <w:tc>
          <w:tcPr>
            <w:tcW w:w="1088" w:type="dxa"/>
            <w:vAlign w:val="center"/>
          </w:tcPr>
          <w:p>
            <w:pPr>
              <w:rPr>
                <w:rFonts w:hint="default"/>
                <w:lang w:val="en-US" w:eastAsia="zh-CN"/>
              </w:rPr>
            </w:pPr>
            <w:r>
              <w:rPr>
                <w:rFonts w:hint="default"/>
                <w:lang w:val="en-US" w:eastAsia="zh-CN"/>
              </w:rPr>
              <w:t>4.1.1</w:t>
            </w:r>
          </w:p>
        </w:tc>
        <w:tc>
          <w:tcPr>
            <w:tcW w:w="4412" w:type="dxa"/>
            <w:vAlign w:val="center"/>
          </w:tcPr>
          <w:p>
            <w:pPr>
              <w:rPr>
                <w:rFonts w:hint="default"/>
                <w:lang w:val="en-US" w:eastAsia="zh-CN"/>
              </w:rPr>
            </w:pPr>
            <w:r>
              <w:rPr>
                <w:rFonts w:hint="default"/>
                <w:lang w:val="en-US" w:eastAsia="zh-CN"/>
              </w:rPr>
              <w:t>场地应避开滑坡、泥石流等地质危险地段，易发生洪涝地区应有可靠的防洪涝基础设施；场地应无危险化学品、易燃易爆危险源的威胁，应无电磁辐射、含氡土壤的危害。</w:t>
            </w:r>
          </w:p>
        </w:tc>
        <w:tc>
          <w:tcPr>
            <w:tcW w:w="3713" w:type="dxa"/>
            <w:vAlign w:val="center"/>
          </w:tcPr>
          <w:p>
            <w:pPr>
              <w:rPr>
                <w:rFonts w:hint="default"/>
                <w:lang w:val="en-US" w:eastAsia="zh-CN"/>
              </w:rPr>
            </w:pPr>
            <w:r>
              <w:rPr>
                <w:rFonts w:hint="default"/>
                <w:lang w:val="en-US" w:eastAsia="zh-CN"/>
              </w:rPr>
              <w:t>□项目区位图</w:t>
            </w:r>
          </w:p>
          <w:p>
            <w:pPr>
              <w:rPr>
                <w:rFonts w:hint="default"/>
                <w:lang w:val="en-US" w:eastAsia="zh-CN"/>
              </w:rPr>
            </w:pPr>
            <w:r>
              <w:rPr>
                <w:rFonts w:hint="default"/>
                <w:lang w:val="en-US" w:eastAsia="zh-CN"/>
              </w:rPr>
              <w:t>□场地地形图</w:t>
            </w:r>
          </w:p>
          <w:p>
            <w:pPr>
              <w:rPr>
                <w:rFonts w:hint="default"/>
                <w:lang w:val="en-US" w:eastAsia="zh-CN"/>
              </w:rPr>
            </w:pPr>
            <w:r>
              <w:rPr>
                <w:rFonts w:hint="default"/>
                <w:lang w:val="en-US" w:eastAsia="zh-CN"/>
              </w:rPr>
              <w:t>□勘查报告</w:t>
            </w:r>
          </w:p>
          <w:p>
            <w:pPr>
              <w:rPr>
                <w:rFonts w:hint="default"/>
                <w:lang w:val="en-US" w:eastAsia="zh-CN"/>
              </w:rPr>
            </w:pPr>
            <w:r>
              <w:rPr>
                <w:rFonts w:hint="default"/>
                <w:lang w:val="en-US" w:eastAsia="zh-CN"/>
              </w:rPr>
              <w:t>□环评报告</w:t>
            </w:r>
          </w:p>
          <w:p>
            <w:pPr>
              <w:rPr>
                <w:rFonts w:hint="default"/>
                <w:lang w:val="en-US" w:eastAsia="zh-CN"/>
              </w:rPr>
            </w:pPr>
            <w:r>
              <w:rPr>
                <w:rFonts w:hint="default"/>
                <w:lang w:val="en-US" w:eastAsia="zh-CN"/>
              </w:rPr>
              <w:t>□相关检测报告或论证报告</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r>
              <w:rPr>
                <w:rFonts w:hint="default"/>
                <w:lang w:val="en-US" w:eastAsia="zh-CN"/>
              </w:rPr>
              <w:t>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4.1.2</w:t>
            </w:r>
          </w:p>
        </w:tc>
        <w:tc>
          <w:tcPr>
            <w:tcW w:w="4412" w:type="dxa"/>
            <w:vAlign w:val="center"/>
          </w:tcPr>
          <w:p>
            <w:pPr>
              <w:rPr>
                <w:rFonts w:hint="default"/>
                <w:lang w:val="en-US" w:eastAsia="zh-CN"/>
              </w:rPr>
            </w:pPr>
            <w:r>
              <w:rPr>
                <w:rFonts w:hint="default"/>
                <w:lang w:val="en-US" w:eastAsia="zh-CN"/>
              </w:rPr>
              <w:t>建筑结构应满足承载力和建筑使用功能要求。建筑外墙、屋面、门窗、幕墙及外保温等围护结构应满足安全、耐久和防护的要求。</w:t>
            </w:r>
          </w:p>
        </w:tc>
        <w:tc>
          <w:tcPr>
            <w:tcW w:w="3713" w:type="dxa"/>
            <w:vAlign w:val="center"/>
          </w:tcPr>
          <w:p>
            <w:pPr>
              <w:rPr>
                <w:rFonts w:hint="default"/>
                <w:lang w:val="en-US" w:eastAsia="zh-CN"/>
              </w:rPr>
            </w:pPr>
            <w:r>
              <w:rPr>
                <w:rFonts w:hint="default"/>
                <w:lang w:val="en-US" w:eastAsia="zh-CN"/>
              </w:rPr>
              <w:t>□相关竣工图（含设计说明、计算书等）</w:t>
            </w:r>
          </w:p>
          <w:p>
            <w:pPr>
              <w:rPr>
                <w:rFonts w:hint="default"/>
                <w:lang w:val="en-US" w:eastAsia="zh-CN"/>
              </w:rPr>
            </w:pPr>
            <w:r>
              <w:rPr>
                <w:rFonts w:hint="default"/>
                <w:lang w:val="en-US" w:eastAsia="zh-CN"/>
              </w:rPr>
              <w:t>□出厂合格证、产品认证或相关证明文件</w:t>
            </w:r>
          </w:p>
          <w:p>
            <w:pPr>
              <w:rPr>
                <w:rFonts w:hint="default"/>
                <w:lang w:val="en-US" w:eastAsia="zh-CN"/>
              </w:rPr>
            </w:pPr>
            <w:r>
              <w:rPr>
                <w:rFonts w:hint="default"/>
                <w:lang w:val="en-US" w:eastAsia="zh-CN"/>
              </w:rPr>
              <w:t>□检验报告</w:t>
            </w:r>
          </w:p>
          <w:p>
            <w:pPr>
              <w:rPr>
                <w:rFonts w:hint="default"/>
                <w:lang w:val="en-US" w:eastAsia="zh-CN"/>
              </w:rPr>
            </w:pPr>
            <w:r>
              <w:rPr>
                <w:rFonts w:hint="default"/>
                <w:lang w:val="en-US" w:eastAsia="zh-CN"/>
              </w:rPr>
              <w:t>□进场验收记录和复验报告</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r>
              <w:rPr>
                <w:rFonts w:hint="default"/>
                <w:lang w:val="en-US" w:eastAsia="zh-CN"/>
              </w:rPr>
              <w:t>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4.1.3</w:t>
            </w:r>
          </w:p>
        </w:tc>
        <w:tc>
          <w:tcPr>
            <w:tcW w:w="4412" w:type="dxa"/>
            <w:vAlign w:val="center"/>
          </w:tcPr>
          <w:p>
            <w:pPr>
              <w:rPr>
                <w:rFonts w:hint="default"/>
                <w:lang w:val="en-US" w:eastAsia="zh-CN"/>
              </w:rPr>
            </w:pPr>
            <w:r>
              <w:rPr>
                <w:rFonts w:hint="default"/>
                <w:lang w:val="en-US" w:eastAsia="zh-CN"/>
              </w:rPr>
              <w:t>外遮阳、太阳能设施、空调室外机位、外墙花池等外部设施应与主体结构统一设计、施工，并具备安装、检修与维护条件。</w:t>
            </w:r>
          </w:p>
        </w:tc>
        <w:tc>
          <w:tcPr>
            <w:tcW w:w="3713" w:type="dxa"/>
            <w:vAlign w:val="center"/>
          </w:tcPr>
          <w:p>
            <w:pPr>
              <w:rPr>
                <w:rFonts w:hint="default"/>
                <w:lang w:val="en-US" w:eastAsia="zh-CN"/>
              </w:rPr>
            </w:pPr>
            <w:r>
              <w:rPr>
                <w:rFonts w:hint="default"/>
                <w:lang w:val="en-US" w:eastAsia="zh-CN"/>
              </w:rPr>
              <w:t>□相关竣工图（含设计说明、计算书等）</w:t>
            </w:r>
          </w:p>
          <w:p>
            <w:pPr>
              <w:rPr>
                <w:rFonts w:hint="default"/>
                <w:lang w:val="en-US" w:eastAsia="zh-CN"/>
              </w:rPr>
            </w:pPr>
            <w:r>
              <w:rPr>
                <w:rFonts w:hint="default"/>
                <w:lang w:val="en-US" w:eastAsia="zh-CN"/>
              </w:rPr>
              <w:t>□检修与维护条件</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r>
              <w:rPr>
                <w:rFonts w:hint="default"/>
                <w:lang w:val="en-US" w:eastAsia="zh-CN"/>
              </w:rPr>
              <w:t>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4.1.4</w:t>
            </w:r>
          </w:p>
        </w:tc>
        <w:tc>
          <w:tcPr>
            <w:tcW w:w="4412" w:type="dxa"/>
            <w:vAlign w:val="center"/>
          </w:tcPr>
          <w:p>
            <w:pPr>
              <w:rPr>
                <w:rFonts w:hint="default"/>
                <w:lang w:val="en-US" w:eastAsia="zh-CN"/>
              </w:rPr>
            </w:pPr>
            <w:r>
              <w:rPr>
                <w:rFonts w:hint="default"/>
                <w:lang w:val="en-US" w:eastAsia="zh-CN"/>
              </w:rPr>
              <w:t>建筑内部的非结构构件、设备及附属设施等应连接牢固并能适应主体结构变形。</w:t>
            </w:r>
          </w:p>
        </w:tc>
        <w:tc>
          <w:tcPr>
            <w:tcW w:w="3713"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□材料决算清单</w:t>
            </w:r>
          </w:p>
          <w:p>
            <w:pPr>
              <w:rPr>
                <w:rFonts w:hint="default"/>
                <w:lang w:val="en-US" w:eastAsia="zh-CN"/>
              </w:rPr>
            </w:pPr>
            <w:r>
              <w:rPr>
                <w:rFonts w:hint="default"/>
                <w:lang w:val="en-US" w:eastAsia="zh-CN"/>
              </w:rPr>
              <w:t>□产品说明书</w:t>
            </w:r>
          </w:p>
          <w:p>
            <w:pPr>
              <w:rPr>
                <w:rFonts w:hint="default"/>
                <w:lang w:val="en-US" w:eastAsia="zh-CN"/>
              </w:rPr>
            </w:pPr>
            <w:r>
              <w:rPr>
                <w:rFonts w:hint="default"/>
                <w:lang w:val="en-US" w:eastAsia="zh-CN"/>
              </w:rPr>
              <w:t>□力学及耐久性能测试或实验报告</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r>
              <w:rPr>
                <w:rFonts w:hint="default"/>
                <w:lang w:val="en-US" w:eastAsia="zh-CN"/>
              </w:rPr>
              <w:t>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7.1.1</w:t>
            </w:r>
          </w:p>
        </w:tc>
        <w:tc>
          <w:tcPr>
            <w:tcW w:w="4412" w:type="dxa"/>
            <w:vAlign w:val="center"/>
          </w:tcPr>
          <w:p>
            <w:pPr>
              <w:rPr>
                <w:rFonts w:hint="default"/>
                <w:lang w:val="en-US" w:eastAsia="zh-CN"/>
              </w:rPr>
            </w:pPr>
            <w:r>
              <w:rPr>
                <w:rFonts w:hint="default"/>
                <w:lang w:val="en-US" w:eastAsia="zh-CN"/>
              </w:rPr>
              <w:t>应结合场地自然条件和建筑功能需求，对建筑的体形、平面布局、空间尺度、围护结构等进行节能设计，且应符合国家有关节能设计的要求。</w:t>
            </w:r>
          </w:p>
        </w:tc>
        <w:tc>
          <w:tcPr>
            <w:tcW w:w="3713" w:type="dxa"/>
            <w:vAlign w:val="center"/>
          </w:tcPr>
          <w:p>
            <w:pPr>
              <w:rPr>
                <w:rFonts w:hint="default"/>
                <w:lang w:val="en-US" w:eastAsia="zh-CN"/>
              </w:rPr>
            </w:pPr>
            <w:r>
              <w:rPr>
                <w:rFonts w:hint="default"/>
                <w:lang w:val="en-US" w:eastAsia="zh-CN"/>
              </w:rPr>
              <w:t>□建筑节能工程验收文件</w:t>
            </w:r>
          </w:p>
          <w:p>
            <w:pPr>
              <w:rPr>
                <w:rFonts w:hint="default"/>
                <w:lang w:val="en-US" w:eastAsia="zh-CN"/>
              </w:rPr>
            </w:pPr>
            <w:r>
              <w:rPr>
                <w:rFonts w:hint="default"/>
                <w:lang w:val="en-US" w:eastAsia="zh-CN"/>
              </w:rPr>
              <w:t>□建筑节能设计说明专篇</w:t>
            </w:r>
          </w:p>
          <w:p>
            <w:pPr>
              <w:rPr>
                <w:rFonts w:hint="default"/>
                <w:lang w:val="en-US" w:eastAsia="zh-CN"/>
              </w:rPr>
            </w:pPr>
            <w:r>
              <w:rPr>
                <w:rFonts w:hint="default"/>
                <w:lang w:val="en-US" w:eastAsia="zh-CN"/>
              </w:rPr>
              <w:t>□节能计算书</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7.1.8</w:t>
            </w:r>
          </w:p>
        </w:tc>
        <w:tc>
          <w:tcPr>
            <w:tcW w:w="4412" w:type="dxa"/>
            <w:vAlign w:val="center"/>
          </w:tcPr>
          <w:p>
            <w:pPr>
              <w:rPr>
                <w:rFonts w:hint="default"/>
                <w:lang w:val="en-US" w:eastAsia="zh-CN"/>
              </w:rPr>
            </w:pPr>
            <w:r>
              <w:rPr>
                <w:rFonts w:hint="default"/>
                <w:lang w:val="en-US" w:eastAsia="zh-CN"/>
              </w:rPr>
              <w:t>不应采用建筑形体和布置严重不规则的建筑结构</w:t>
            </w:r>
          </w:p>
        </w:tc>
        <w:tc>
          <w:tcPr>
            <w:tcW w:w="3713"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□建筑形体规则性判定报告</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7.1.9</w:t>
            </w:r>
          </w:p>
        </w:tc>
        <w:tc>
          <w:tcPr>
            <w:tcW w:w="4412" w:type="dxa"/>
            <w:vAlign w:val="center"/>
          </w:tcPr>
          <w:p>
            <w:pPr>
              <w:rPr>
                <w:rFonts w:hint="default"/>
                <w:lang w:val="en-US" w:eastAsia="zh-CN"/>
              </w:rPr>
            </w:pPr>
            <w:r>
              <w:rPr>
                <w:rFonts w:hint="default"/>
                <w:lang w:val="en-US" w:eastAsia="zh-CN"/>
              </w:rPr>
              <w:t>建筑造型要素应简约，应无大量装饰性构件，并应符合下列规定：</w:t>
            </w:r>
          </w:p>
          <w:p>
            <w:pPr>
              <w:rPr>
                <w:rFonts w:hint="default"/>
                <w:lang w:val="en-US" w:eastAsia="zh-CN"/>
              </w:rPr>
            </w:pPr>
            <w:r>
              <w:rPr>
                <w:rFonts w:hint="default"/>
                <w:lang w:val="en-US" w:eastAsia="zh-CN"/>
              </w:rPr>
              <w:t>1 住宅建筑的装饰性构件造价占建筑总造价的比例不应大于 2%；</w:t>
            </w:r>
          </w:p>
          <w:p>
            <w:pPr>
              <w:rPr>
                <w:rFonts w:hint="default"/>
                <w:lang w:val="en-US" w:eastAsia="zh-CN"/>
              </w:rPr>
            </w:pPr>
            <w:r>
              <w:rPr>
                <w:rFonts w:hint="default"/>
                <w:lang w:val="en-US" w:eastAsia="zh-CN"/>
              </w:rPr>
              <w:t>2 公共建筑的装饰性构件造价占建筑总造价的比例不应大于 1%。</w:t>
            </w:r>
          </w:p>
        </w:tc>
        <w:tc>
          <w:tcPr>
            <w:tcW w:w="3713"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□装饰性构建成本计算书</w:t>
            </w:r>
          </w:p>
          <w:p>
            <w:pPr>
              <w:rPr>
                <w:rFonts w:hint="default"/>
                <w:lang w:val="en-US" w:eastAsia="zh-CN"/>
              </w:rPr>
            </w:pPr>
            <w:r>
              <w:rPr>
                <w:rFonts w:hint="default"/>
                <w:lang w:val="en-US" w:eastAsia="zh-CN"/>
              </w:rPr>
              <w:t>□现场核查</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7.1.10</w:t>
            </w:r>
          </w:p>
        </w:tc>
        <w:tc>
          <w:tcPr>
            <w:tcW w:w="4412" w:type="dxa"/>
            <w:vAlign w:val="center"/>
          </w:tcPr>
          <w:p>
            <w:pPr>
              <w:rPr>
                <w:rFonts w:hint="default"/>
                <w:lang w:val="en-US" w:eastAsia="zh-CN"/>
              </w:rPr>
            </w:pPr>
            <w:r>
              <w:rPr>
                <w:rFonts w:hint="default"/>
                <w:lang w:val="en-US" w:eastAsia="zh-CN"/>
              </w:rPr>
              <w:t>选用的建筑材料应符合下列规定：</w:t>
            </w:r>
          </w:p>
          <w:p>
            <w:pPr>
              <w:rPr>
                <w:rFonts w:hint="default"/>
                <w:lang w:val="en-US" w:eastAsia="zh-CN"/>
              </w:rPr>
            </w:pPr>
            <w:r>
              <w:rPr>
                <w:rFonts w:hint="default"/>
                <w:lang w:val="en-US" w:eastAsia="zh-CN"/>
              </w:rPr>
              <w:t>1.500km以内生产的建筑材料重量占建筑材料总重量的比例应大于60%；</w:t>
            </w:r>
          </w:p>
          <w:p>
            <w:pPr>
              <w:rPr>
                <w:rFonts w:hint="default"/>
                <w:lang w:val="en-US" w:eastAsia="zh-CN"/>
              </w:rPr>
            </w:pPr>
            <w:r>
              <w:rPr>
                <w:rFonts w:hint="default"/>
                <w:lang w:val="en-US" w:eastAsia="zh-CN"/>
              </w:rPr>
              <w:t>2.现浇混凝土应采用预拌混凝土，建筑砂浆应采用预拌砂浆。</w:t>
            </w:r>
          </w:p>
        </w:tc>
        <w:tc>
          <w:tcPr>
            <w:tcW w:w="3713"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□购销合同及用量清单等有关证明文件</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2" w:type="dxa"/>
            <w:vMerge w:val="restart"/>
            <w:vAlign w:val="center"/>
          </w:tcPr>
          <w:p>
            <w:pPr>
              <w:rPr>
                <w:rFonts w:hint="default"/>
                <w:lang w:val="en-US" w:eastAsia="zh-CN"/>
              </w:rPr>
            </w:pPr>
            <w:r>
              <w:rPr>
                <w:rFonts w:hint="default"/>
                <w:lang w:val="en-US" w:eastAsia="zh-CN"/>
              </w:rPr>
              <w:t>评分项</w:t>
            </w:r>
          </w:p>
        </w:tc>
        <w:tc>
          <w:tcPr>
            <w:tcW w:w="1088" w:type="dxa"/>
            <w:vAlign w:val="center"/>
          </w:tcPr>
          <w:p>
            <w:pPr>
              <w:rPr>
                <w:rFonts w:hint="default"/>
                <w:lang w:val="en-US" w:eastAsia="zh-CN"/>
              </w:rPr>
            </w:pPr>
            <w:r>
              <w:rPr>
                <w:rFonts w:hint="default"/>
                <w:lang w:val="en-US" w:eastAsia="zh-CN"/>
              </w:rPr>
              <w:t>4.2.1</w:t>
            </w:r>
          </w:p>
        </w:tc>
        <w:tc>
          <w:tcPr>
            <w:tcW w:w="4412" w:type="dxa"/>
            <w:vAlign w:val="center"/>
          </w:tcPr>
          <w:p>
            <w:pPr>
              <w:rPr>
                <w:rFonts w:hint="default"/>
                <w:lang w:val="en-US" w:eastAsia="zh-CN"/>
              </w:rPr>
            </w:pPr>
            <w:r>
              <w:rPr>
                <w:rFonts w:hint="default"/>
                <w:lang w:val="en-US" w:eastAsia="zh-CN"/>
              </w:rPr>
              <w:t>采用基于性能的抗震设计并合理提高抗震性能，评价分值为10分</w:t>
            </w:r>
          </w:p>
        </w:tc>
        <w:tc>
          <w:tcPr>
            <w:tcW w:w="3713"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□结构计算文件</w:t>
            </w:r>
          </w:p>
          <w:p>
            <w:pPr>
              <w:rPr>
                <w:rFonts w:hint="default"/>
                <w:lang w:val="en-US" w:eastAsia="zh-CN"/>
              </w:rPr>
            </w:pPr>
            <w:r>
              <w:rPr>
                <w:rFonts w:hint="default"/>
                <w:lang w:val="en-US" w:eastAsia="zh-CN"/>
              </w:rPr>
              <w:t>□项目安全分析报告及应对措施结果</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r>
              <w:rPr>
                <w:rFonts w:hint="default"/>
                <w:lang w:val="en-US" w:eastAsia="zh-CN"/>
              </w:rPr>
              <w:t>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7.2.1</w:t>
            </w:r>
          </w:p>
        </w:tc>
        <w:tc>
          <w:tcPr>
            <w:tcW w:w="4412" w:type="dxa"/>
            <w:vAlign w:val="center"/>
          </w:tcPr>
          <w:p>
            <w:pPr>
              <w:rPr>
                <w:rFonts w:hint="default"/>
                <w:lang w:val="en-US" w:eastAsia="zh-CN"/>
              </w:rPr>
            </w:pPr>
            <w:r>
              <w:rPr>
                <w:rFonts w:hint="default"/>
                <w:lang w:val="en-US" w:eastAsia="zh-CN"/>
              </w:rPr>
              <w:t>节约集约利用土地，评价总分值为20分，并按下列规则评分：</w:t>
            </w:r>
          </w:p>
          <w:p>
            <w:pPr>
              <w:rPr>
                <w:rFonts w:hint="default"/>
                <w:lang w:val="en-US" w:eastAsia="zh-CN"/>
              </w:rPr>
            </w:pPr>
            <w:r>
              <w:rPr>
                <w:rFonts w:hint="default"/>
                <w:lang w:val="en-US" w:eastAsia="zh-CN"/>
              </w:rPr>
              <w:t>1 对于住宅建筑，根据其所在居住街坊人均住宅用地指标按表7.2.1-1的规则评分。</w:t>
            </w:r>
          </w:p>
          <w:p>
            <w:pPr>
              <w:rPr>
                <w:rFonts w:hint="default"/>
                <w:lang w:val="en-US" w:eastAsia="zh-CN"/>
              </w:rPr>
            </w:pPr>
            <w:r>
              <w:rPr>
                <w:rFonts w:hint="default"/>
                <w:lang w:val="en-US" w:eastAsia="zh-CN"/>
              </w:rPr>
              <w:t>2 对于公共建筑，根据不同功能建筑的容积率CR) 按表</w:t>
            </w:r>
          </w:p>
          <w:p>
            <w:pPr>
              <w:rPr>
                <w:rFonts w:hint="default"/>
                <w:lang w:val="en-US" w:eastAsia="zh-CN"/>
              </w:rPr>
            </w:pPr>
            <w:r>
              <w:rPr>
                <w:rFonts w:hint="default"/>
                <w:lang w:val="en-US" w:eastAsia="zh-CN"/>
              </w:rPr>
              <w:t>7. 2. 1-2 的规则评分。</w:t>
            </w:r>
          </w:p>
        </w:tc>
        <w:tc>
          <w:tcPr>
            <w:tcW w:w="3713" w:type="dxa"/>
            <w:vAlign w:val="center"/>
          </w:tcPr>
          <w:p>
            <w:pPr>
              <w:rPr>
                <w:rFonts w:hint="default"/>
                <w:lang w:val="en-US" w:eastAsia="zh-CN"/>
              </w:rPr>
            </w:pPr>
            <w:r>
              <w:rPr>
                <w:rFonts w:hint="default"/>
                <w:lang w:val="en-US" w:eastAsia="zh-CN"/>
              </w:rPr>
              <w:t>□规划竣工测量报告</w:t>
            </w:r>
          </w:p>
          <w:p>
            <w:pPr>
              <w:rPr>
                <w:rFonts w:hint="default"/>
                <w:lang w:val="en-US" w:eastAsia="zh-CN"/>
              </w:rPr>
            </w:pPr>
            <w:r>
              <w:rPr>
                <w:rFonts w:hint="default"/>
                <w:lang w:val="en-US" w:eastAsia="zh-CN"/>
              </w:rPr>
              <w:t>□绿色建筑设计专篇</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7.2.2</w:t>
            </w:r>
          </w:p>
        </w:tc>
        <w:tc>
          <w:tcPr>
            <w:tcW w:w="4412" w:type="dxa"/>
            <w:vAlign w:val="center"/>
          </w:tcPr>
          <w:p>
            <w:pPr>
              <w:rPr>
                <w:rFonts w:hint="default"/>
                <w:lang w:val="en-US" w:eastAsia="zh-CN"/>
              </w:rPr>
            </w:pPr>
            <w:r>
              <w:rPr>
                <w:rFonts w:hint="default"/>
                <w:lang w:val="en-US" w:eastAsia="zh-CN"/>
              </w:rPr>
              <w:t>合理开发利用地下空间，评价总分值为12分，根据地下空间开发利用指标，按表7.2.2的规则评分。</w:t>
            </w:r>
          </w:p>
        </w:tc>
        <w:tc>
          <w:tcPr>
            <w:tcW w:w="3713" w:type="dxa"/>
            <w:vAlign w:val="center"/>
          </w:tcPr>
          <w:p>
            <w:pPr>
              <w:rPr>
                <w:rFonts w:hint="default"/>
                <w:lang w:val="en-US" w:eastAsia="zh-CN"/>
              </w:rPr>
            </w:pPr>
            <w:r>
              <w:rPr>
                <w:rFonts w:hint="default"/>
                <w:lang w:val="en-US" w:eastAsia="zh-CN"/>
              </w:rPr>
              <w:t>□规划竣工测量报告</w:t>
            </w:r>
          </w:p>
          <w:p>
            <w:pPr>
              <w:rPr>
                <w:rFonts w:hint="default"/>
                <w:lang w:val="en-US" w:eastAsia="zh-CN"/>
              </w:rPr>
            </w:pPr>
            <w:r>
              <w:rPr>
                <w:rFonts w:hint="default"/>
                <w:lang w:val="en-US" w:eastAsia="zh-CN"/>
              </w:rPr>
              <w:t>□绿色建筑设计专篇</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7.2.15</w:t>
            </w:r>
          </w:p>
        </w:tc>
        <w:tc>
          <w:tcPr>
            <w:tcW w:w="4412" w:type="dxa"/>
            <w:vAlign w:val="center"/>
          </w:tcPr>
          <w:p>
            <w:pPr>
              <w:rPr>
                <w:rFonts w:hint="default"/>
                <w:lang w:val="en-US" w:eastAsia="zh-CN"/>
              </w:rPr>
            </w:pPr>
            <w:r>
              <w:rPr>
                <w:rFonts w:hint="default"/>
                <w:lang w:val="en-US" w:eastAsia="zh-CN"/>
              </w:rPr>
              <w:t>合理选用建筑结构材料与构建，评价总分值为10分，并按下列规则评分：</w:t>
            </w:r>
          </w:p>
          <w:p>
            <w:pPr>
              <w:rPr>
                <w:rFonts w:hint="default"/>
                <w:lang w:val="en-US" w:eastAsia="zh-CN"/>
              </w:rPr>
            </w:pPr>
            <w:r>
              <w:rPr>
                <w:rFonts w:hint="default"/>
                <w:lang w:val="en-US" w:eastAsia="zh-CN"/>
              </w:rPr>
              <w:t>混凝土结构，按下列规则分别评分并累计：</w:t>
            </w:r>
          </w:p>
          <w:p>
            <w:pPr>
              <w:rPr>
                <w:rFonts w:hint="default"/>
                <w:lang w:val="en-US" w:eastAsia="zh-CN"/>
              </w:rPr>
            </w:pPr>
            <w:r>
              <w:rPr>
                <w:rFonts w:hint="default"/>
                <w:lang w:val="en-US" w:eastAsia="zh-CN"/>
              </w:rPr>
              <w:t>（1）400MPa级及以上强度等级钢筋应用比例达到85%，得5分；</w:t>
            </w:r>
          </w:p>
          <w:p>
            <w:pPr>
              <w:rPr>
                <w:rFonts w:hint="default"/>
                <w:lang w:val="en-US" w:eastAsia="zh-CN"/>
              </w:rPr>
            </w:pPr>
            <w:r>
              <w:rPr>
                <w:rFonts w:hint="default"/>
                <w:lang w:val="en-US" w:eastAsia="zh-CN"/>
              </w:rPr>
              <w:t>混凝土竖向承重结构采用强度等级不小于C50混凝土用量占竖向承重结构中混凝土总量的比例达到50%，得5分。</w:t>
            </w:r>
          </w:p>
          <w:p>
            <w:pPr>
              <w:rPr>
                <w:rFonts w:hint="default"/>
                <w:lang w:val="en-US" w:eastAsia="zh-CN"/>
              </w:rPr>
            </w:pPr>
            <w:r>
              <w:rPr>
                <w:rFonts w:hint="default"/>
                <w:lang w:val="en-US" w:eastAsia="zh-CN"/>
              </w:rPr>
              <w:t>拱结构，按下列规则分别评分累计：</w:t>
            </w:r>
          </w:p>
          <w:p>
            <w:pPr>
              <w:rPr>
                <w:rFonts w:hint="default"/>
                <w:lang w:val="en-US" w:eastAsia="zh-CN"/>
              </w:rPr>
            </w:pPr>
            <w:r>
              <w:rPr>
                <w:rFonts w:hint="default"/>
                <w:lang w:val="en-US" w:eastAsia="zh-CN"/>
              </w:rPr>
              <w:t>Q345及以上高强钢材用量占钢材总量的比例达到50%，得3分；达到70%，得4分；</w:t>
            </w:r>
          </w:p>
          <w:p>
            <w:pPr>
              <w:rPr>
                <w:rFonts w:hint="default"/>
                <w:lang w:val="en-US" w:eastAsia="zh-CN"/>
              </w:rPr>
            </w:pPr>
            <w:r>
              <w:rPr>
                <w:rFonts w:hint="default"/>
                <w:lang w:val="en-US" w:eastAsia="zh-CN"/>
              </w:rPr>
              <w:t>螺栓连接等非现场焊接点占现场全部连接、拼接节点的数量比例达到50%，得4分；</w:t>
            </w:r>
          </w:p>
          <w:p>
            <w:pPr>
              <w:rPr>
                <w:rFonts w:hint="default"/>
                <w:lang w:val="en-US" w:eastAsia="zh-CN"/>
              </w:rPr>
            </w:pPr>
            <w:r>
              <w:rPr>
                <w:rFonts w:hint="default"/>
                <w:lang w:val="en-US" w:eastAsia="zh-CN"/>
              </w:rPr>
              <w:t>采用施工时免支撑的楼层面板，得2分。</w:t>
            </w:r>
          </w:p>
          <w:p>
            <w:pPr>
              <w:rPr>
                <w:rFonts w:hint="default"/>
                <w:lang w:val="en-US" w:eastAsia="zh-CN"/>
              </w:rPr>
            </w:pPr>
            <w:r>
              <w:rPr>
                <w:rFonts w:hint="default"/>
                <w:lang w:val="en-US" w:eastAsia="zh-CN"/>
              </w:rPr>
              <w:t>3.混合结构：对其混凝土结构部分、钢结构部分，分别按本条第1款、第2款进行评价，得分取各项得分的平均值。</w:t>
            </w:r>
          </w:p>
        </w:tc>
        <w:tc>
          <w:tcPr>
            <w:tcW w:w="3713"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□施工记录</w:t>
            </w:r>
          </w:p>
          <w:p>
            <w:pPr>
              <w:rPr>
                <w:rFonts w:hint="default"/>
                <w:lang w:val="en-US" w:eastAsia="zh-CN"/>
              </w:rPr>
            </w:pPr>
            <w:r>
              <w:rPr>
                <w:rFonts w:hint="default"/>
                <w:lang w:val="en-US" w:eastAsia="zh-CN"/>
              </w:rPr>
              <w:t>□材料决算清单、各类材料用量比例计算书</w:t>
            </w:r>
          </w:p>
        </w:tc>
        <w:tc>
          <w:tcPr>
            <w:tcW w:w="1612" w:type="dxa"/>
            <w:vAlign w:val="center"/>
          </w:tcPr>
          <w:p>
            <w:pPr>
              <w:rPr>
                <w:rFonts w:hint="default"/>
                <w:lang w:val="en-US" w:eastAsia="zh-CN"/>
              </w:rPr>
            </w:pPr>
            <w:r>
              <w:rPr>
                <w:rFonts w:hint="default"/>
                <w:lang w:val="en-US" w:eastAsia="zh-CN"/>
              </w:rPr>
              <w:t xml:space="preserve">得分：    </w:t>
            </w: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7.2.17</w:t>
            </w:r>
          </w:p>
        </w:tc>
        <w:tc>
          <w:tcPr>
            <w:tcW w:w="4412" w:type="dxa"/>
            <w:vAlign w:val="center"/>
          </w:tcPr>
          <w:p>
            <w:pPr>
              <w:rPr>
                <w:rFonts w:hint="default"/>
                <w:lang w:val="en-US" w:eastAsia="zh-CN"/>
              </w:rPr>
            </w:pPr>
            <w:r>
              <w:rPr>
                <w:rFonts w:hint="default"/>
                <w:lang w:val="en-US" w:eastAsia="zh-CN"/>
              </w:rPr>
              <w:t>选用可再循环材料、可再利用材料及利废建材，评价总分值为12分，并按下列规则分别评分并累计：</w:t>
            </w:r>
          </w:p>
          <w:p>
            <w:pPr>
              <w:rPr>
                <w:rFonts w:hint="default"/>
                <w:lang w:val="en-US" w:eastAsia="zh-CN"/>
              </w:rPr>
            </w:pPr>
            <w:r>
              <w:rPr>
                <w:rFonts w:hint="default"/>
                <w:lang w:val="en-US" w:eastAsia="zh-CN"/>
              </w:rPr>
              <w:t>1 可再循环材料和可再利用材料用量比例，按下列规则评分：</w:t>
            </w:r>
          </w:p>
          <w:p>
            <w:pPr>
              <w:rPr>
                <w:rFonts w:hint="default"/>
                <w:lang w:val="en-US" w:eastAsia="zh-CN"/>
              </w:rPr>
            </w:pPr>
            <w:r>
              <w:rPr>
                <w:rFonts w:hint="default"/>
                <w:lang w:val="en-US" w:eastAsia="zh-CN"/>
              </w:rPr>
              <w:t>1) 住宅建筑达到6% 或公共建筑达到10%,得3分。</w:t>
            </w:r>
          </w:p>
          <w:p>
            <w:pPr>
              <w:rPr>
                <w:rFonts w:hint="default"/>
                <w:lang w:val="en-US" w:eastAsia="zh-CN"/>
              </w:rPr>
            </w:pPr>
            <w:r>
              <w:rPr>
                <w:rFonts w:hint="default"/>
                <w:lang w:val="en-US" w:eastAsia="zh-CN"/>
              </w:rPr>
              <w:t>2) 住宅建筑达到10% 或公共建筑达到15%,得6分。</w:t>
            </w:r>
          </w:p>
          <w:p>
            <w:pPr>
              <w:rPr>
                <w:rFonts w:hint="default"/>
                <w:lang w:val="en-US" w:eastAsia="zh-CN"/>
              </w:rPr>
            </w:pPr>
            <w:r>
              <w:rPr>
                <w:rFonts w:hint="default"/>
                <w:lang w:val="en-US" w:eastAsia="zh-CN"/>
              </w:rPr>
              <w:t>2 利废建材选用及其用量比例，按下列规则评分：</w:t>
            </w:r>
          </w:p>
          <w:p>
            <w:pPr>
              <w:rPr>
                <w:rFonts w:hint="default"/>
                <w:lang w:val="en-US" w:eastAsia="zh-CN"/>
              </w:rPr>
            </w:pPr>
            <w:r>
              <w:rPr>
                <w:rFonts w:hint="default"/>
                <w:lang w:val="en-US" w:eastAsia="zh-CN"/>
              </w:rPr>
              <w:t>1) 采用一种利废建材，其占同类建材的用量比例不低千</w:t>
            </w:r>
          </w:p>
          <w:p>
            <w:pPr>
              <w:rPr>
                <w:rFonts w:hint="default"/>
                <w:lang w:val="en-US" w:eastAsia="zh-CN"/>
              </w:rPr>
            </w:pPr>
            <w:r>
              <w:rPr>
                <w:rFonts w:hint="default"/>
                <w:lang w:val="en-US" w:eastAsia="zh-CN"/>
              </w:rPr>
              <w:t>50%,得3分。</w:t>
            </w:r>
          </w:p>
          <w:p>
            <w:pPr>
              <w:rPr>
                <w:rFonts w:hint="default"/>
                <w:lang w:val="en-US" w:eastAsia="zh-CN"/>
              </w:rPr>
            </w:pPr>
            <w:r>
              <w:rPr>
                <w:rFonts w:hint="default"/>
                <w:lang w:val="en-US" w:eastAsia="zh-CN"/>
              </w:rPr>
              <w:t>2) 选用两种及以上的利废建材，每一种占同类建材的用</w:t>
            </w:r>
          </w:p>
          <w:p>
            <w:pPr>
              <w:rPr>
                <w:rFonts w:hint="default"/>
                <w:lang w:val="en-US" w:eastAsia="zh-CN"/>
              </w:rPr>
            </w:pPr>
            <w:r>
              <w:rPr>
                <w:rFonts w:hint="default"/>
                <w:lang w:val="en-US" w:eastAsia="zh-CN"/>
              </w:rPr>
              <w:t>量比例均不低于30%,得6分。</w:t>
            </w:r>
          </w:p>
        </w:tc>
        <w:tc>
          <w:tcPr>
            <w:tcW w:w="3713" w:type="dxa"/>
            <w:vAlign w:val="center"/>
          </w:tcPr>
          <w:p>
            <w:pPr>
              <w:rPr>
                <w:rFonts w:hint="default"/>
                <w:lang w:val="en-US" w:eastAsia="zh-CN"/>
              </w:rPr>
            </w:pPr>
            <w:r>
              <w:rPr>
                <w:rFonts w:hint="default"/>
                <w:lang w:val="en-US" w:eastAsia="zh-CN"/>
              </w:rPr>
              <w:t>□工程材料进出场记录</w:t>
            </w:r>
          </w:p>
          <w:p>
            <w:pPr>
              <w:rPr>
                <w:rFonts w:hint="default"/>
                <w:lang w:val="en-US" w:eastAsia="zh-CN"/>
              </w:rPr>
            </w:pPr>
            <w:r>
              <w:rPr>
                <w:rFonts w:hint="default"/>
                <w:lang w:val="en-US" w:eastAsia="zh-CN"/>
              </w:rPr>
              <w:t>□可再利用材料和可再循环材料使用比例计算书</w:t>
            </w:r>
          </w:p>
          <w:p>
            <w:pPr>
              <w:rPr>
                <w:rFonts w:hint="default"/>
                <w:lang w:val="en-US" w:eastAsia="zh-CN"/>
              </w:rPr>
            </w:pPr>
            <w:r>
              <w:rPr>
                <w:rFonts w:hint="default"/>
                <w:lang w:val="en-US" w:eastAsia="zh-CN"/>
              </w:rPr>
              <w:t>□利废建材使用比例计算书</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7.2.18</w:t>
            </w:r>
          </w:p>
        </w:tc>
        <w:tc>
          <w:tcPr>
            <w:tcW w:w="4412" w:type="dxa"/>
            <w:vAlign w:val="center"/>
          </w:tcPr>
          <w:p>
            <w:pPr>
              <w:rPr>
                <w:rFonts w:hint="default"/>
                <w:lang w:val="en-US" w:eastAsia="zh-CN"/>
              </w:rPr>
            </w:pPr>
            <w:r>
              <w:rPr>
                <w:rFonts w:hint="default"/>
                <w:lang w:val="en-US" w:eastAsia="zh-CN"/>
              </w:rPr>
              <w:t>选用绿色建材，评价总分值为12分。绿色建材应用比例不低于30%，得4分；不低于50%，得8分；不低于70%，得12分。</w:t>
            </w:r>
          </w:p>
        </w:tc>
        <w:tc>
          <w:tcPr>
            <w:tcW w:w="3713" w:type="dxa"/>
            <w:vAlign w:val="center"/>
          </w:tcPr>
          <w:p>
            <w:pPr>
              <w:rPr>
                <w:rFonts w:hint="default"/>
                <w:lang w:val="en-US" w:eastAsia="zh-CN"/>
              </w:rPr>
            </w:pPr>
            <w:r>
              <w:rPr>
                <w:rFonts w:hint="default"/>
                <w:lang w:val="en-US" w:eastAsia="zh-CN"/>
              </w:rPr>
              <w:t>□工程材料进出场记录</w:t>
            </w:r>
          </w:p>
          <w:p>
            <w:pPr>
              <w:rPr>
                <w:rFonts w:hint="default"/>
                <w:lang w:val="en-US" w:eastAsia="zh-CN"/>
              </w:rPr>
            </w:pPr>
            <w:r>
              <w:rPr>
                <w:rFonts w:hint="default"/>
                <w:lang w:val="en-US" w:eastAsia="zh-CN"/>
              </w:rPr>
              <w:t>□绿色建材使用比例计算书</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9.2.2</w:t>
            </w:r>
          </w:p>
        </w:tc>
        <w:tc>
          <w:tcPr>
            <w:tcW w:w="4412" w:type="dxa"/>
            <w:vAlign w:val="center"/>
          </w:tcPr>
          <w:p>
            <w:pPr>
              <w:rPr>
                <w:rFonts w:hint="default"/>
                <w:lang w:val="en-US" w:eastAsia="zh-CN"/>
              </w:rPr>
            </w:pPr>
            <w:r>
              <w:rPr>
                <w:rFonts w:hint="default"/>
                <w:lang w:val="en-US" w:eastAsia="zh-CN"/>
              </w:rPr>
              <w:t>合理选用废弃场地进行建设，或充分利用尚可使用的旧建筑，评价分值为8 分。</w:t>
            </w:r>
          </w:p>
        </w:tc>
        <w:tc>
          <w:tcPr>
            <w:tcW w:w="3713" w:type="dxa"/>
            <w:vAlign w:val="center"/>
          </w:tcPr>
          <w:p>
            <w:pPr>
              <w:rPr>
                <w:rFonts w:hint="default"/>
                <w:lang w:val="en-US" w:eastAsia="zh-CN"/>
              </w:rPr>
            </w:pPr>
            <w:r>
              <w:rPr>
                <w:rFonts w:hint="default"/>
                <w:lang w:val="en-US" w:eastAsia="zh-CN"/>
              </w:rPr>
              <w:t>□相关设计专项分析论证报告</w:t>
            </w:r>
          </w:p>
          <w:p>
            <w:pPr>
              <w:rPr>
                <w:rFonts w:hint="default"/>
                <w:lang w:val="en-US" w:eastAsia="zh-CN"/>
              </w:rPr>
            </w:pPr>
            <w:r>
              <w:rPr>
                <w:rFonts w:hint="default"/>
                <w:lang w:val="en-US" w:eastAsia="zh-CN"/>
              </w:rPr>
              <w:t>□现场核查</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9.2.3</w:t>
            </w:r>
          </w:p>
        </w:tc>
        <w:tc>
          <w:tcPr>
            <w:tcW w:w="4412" w:type="dxa"/>
            <w:vAlign w:val="center"/>
          </w:tcPr>
          <w:p>
            <w:pPr>
              <w:rPr>
                <w:rFonts w:hint="default"/>
                <w:lang w:val="en-US" w:eastAsia="zh-CN"/>
              </w:rPr>
            </w:pPr>
            <w:r>
              <w:rPr>
                <w:rFonts w:hint="default"/>
                <w:lang w:val="en-US" w:eastAsia="zh-CN"/>
              </w:rPr>
              <w:t>合理选用废弃场地进行建设，或充分利用尚可使用的旧建筑，评价分值为8 分。</w:t>
            </w:r>
          </w:p>
        </w:tc>
        <w:tc>
          <w:tcPr>
            <w:tcW w:w="3713" w:type="dxa"/>
            <w:vAlign w:val="center"/>
          </w:tcPr>
          <w:p>
            <w:pPr>
              <w:rPr>
                <w:rFonts w:hint="default"/>
                <w:lang w:val="en-US" w:eastAsia="zh-CN"/>
              </w:rPr>
            </w:pPr>
            <w:r>
              <w:rPr>
                <w:rFonts w:hint="default"/>
                <w:lang w:val="en-US" w:eastAsia="zh-CN"/>
              </w:rPr>
              <w:t>□废弃场地利用专项报告</w:t>
            </w:r>
          </w:p>
          <w:p>
            <w:pPr>
              <w:rPr>
                <w:rFonts w:hint="default"/>
                <w:lang w:val="en-US" w:eastAsia="zh-CN"/>
              </w:rPr>
            </w:pPr>
            <w:r>
              <w:rPr>
                <w:rFonts w:hint="default"/>
                <w:lang w:val="en-US" w:eastAsia="zh-CN"/>
              </w:rPr>
              <w:t>□旧建筑利用专项报告</w:t>
            </w:r>
          </w:p>
          <w:p>
            <w:pPr>
              <w:rPr>
                <w:rFonts w:hint="default"/>
                <w:lang w:val="en-US" w:eastAsia="zh-CN"/>
              </w:rPr>
            </w:pPr>
            <w:r>
              <w:rPr>
                <w:rFonts w:hint="default"/>
                <w:lang w:val="en-US" w:eastAsia="zh-CN"/>
              </w:rPr>
              <w:t>□现场核查</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9.2.5</w:t>
            </w:r>
          </w:p>
        </w:tc>
        <w:tc>
          <w:tcPr>
            <w:tcW w:w="4412" w:type="dxa"/>
            <w:vAlign w:val="center"/>
          </w:tcPr>
          <w:p>
            <w:pPr>
              <w:rPr>
                <w:rFonts w:hint="default"/>
                <w:lang w:val="en-US" w:eastAsia="zh-CN"/>
              </w:rPr>
            </w:pPr>
            <w:r>
              <w:rPr>
                <w:rFonts w:hint="default"/>
                <w:lang w:val="en-US" w:eastAsia="zh-CN"/>
              </w:rPr>
              <w:t>采用符合工业化建造要求的结构体系与建筑构件，评价分值为10分，并按下列规则评分：</w:t>
            </w:r>
          </w:p>
          <w:p>
            <w:pPr>
              <w:rPr>
                <w:rFonts w:hint="default"/>
                <w:lang w:val="en-US" w:eastAsia="zh-CN"/>
              </w:rPr>
            </w:pPr>
            <w:r>
              <w:rPr>
                <w:rFonts w:hint="default"/>
                <w:lang w:val="en-US" w:eastAsia="zh-CN"/>
              </w:rPr>
              <w:t>主体结构采用钢结构、木结构，得10分；</w:t>
            </w:r>
          </w:p>
          <w:p>
            <w:pPr>
              <w:rPr>
                <w:rFonts w:hint="default"/>
                <w:lang w:val="en-US" w:eastAsia="zh-CN"/>
              </w:rPr>
            </w:pPr>
            <w:r>
              <w:rPr>
                <w:rFonts w:hint="default"/>
                <w:lang w:val="en-US" w:eastAsia="zh-CN"/>
              </w:rPr>
              <w:t>主体结构采用装配式混凝土结构，地上部分预制构件应用混凝土体积占混凝土总体积的比例达到35%，得5分；达到50%，得10分。</w:t>
            </w:r>
          </w:p>
        </w:tc>
        <w:tc>
          <w:tcPr>
            <w:tcW w:w="3713"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□相关计算书</w:t>
            </w:r>
          </w:p>
          <w:p>
            <w:pPr>
              <w:rPr>
                <w:rFonts w:hint="default"/>
                <w:lang w:val="en-US" w:eastAsia="zh-CN"/>
              </w:rPr>
            </w:pPr>
          </w:p>
        </w:tc>
        <w:tc>
          <w:tcPr>
            <w:tcW w:w="1612" w:type="dxa"/>
            <w:vAlign w:val="center"/>
          </w:tcPr>
          <w:p>
            <w:pPr>
              <w:rPr>
                <w:rFonts w:hint="default"/>
                <w:lang w:val="en-US" w:eastAsia="zh-CN"/>
              </w:rPr>
            </w:pPr>
            <w:r>
              <w:rPr>
                <w:rFonts w:hint="default"/>
                <w:lang w:val="en-US" w:eastAsia="zh-CN"/>
              </w:rPr>
              <w:t>得分：</w:t>
            </w: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9.2.8</w:t>
            </w:r>
          </w:p>
        </w:tc>
        <w:tc>
          <w:tcPr>
            <w:tcW w:w="4412" w:type="dxa"/>
            <w:vAlign w:val="center"/>
          </w:tcPr>
          <w:p>
            <w:pPr>
              <w:rPr>
                <w:rFonts w:hint="default"/>
                <w:lang w:val="en-US" w:eastAsia="zh-CN"/>
              </w:rPr>
            </w:pPr>
            <w:r>
              <w:rPr>
                <w:rFonts w:hint="default"/>
                <w:lang w:val="en-US" w:eastAsia="zh-CN"/>
              </w:rPr>
              <w:t>按照绿色施工的要求进行施工和管理，评价总分值为20分，并按下列规则分别评分并累计：</w:t>
            </w:r>
          </w:p>
          <w:p>
            <w:pPr>
              <w:rPr>
                <w:rFonts w:hint="default"/>
                <w:lang w:val="en-US" w:eastAsia="zh-CN"/>
              </w:rPr>
            </w:pPr>
            <w:r>
              <w:rPr>
                <w:rFonts w:hint="default"/>
                <w:lang w:val="en-US" w:eastAsia="zh-CN"/>
              </w:rPr>
              <w:t>1获得绿色施工优良等级或绿色施工示范工程认定，得8分；</w:t>
            </w:r>
          </w:p>
          <w:p>
            <w:pPr>
              <w:rPr>
                <w:rFonts w:hint="default"/>
                <w:lang w:val="en-US" w:eastAsia="zh-CN"/>
              </w:rPr>
            </w:pPr>
            <w:r>
              <w:rPr>
                <w:rFonts w:hint="default"/>
                <w:lang w:val="en-US" w:eastAsia="zh-CN"/>
              </w:rPr>
              <w:t>2采取措施减少预拌混凝土损耗，损耗率降低至1.0％，得4分；</w:t>
            </w:r>
          </w:p>
          <w:p>
            <w:pPr>
              <w:rPr>
                <w:rFonts w:hint="default"/>
                <w:lang w:val="en-US" w:eastAsia="zh-CN"/>
              </w:rPr>
            </w:pPr>
            <w:r>
              <w:rPr>
                <w:rFonts w:hint="default"/>
                <w:lang w:val="en-US" w:eastAsia="zh-CN"/>
              </w:rPr>
              <w:t>3采取措施减少现场加工钢筋损耗，损耗率降低至1.5％，得4分；</w:t>
            </w:r>
          </w:p>
          <w:p>
            <w:pPr>
              <w:rPr>
                <w:rFonts w:hint="default"/>
                <w:lang w:val="en-US" w:eastAsia="zh-CN"/>
              </w:rPr>
            </w:pPr>
            <w:r>
              <w:rPr>
                <w:rFonts w:hint="default"/>
                <w:lang w:val="en-US" w:eastAsia="zh-CN"/>
              </w:rPr>
              <w:t>4现浇混凝土构件釆用铝模等免墙面粉刷的模板体系，4分。</w:t>
            </w:r>
          </w:p>
        </w:tc>
        <w:tc>
          <w:tcPr>
            <w:tcW w:w="3713" w:type="dxa"/>
            <w:vAlign w:val="center"/>
          </w:tcPr>
          <w:p>
            <w:pPr>
              <w:rPr>
                <w:rFonts w:hint="default"/>
                <w:lang w:val="en-US" w:eastAsia="zh-CN"/>
              </w:rPr>
            </w:pPr>
            <w:r>
              <w:rPr>
                <w:rFonts w:hint="default"/>
                <w:lang w:val="en-US" w:eastAsia="zh-CN"/>
              </w:rPr>
              <w:t>□证书或认定文件</w:t>
            </w:r>
          </w:p>
          <w:p>
            <w:pPr>
              <w:rPr>
                <w:rFonts w:hint="default"/>
                <w:lang w:val="en-US" w:eastAsia="zh-CN"/>
              </w:rPr>
            </w:pPr>
            <w:r>
              <w:rPr>
                <w:rFonts w:hint="default"/>
                <w:lang w:val="en-US" w:eastAsia="zh-CN"/>
              </w:rPr>
              <w:t>□施工方案和过程控制、图片</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2" w:type="dxa"/>
            <w:vMerge w:val="continue"/>
            <w:vAlign w:val="center"/>
          </w:tcPr>
          <w:p>
            <w:pPr>
              <w:rPr>
                <w:rFonts w:hint="default"/>
                <w:lang w:val="en-US" w:eastAsia="zh-CN"/>
              </w:rPr>
            </w:pPr>
          </w:p>
        </w:tc>
        <w:tc>
          <w:tcPr>
            <w:tcW w:w="1088" w:type="dxa"/>
            <w:vAlign w:val="center"/>
          </w:tcPr>
          <w:p>
            <w:pPr>
              <w:rPr>
                <w:rFonts w:hint="default"/>
                <w:lang w:val="en-US" w:eastAsia="zh-CN"/>
              </w:rPr>
            </w:pPr>
            <w:r>
              <w:rPr>
                <w:rFonts w:hint="default"/>
                <w:lang w:val="en-US" w:eastAsia="zh-CN"/>
              </w:rPr>
              <w:t>9.2.9</w:t>
            </w:r>
          </w:p>
        </w:tc>
        <w:tc>
          <w:tcPr>
            <w:tcW w:w="4412" w:type="dxa"/>
            <w:vAlign w:val="center"/>
          </w:tcPr>
          <w:p>
            <w:pPr>
              <w:rPr>
                <w:rFonts w:hint="default"/>
                <w:lang w:val="en-US" w:eastAsia="zh-CN"/>
              </w:rPr>
            </w:pPr>
            <w:r>
              <w:rPr>
                <w:rFonts w:hint="default"/>
                <w:lang w:val="en-US" w:eastAsia="zh-CN"/>
              </w:rPr>
              <w:t>采用建设工程质量潜在缺陷保险产品，评价总分值为20分，并按下列规则分别评分并累计：</w:t>
            </w:r>
          </w:p>
          <w:p>
            <w:pPr>
              <w:rPr>
                <w:rFonts w:hint="default"/>
                <w:lang w:val="en-US" w:eastAsia="zh-CN"/>
              </w:rPr>
            </w:pPr>
            <w:r>
              <w:rPr>
                <w:rFonts w:hint="default"/>
                <w:lang w:val="en-US" w:eastAsia="zh-CN"/>
              </w:rPr>
              <w:t>保险承包范围包括地基基础工程、主体结构工程、屋面防水工程和其他土建工程的质量问题，得10分；</w:t>
            </w:r>
          </w:p>
          <w:p>
            <w:pPr>
              <w:rPr>
                <w:rFonts w:hint="default"/>
                <w:lang w:val="en-US" w:eastAsia="zh-CN"/>
              </w:rPr>
            </w:pPr>
            <w:r>
              <w:rPr>
                <w:rFonts w:hint="default"/>
                <w:lang w:val="en-US" w:eastAsia="zh-CN"/>
              </w:rPr>
              <w:t>保险承保范围包括装修工程、电气管线、上下水管线的安装工程，供热、供冷系统工程的质量问题，得10分。</w:t>
            </w:r>
          </w:p>
        </w:tc>
        <w:tc>
          <w:tcPr>
            <w:tcW w:w="3713" w:type="dxa"/>
            <w:vAlign w:val="center"/>
          </w:tcPr>
          <w:p>
            <w:pPr>
              <w:rPr>
                <w:rFonts w:hint="default"/>
                <w:lang w:val="en-US" w:eastAsia="zh-CN"/>
              </w:rPr>
            </w:pPr>
            <w:r>
              <w:rPr>
                <w:rFonts w:hint="default"/>
                <w:lang w:val="en-US" w:eastAsia="zh-CN"/>
              </w:rPr>
              <w:t>□建筑工程质量保险产品保单</w:t>
            </w:r>
          </w:p>
        </w:tc>
        <w:tc>
          <w:tcPr>
            <w:tcW w:w="1612" w:type="dxa"/>
            <w:vAlign w:val="center"/>
          </w:tcPr>
          <w:p>
            <w:pPr>
              <w:rPr>
                <w:rFonts w:hint="default"/>
                <w:lang w:val="en-US" w:eastAsia="zh-CN"/>
              </w:rPr>
            </w:pPr>
            <w:r>
              <w:rPr>
                <w:rFonts w:hint="default"/>
                <w:lang w:val="en-US" w:eastAsia="zh-CN"/>
              </w:rPr>
              <w:t>得分：</w:t>
            </w: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trPr>
        <w:tc>
          <w:tcPr>
            <w:tcW w:w="13112" w:type="dxa"/>
            <w:gridSpan w:val="6"/>
            <w:vAlign w:val="center"/>
          </w:tcPr>
          <w:p>
            <w:pPr>
              <w:rPr>
                <w:rFonts w:hint="default"/>
                <w:lang w:val="en-US" w:eastAsia="zh-CN"/>
              </w:rPr>
            </w:pPr>
            <w:r>
              <w:rPr>
                <w:rFonts w:hint="default"/>
                <w:lang w:val="en-US" w:eastAsia="zh-CN"/>
              </w:rPr>
              <w:t>评审结论：</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t>评审专家（签字）：</w:t>
            </w:r>
          </w:p>
          <w:p>
            <w:pPr>
              <w:rPr>
                <w:rFonts w:hint="default"/>
                <w:lang w:val="en-US" w:eastAsia="zh-CN"/>
              </w:rPr>
            </w:pPr>
          </w:p>
          <w:p>
            <w:pPr>
              <w:rPr>
                <w:rFonts w:hint="default"/>
                <w:lang w:val="en-US" w:eastAsia="zh-CN"/>
              </w:rPr>
            </w:pPr>
            <w:r>
              <w:rPr>
                <w:rFonts w:hint="default"/>
                <w:lang w:val="en-US" w:eastAsia="zh-CN"/>
              </w:rPr>
              <w:t>日期：</w:t>
            </w:r>
          </w:p>
          <w:p>
            <w:pPr>
              <w:rPr>
                <w:rFonts w:hint="default"/>
                <w:lang w:val="en-US" w:eastAsia="zh-CN"/>
              </w:rPr>
            </w:pPr>
          </w:p>
        </w:tc>
      </w:tr>
    </w:tbl>
    <w:p>
      <w:pPr>
        <w:jc w:val="center"/>
        <w:rPr>
          <w:rFonts w:hint="default"/>
          <w:sz w:val="24"/>
          <w:szCs w:val="32"/>
          <w:lang w:val="en-US" w:eastAsia="zh-CN"/>
        </w:rPr>
      </w:pPr>
    </w:p>
    <w:p>
      <w:pPr>
        <w:jc w:val="center"/>
        <w:rPr>
          <w:rFonts w:hint="default"/>
          <w:sz w:val="22"/>
          <w:szCs w:val="28"/>
          <w:lang w:val="en-US" w:eastAsia="zh-CN"/>
        </w:rPr>
      </w:pPr>
      <w:r>
        <w:rPr>
          <w:rFonts w:hint="default"/>
          <w:sz w:val="28"/>
          <w:szCs w:val="36"/>
          <w:lang w:val="en-US" w:eastAsia="zh-CN"/>
        </w:rPr>
        <w:t>绿色建筑工程验收专家评审意见表——建筑装饰装修</w:t>
      </w:r>
    </w:p>
    <w:tbl>
      <w:tblPr>
        <w:tblStyle w:val="3"/>
        <w:tblW w:w="13113"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13"/>
        <w:gridCol w:w="4387"/>
        <w:gridCol w:w="3738"/>
        <w:gridCol w:w="1600"/>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pPr>
              <w:rPr>
                <w:rFonts w:hint="default"/>
                <w:lang w:val="en-US" w:eastAsia="zh-CN"/>
              </w:rPr>
            </w:pPr>
            <w:r>
              <w:rPr>
                <w:rFonts w:hint="default"/>
                <w:lang w:val="en-US" w:eastAsia="zh-CN"/>
              </w:rPr>
              <w:t>类别</w:t>
            </w:r>
          </w:p>
        </w:tc>
        <w:tc>
          <w:tcPr>
            <w:tcW w:w="1113" w:type="dxa"/>
            <w:vAlign w:val="center"/>
          </w:tcPr>
          <w:p>
            <w:pPr>
              <w:rPr>
                <w:rFonts w:hint="default"/>
                <w:lang w:val="en-US" w:eastAsia="zh-CN"/>
              </w:rPr>
            </w:pPr>
            <w:r>
              <w:rPr>
                <w:rFonts w:hint="default"/>
                <w:lang w:val="en-US" w:eastAsia="zh-CN"/>
              </w:rPr>
              <w:t>评价标准条文编号</w:t>
            </w:r>
          </w:p>
        </w:tc>
        <w:tc>
          <w:tcPr>
            <w:tcW w:w="4387" w:type="dxa"/>
            <w:vAlign w:val="center"/>
          </w:tcPr>
          <w:p>
            <w:pPr>
              <w:rPr>
                <w:rFonts w:hint="default"/>
                <w:lang w:val="en-US" w:eastAsia="zh-CN"/>
              </w:rPr>
            </w:pPr>
            <w:r>
              <w:rPr>
                <w:rFonts w:hint="default"/>
                <w:lang w:val="en-US" w:eastAsia="zh-CN"/>
              </w:rPr>
              <w:t>条文内容及分值</w:t>
            </w:r>
          </w:p>
        </w:tc>
        <w:tc>
          <w:tcPr>
            <w:tcW w:w="3738" w:type="dxa"/>
            <w:vAlign w:val="center"/>
          </w:tcPr>
          <w:p>
            <w:pPr>
              <w:rPr>
                <w:rFonts w:hint="default"/>
                <w:lang w:val="en-US" w:eastAsia="zh-CN"/>
              </w:rPr>
            </w:pPr>
            <w:r>
              <w:rPr>
                <w:rFonts w:hint="default"/>
                <w:lang w:val="en-US" w:eastAsia="zh-CN"/>
              </w:rPr>
              <w:t>证明文件</w:t>
            </w:r>
          </w:p>
        </w:tc>
        <w:tc>
          <w:tcPr>
            <w:tcW w:w="1600" w:type="dxa"/>
            <w:vAlign w:val="center"/>
          </w:tcPr>
          <w:p>
            <w:pPr>
              <w:rPr>
                <w:rFonts w:hint="default"/>
                <w:lang w:val="en-US" w:eastAsia="zh-CN"/>
              </w:rPr>
            </w:pPr>
            <w:r>
              <w:rPr>
                <w:rFonts w:hint="default"/>
                <w:lang w:val="en-US" w:eastAsia="zh-CN"/>
              </w:rPr>
              <w:t>评审结果</w:t>
            </w:r>
          </w:p>
        </w:tc>
        <w:tc>
          <w:tcPr>
            <w:tcW w:w="1325" w:type="dxa"/>
            <w:vAlign w:val="center"/>
          </w:tcPr>
          <w:p>
            <w:pPr>
              <w:rPr>
                <w:rFonts w:hint="default"/>
                <w:lang w:val="en-US" w:eastAsia="zh-CN"/>
              </w:rPr>
            </w:pPr>
            <w:r>
              <w:rPr>
                <w:rFonts w:hint="default"/>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0" w:type="dxa"/>
            <w:vMerge w:val="restart"/>
            <w:vAlign w:val="center"/>
          </w:tcPr>
          <w:p>
            <w:pPr>
              <w:rPr>
                <w:rFonts w:hint="default"/>
                <w:lang w:val="en-US" w:eastAsia="zh-CN"/>
              </w:rPr>
            </w:pPr>
            <w:r>
              <w:rPr>
                <w:rFonts w:hint="default"/>
                <w:lang w:val="en-US" w:eastAsia="zh-CN"/>
              </w:rPr>
              <w:t>控制项</w:t>
            </w:r>
          </w:p>
        </w:tc>
        <w:tc>
          <w:tcPr>
            <w:tcW w:w="1113" w:type="dxa"/>
            <w:vAlign w:val="center"/>
          </w:tcPr>
          <w:p>
            <w:pPr>
              <w:rPr>
                <w:rFonts w:hint="default"/>
                <w:lang w:val="en-US" w:eastAsia="zh-CN"/>
              </w:rPr>
            </w:pPr>
            <w:r>
              <w:rPr>
                <w:rFonts w:hint="default"/>
                <w:lang w:val="en-US" w:eastAsia="zh-CN"/>
              </w:rPr>
              <w:t>4.1.5</w:t>
            </w:r>
          </w:p>
        </w:tc>
        <w:tc>
          <w:tcPr>
            <w:tcW w:w="4387" w:type="dxa"/>
            <w:vAlign w:val="center"/>
          </w:tcPr>
          <w:p>
            <w:pPr>
              <w:rPr>
                <w:rFonts w:hint="default"/>
                <w:lang w:val="en-US" w:eastAsia="zh-CN"/>
              </w:rPr>
            </w:pPr>
            <w:r>
              <w:rPr>
                <w:rFonts w:hint="default"/>
                <w:lang w:val="en-US" w:eastAsia="zh-CN"/>
              </w:rPr>
              <w:t>建筑外门窗必须安装牢固，其抗风压性能和水密性能应《塑料门窗工程技术规程》JGJ103、《铝合金门窗工程技术规范》JGJ214规定</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□门窗产品三性检测报告和外窗现场三性检测报告</w:t>
            </w:r>
          </w:p>
          <w:p>
            <w:pPr>
              <w:rPr>
                <w:rFonts w:hint="default"/>
                <w:lang w:val="en-US" w:eastAsia="zh-CN"/>
              </w:rPr>
            </w:pPr>
            <w:r>
              <w:rPr>
                <w:rFonts w:hint="default"/>
                <w:lang w:val="en-US" w:eastAsia="zh-CN"/>
              </w:rPr>
              <w:t>□施工工法说明文件</w:t>
            </w:r>
          </w:p>
        </w:tc>
        <w:tc>
          <w:tcPr>
            <w:tcW w:w="1600"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r>
              <w:rPr>
                <w:rFonts w:hint="default"/>
                <w:lang w:val="en-US" w:eastAsia="zh-CN"/>
              </w:rPr>
              <w:t>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4.1.6</w:t>
            </w:r>
          </w:p>
        </w:tc>
        <w:tc>
          <w:tcPr>
            <w:tcW w:w="4387" w:type="dxa"/>
            <w:vAlign w:val="center"/>
          </w:tcPr>
          <w:p>
            <w:pPr>
              <w:rPr>
                <w:rFonts w:hint="default"/>
                <w:lang w:val="en-US" w:eastAsia="zh-CN"/>
              </w:rPr>
            </w:pPr>
            <w:r>
              <w:rPr>
                <w:rFonts w:hint="default"/>
                <w:lang w:val="en-US" w:eastAsia="zh-CN"/>
              </w:rPr>
              <w:t>卫生间、浴室的地面应设置防水层，墙面、顶棚应设置防潮层</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□防水和防潮措施说明，产品合格证等质量证明文件</w:t>
            </w:r>
          </w:p>
        </w:tc>
        <w:tc>
          <w:tcPr>
            <w:tcW w:w="1600"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r>
              <w:rPr>
                <w:rFonts w:hint="default"/>
                <w:lang w:val="en-US" w:eastAsia="zh-CN"/>
              </w:rPr>
              <w:t>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4.1.7</w:t>
            </w:r>
          </w:p>
        </w:tc>
        <w:tc>
          <w:tcPr>
            <w:tcW w:w="4387" w:type="dxa"/>
            <w:vAlign w:val="center"/>
          </w:tcPr>
          <w:p>
            <w:pPr>
              <w:rPr>
                <w:rFonts w:hint="default"/>
                <w:lang w:val="en-US" w:eastAsia="zh-CN"/>
              </w:rPr>
            </w:pPr>
            <w:r>
              <w:rPr>
                <w:rFonts w:hint="default"/>
                <w:lang w:val="en-US" w:eastAsia="zh-CN"/>
              </w:rPr>
              <w:t>走廊、疏散通道等通行空间应满足紧急疏散、应急救护等要求，且应保持畅通</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□相关管理规定</w:t>
            </w:r>
          </w:p>
        </w:tc>
        <w:tc>
          <w:tcPr>
            <w:tcW w:w="1600"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r>
              <w:rPr>
                <w:rFonts w:hint="default"/>
                <w:lang w:val="en-US" w:eastAsia="zh-CN"/>
              </w:rPr>
              <w:t>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4.1.8</w:t>
            </w:r>
          </w:p>
        </w:tc>
        <w:tc>
          <w:tcPr>
            <w:tcW w:w="4387" w:type="dxa"/>
            <w:vAlign w:val="center"/>
          </w:tcPr>
          <w:p>
            <w:pPr>
              <w:rPr>
                <w:rFonts w:hint="default"/>
                <w:lang w:val="en-US" w:eastAsia="zh-CN"/>
              </w:rPr>
            </w:pPr>
            <w:r>
              <w:rPr>
                <w:rFonts w:hint="default"/>
                <w:lang w:val="en-US" w:eastAsia="zh-CN"/>
              </w:rPr>
              <w:t>应具有安全防护的警示和引导标示系统</w:t>
            </w:r>
          </w:p>
        </w:tc>
        <w:tc>
          <w:tcPr>
            <w:tcW w:w="3738" w:type="dxa"/>
            <w:vAlign w:val="center"/>
          </w:tcPr>
          <w:p>
            <w:pPr>
              <w:rPr>
                <w:rFonts w:hint="default"/>
                <w:lang w:val="en-US" w:eastAsia="zh-CN"/>
              </w:rPr>
            </w:pPr>
            <w:r>
              <w:rPr>
                <w:rFonts w:hint="default"/>
                <w:lang w:val="en-US" w:eastAsia="zh-CN"/>
              </w:rPr>
              <w:t>□标识系统设计与设置说明文件</w:t>
            </w:r>
          </w:p>
          <w:p>
            <w:pPr>
              <w:rPr>
                <w:rFonts w:hint="default"/>
                <w:lang w:val="en-US" w:eastAsia="zh-CN"/>
              </w:rPr>
            </w:pPr>
            <w:r>
              <w:rPr>
                <w:rFonts w:hint="default"/>
                <w:lang w:val="en-US" w:eastAsia="zh-CN"/>
              </w:rPr>
              <w:t>□相关影像材料</w:t>
            </w:r>
          </w:p>
        </w:tc>
        <w:tc>
          <w:tcPr>
            <w:tcW w:w="1600"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r>
              <w:rPr>
                <w:rFonts w:hint="default"/>
                <w:lang w:val="en-US" w:eastAsia="zh-CN"/>
              </w:rPr>
              <w:t>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 xml:space="preserve">5.1.1 </w:t>
            </w:r>
          </w:p>
        </w:tc>
        <w:tc>
          <w:tcPr>
            <w:tcW w:w="4387" w:type="dxa"/>
            <w:vAlign w:val="center"/>
          </w:tcPr>
          <w:p>
            <w:pPr>
              <w:rPr>
                <w:rFonts w:hint="default"/>
                <w:lang w:val="en-US" w:eastAsia="zh-CN"/>
              </w:rPr>
            </w:pPr>
            <w:r>
              <w:rPr>
                <w:rFonts w:hint="default"/>
                <w:lang w:val="en-US" w:eastAsia="zh-CN"/>
              </w:rPr>
              <w:t>室内空气中的氨、甲醛、苯、总挥发性有机物、氡等污染物浓度应符合现行国家标准《室内空气质量标准》GB/T 18883的有关规定。建筑室内和建筑主出入口处应禁止吸烟，并应在醒目位置设置禁烟标志。</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□相关说明文件（装修材料种类、用量，禁止吸烟措施）</w:t>
            </w:r>
          </w:p>
          <w:p>
            <w:pPr>
              <w:rPr>
                <w:rFonts w:hint="default"/>
                <w:lang w:val="en-US" w:eastAsia="zh-CN"/>
              </w:rPr>
            </w:pPr>
            <w:r>
              <w:rPr>
                <w:rFonts w:hint="default"/>
                <w:lang w:val="en-US" w:eastAsia="zh-CN"/>
              </w:rPr>
              <w:t>□预评估分析报告，□室内空气质量检测报告</w:t>
            </w:r>
          </w:p>
          <w:p>
            <w:pPr>
              <w:rPr>
                <w:rFonts w:hint="default"/>
                <w:lang w:val="en-US" w:eastAsia="zh-CN"/>
              </w:rPr>
            </w:pPr>
            <w:r>
              <w:rPr>
                <w:rFonts w:hint="default"/>
                <w:lang w:val="en-US" w:eastAsia="zh-CN"/>
              </w:rPr>
              <w:t>□禁烟标志</w:t>
            </w:r>
          </w:p>
        </w:tc>
        <w:tc>
          <w:tcPr>
            <w:tcW w:w="1600"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r>
              <w:rPr>
                <w:rFonts w:hint="default"/>
                <w:lang w:val="en-US" w:eastAsia="zh-CN"/>
              </w:rPr>
              <w:t>健康舒适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 xml:space="preserve">5.1.2 </w:t>
            </w:r>
          </w:p>
        </w:tc>
        <w:tc>
          <w:tcPr>
            <w:tcW w:w="4387" w:type="dxa"/>
            <w:vAlign w:val="center"/>
          </w:tcPr>
          <w:p>
            <w:pPr>
              <w:rPr>
                <w:rFonts w:hint="default"/>
                <w:lang w:val="en-US" w:eastAsia="zh-CN"/>
              </w:rPr>
            </w:pPr>
            <w:r>
              <w:rPr>
                <w:rFonts w:hint="default"/>
                <w:lang w:val="en-US" w:eastAsia="zh-CN"/>
              </w:rPr>
              <w:t>应采取措施避免厨房、餐厅、打印复印室、卫生间、地下车库等区域的空气和污染物串通到其他空间；应防止厨房、卫生间的排气倒灌。</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□气流组织模拟分析报告</w:t>
            </w:r>
          </w:p>
          <w:p>
            <w:pPr>
              <w:rPr>
                <w:rFonts w:hint="default"/>
                <w:lang w:val="en-US" w:eastAsia="zh-CN"/>
              </w:rPr>
            </w:pPr>
            <w:r>
              <w:rPr>
                <w:rFonts w:hint="default"/>
                <w:lang w:val="en-US" w:eastAsia="zh-CN"/>
              </w:rPr>
              <w:t>□相关产品性能检测报告或质量合格证书</w:t>
            </w:r>
          </w:p>
        </w:tc>
        <w:tc>
          <w:tcPr>
            <w:tcW w:w="1600"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r>
              <w:rPr>
                <w:rFonts w:hint="default"/>
                <w:lang w:val="en-US" w:eastAsia="zh-CN"/>
              </w:rPr>
              <w:t>健康舒适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5.1.4</w:t>
            </w:r>
          </w:p>
        </w:tc>
        <w:tc>
          <w:tcPr>
            <w:tcW w:w="4387" w:type="dxa"/>
            <w:vAlign w:val="center"/>
          </w:tcPr>
          <w:p>
            <w:pPr>
              <w:rPr>
                <w:rFonts w:hint="default"/>
                <w:lang w:val="en-US" w:eastAsia="zh-CN"/>
              </w:rPr>
            </w:pPr>
            <w:r>
              <w:rPr>
                <w:rFonts w:hint="default"/>
                <w:lang w:val="en-US" w:eastAsia="zh-CN"/>
              </w:rPr>
              <w:t>主要功能房间的室内噪声级和隔声性能应符合下列规定：</w:t>
            </w:r>
            <w:r>
              <w:rPr>
                <w:rFonts w:hint="default"/>
                <w:lang w:val="en-US" w:eastAsia="zh-CN"/>
              </w:rPr>
              <w:br w:type="textWrapping"/>
            </w:r>
            <w:r>
              <w:rPr>
                <w:rFonts w:hint="default"/>
                <w:lang w:val="en-US" w:eastAsia="zh-CN"/>
              </w:rPr>
              <w:t>1 室内噪声级应满足现行国家标准《民用建筑隔声设计规范》GB 50118中的低限要求；</w:t>
            </w:r>
            <w:r>
              <w:rPr>
                <w:rFonts w:hint="default"/>
                <w:lang w:val="en-US" w:eastAsia="zh-CN"/>
              </w:rPr>
              <w:br w:type="textWrapping"/>
            </w:r>
            <w:r>
              <w:rPr>
                <w:rFonts w:hint="default"/>
                <w:lang w:val="en-US" w:eastAsia="zh-CN"/>
              </w:rPr>
              <w:t>2 外墙、隔墙、楼板和门窗的隔声性能应满足现行国家标准《民用建筑隔声设计规范》GB 50118中的低限要求。</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□噪声分析报告</w:t>
            </w:r>
          </w:p>
          <w:p>
            <w:pPr>
              <w:rPr>
                <w:rFonts w:hint="default"/>
                <w:lang w:val="en-US" w:eastAsia="zh-CN"/>
              </w:rPr>
            </w:pPr>
            <w:r>
              <w:rPr>
                <w:rFonts w:hint="default"/>
                <w:lang w:val="en-US" w:eastAsia="zh-CN"/>
              </w:rPr>
              <w:t>□室内噪声级检测报告</w:t>
            </w:r>
          </w:p>
          <w:p>
            <w:pPr>
              <w:rPr>
                <w:rFonts w:hint="default"/>
                <w:lang w:val="en-US" w:eastAsia="zh-CN"/>
              </w:rPr>
            </w:pPr>
            <w:r>
              <w:rPr>
                <w:rFonts w:hint="default"/>
                <w:lang w:val="en-US" w:eastAsia="zh-CN"/>
              </w:rPr>
              <w:t>□构件隔声性能的现场检验报告</w:t>
            </w:r>
          </w:p>
          <w:p>
            <w:pPr>
              <w:rPr>
                <w:rFonts w:hint="default"/>
                <w:lang w:val="en-US" w:eastAsia="zh-CN"/>
              </w:rPr>
            </w:pPr>
            <w:r>
              <w:rPr>
                <w:rFonts w:hint="default"/>
                <w:lang w:val="en-US" w:eastAsia="zh-CN"/>
              </w:rPr>
              <w:t>□楼板撞击声隔声性能的现场检测报告</w:t>
            </w:r>
          </w:p>
        </w:tc>
        <w:tc>
          <w:tcPr>
            <w:tcW w:w="1600"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□一星级</w:t>
            </w:r>
          </w:p>
          <w:p>
            <w:pPr>
              <w:rPr>
                <w:rFonts w:hint="default"/>
                <w:lang w:val="en-US" w:eastAsia="zh-CN"/>
              </w:rPr>
            </w:pPr>
            <w:r>
              <w:rPr>
                <w:rFonts w:hint="default"/>
                <w:lang w:val="en-US" w:eastAsia="zh-CN"/>
              </w:rPr>
              <w:t>□二星级</w:t>
            </w:r>
          </w:p>
          <w:p>
            <w:pPr>
              <w:rPr>
                <w:rFonts w:hint="default"/>
                <w:lang w:val="en-US" w:eastAsia="zh-CN"/>
              </w:rPr>
            </w:pPr>
            <w:r>
              <w:rPr>
                <w:rFonts w:hint="default"/>
                <w:lang w:val="en-US" w:eastAsia="zh-CN"/>
              </w:rPr>
              <w:t>□三星级</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r>
              <w:rPr>
                <w:rFonts w:hint="default"/>
                <w:lang w:val="en-US" w:eastAsia="zh-CN"/>
              </w:rPr>
              <w:t>健康舒适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5.1.7</w:t>
            </w:r>
          </w:p>
        </w:tc>
        <w:tc>
          <w:tcPr>
            <w:tcW w:w="4387" w:type="dxa"/>
            <w:vAlign w:val="center"/>
          </w:tcPr>
          <w:p>
            <w:pPr>
              <w:rPr>
                <w:rFonts w:hint="default"/>
                <w:lang w:val="en-US" w:eastAsia="zh-CN"/>
              </w:rPr>
            </w:pPr>
            <w:r>
              <w:rPr>
                <w:rFonts w:hint="default"/>
                <w:lang w:val="en-US" w:eastAsia="zh-CN"/>
              </w:rPr>
              <w:t>围护结构热工性能应符合下列规定：</w:t>
            </w:r>
            <w:r>
              <w:rPr>
                <w:rFonts w:hint="default"/>
                <w:lang w:val="en-US" w:eastAsia="zh-CN"/>
              </w:rPr>
              <w:br w:type="textWrapping"/>
            </w:r>
            <w:r>
              <w:rPr>
                <w:rFonts w:hint="default"/>
                <w:lang w:val="en-US" w:eastAsia="zh-CN"/>
              </w:rPr>
              <w:t>1 在室内设计温度、湿度条件下，建筑非透光围护结构内表面不得结露；</w:t>
            </w:r>
            <w:r>
              <w:rPr>
                <w:rFonts w:hint="default"/>
                <w:lang w:val="en-US" w:eastAsia="zh-CN"/>
              </w:rPr>
              <w:br w:type="textWrapping"/>
            </w:r>
            <w:r>
              <w:rPr>
                <w:rFonts w:hint="default"/>
                <w:lang w:val="en-US" w:eastAsia="zh-CN"/>
              </w:rPr>
              <w:t>2 供暖建筑的屋面、外墙内部不应产生冷凝；</w:t>
            </w:r>
            <w:r>
              <w:rPr>
                <w:rFonts w:hint="default"/>
                <w:lang w:val="en-US" w:eastAsia="zh-CN"/>
              </w:rPr>
              <w:br w:type="textWrapping"/>
            </w:r>
            <w:r>
              <w:rPr>
                <w:rFonts w:hint="default"/>
                <w:lang w:val="en-US" w:eastAsia="zh-CN"/>
              </w:rPr>
              <w:t>3 屋顶和外墙隔热性能应满足现行国家标准《民用建筑热工设计规范》GB 50176的要求。</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□检查建筑构造与计算报告一致性</w:t>
            </w:r>
          </w:p>
          <w:p>
            <w:pPr>
              <w:rPr>
                <w:rFonts w:hint="default"/>
                <w:lang w:val="en-US" w:eastAsia="zh-CN"/>
              </w:rPr>
            </w:pPr>
          </w:p>
        </w:tc>
        <w:tc>
          <w:tcPr>
            <w:tcW w:w="1600"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r>
              <w:rPr>
                <w:rFonts w:hint="default"/>
                <w:lang w:val="en-US" w:eastAsia="zh-CN"/>
              </w:rPr>
              <w:t>健康舒适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0" w:type="dxa"/>
            <w:vMerge w:val="restart"/>
            <w:vAlign w:val="center"/>
          </w:tcPr>
          <w:p>
            <w:pPr>
              <w:rPr>
                <w:rFonts w:hint="default"/>
                <w:lang w:val="en-US" w:eastAsia="zh-CN"/>
              </w:rPr>
            </w:pPr>
            <w:r>
              <w:rPr>
                <w:rFonts w:hint="default"/>
                <w:lang w:val="en-US" w:eastAsia="zh-CN"/>
              </w:rPr>
              <w:t>评分项</w:t>
            </w:r>
          </w:p>
        </w:tc>
        <w:tc>
          <w:tcPr>
            <w:tcW w:w="1113" w:type="dxa"/>
            <w:vAlign w:val="center"/>
          </w:tcPr>
          <w:p>
            <w:pPr>
              <w:rPr>
                <w:rFonts w:hint="default"/>
                <w:lang w:val="en-US" w:eastAsia="zh-CN"/>
              </w:rPr>
            </w:pPr>
            <w:r>
              <w:rPr>
                <w:rFonts w:hint="default"/>
                <w:lang w:val="en-US" w:eastAsia="zh-CN"/>
              </w:rPr>
              <w:t>4.2.2</w:t>
            </w:r>
          </w:p>
        </w:tc>
        <w:tc>
          <w:tcPr>
            <w:tcW w:w="4387" w:type="dxa"/>
            <w:vAlign w:val="center"/>
          </w:tcPr>
          <w:p>
            <w:pPr>
              <w:rPr>
                <w:rFonts w:hint="default"/>
                <w:lang w:val="en-US" w:eastAsia="zh-CN"/>
              </w:rPr>
            </w:pPr>
            <w:r>
              <w:rPr>
                <w:rFonts w:hint="default"/>
                <w:lang w:val="en-US" w:eastAsia="zh-CN"/>
              </w:rPr>
              <w:t>采取保障人员安全的防护措施，评价总分值为15分，并按下列规则评分并累计：</w:t>
            </w:r>
          </w:p>
          <w:p>
            <w:pPr>
              <w:rPr>
                <w:rFonts w:hint="default"/>
                <w:lang w:val="en-US" w:eastAsia="zh-CN"/>
              </w:rPr>
            </w:pPr>
            <w:r>
              <w:rPr>
                <w:rFonts w:hint="default"/>
                <w:lang w:val="en-US" w:eastAsia="zh-CN"/>
              </w:rPr>
              <w:t>1采取措施提高阳台、外窗、窗台、防护栏杆等安全防护水平，得5分；</w:t>
            </w:r>
          </w:p>
          <w:p>
            <w:pPr>
              <w:rPr>
                <w:rFonts w:hint="default"/>
                <w:lang w:val="en-US" w:eastAsia="zh-CN"/>
              </w:rPr>
            </w:pPr>
            <w:r>
              <w:rPr>
                <w:rFonts w:hint="default"/>
                <w:lang w:val="en-US" w:eastAsia="zh-CN"/>
              </w:rPr>
              <w:t>2建筑物出入口均设外墙饰面、门窗玻璃意外脱落的防护措施，并与人员通道的遮阳、遮风或挡雨措施结合，得5分；</w:t>
            </w:r>
            <w:r>
              <w:rPr>
                <w:rFonts w:hint="default"/>
                <w:lang w:val="en-US" w:eastAsia="zh-CN"/>
              </w:rPr>
              <w:br w:type="textWrapping"/>
            </w:r>
            <w:r>
              <w:rPr>
                <w:rFonts w:hint="default"/>
                <w:lang w:val="en-US" w:eastAsia="zh-CN"/>
              </w:rPr>
              <w:t>3 利用场地或景观形成可降低坠物风险的缓冲区、隔离带，得5分。</w:t>
            </w:r>
          </w:p>
        </w:tc>
        <w:tc>
          <w:tcPr>
            <w:tcW w:w="3738" w:type="dxa"/>
            <w:vAlign w:val="center"/>
          </w:tcPr>
          <w:p>
            <w:pPr>
              <w:rPr>
                <w:rFonts w:hint="default"/>
                <w:lang w:val="en-US" w:eastAsia="zh-CN"/>
              </w:rPr>
            </w:pPr>
            <w:r>
              <w:rPr>
                <w:rFonts w:hint="default"/>
                <w:lang w:val="en-US" w:eastAsia="zh-CN"/>
              </w:rPr>
              <w:t>□相关竣工图</w:t>
            </w:r>
          </w:p>
        </w:tc>
        <w:tc>
          <w:tcPr>
            <w:tcW w:w="1600"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r>
              <w:rPr>
                <w:rFonts w:hint="default"/>
                <w:lang w:val="en-US" w:eastAsia="zh-CN"/>
              </w:rPr>
              <w:t>安全耐久</w:t>
            </w: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4.2.3</w:t>
            </w:r>
          </w:p>
        </w:tc>
        <w:tc>
          <w:tcPr>
            <w:tcW w:w="4387" w:type="dxa"/>
            <w:vAlign w:val="center"/>
          </w:tcPr>
          <w:p>
            <w:pPr>
              <w:rPr>
                <w:rFonts w:hint="default"/>
                <w:lang w:val="en-US" w:eastAsia="zh-CN"/>
              </w:rPr>
            </w:pPr>
            <w:r>
              <w:rPr>
                <w:rFonts w:hint="default"/>
                <w:lang w:val="en-US" w:eastAsia="zh-CN"/>
              </w:rPr>
              <w:t>采用具有安全防护功能的产品或配件，评价总分值为10分，并按下列规则分别评分并累计：</w:t>
            </w:r>
            <w:r>
              <w:rPr>
                <w:rFonts w:hint="default"/>
                <w:lang w:val="en-US" w:eastAsia="zh-CN"/>
              </w:rPr>
              <w:br w:type="textWrapping"/>
            </w:r>
            <w:r>
              <w:rPr>
                <w:rFonts w:hint="default"/>
                <w:lang w:val="en-US" w:eastAsia="zh-CN"/>
              </w:rPr>
              <w:t>1 采用具有安全防护功能的玻璃，得5分；</w:t>
            </w:r>
            <w:r>
              <w:rPr>
                <w:rFonts w:hint="default"/>
                <w:lang w:val="en-US" w:eastAsia="zh-CN"/>
              </w:rPr>
              <w:br w:type="textWrapping"/>
            </w:r>
            <w:r>
              <w:rPr>
                <w:rFonts w:hint="default"/>
                <w:lang w:val="en-US" w:eastAsia="zh-CN"/>
              </w:rPr>
              <w:t>2 采用具备防夹功能的门窗，得5分。</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□安全玻璃及门窗检测检验报告</w:t>
            </w:r>
          </w:p>
        </w:tc>
        <w:tc>
          <w:tcPr>
            <w:tcW w:w="1600"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r>
              <w:rPr>
                <w:rFonts w:hint="default"/>
                <w:lang w:val="en-US" w:eastAsia="zh-CN"/>
              </w:rPr>
              <w:t>安全耐久</w:t>
            </w: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 xml:space="preserve">4.2.4 </w:t>
            </w:r>
          </w:p>
        </w:tc>
        <w:tc>
          <w:tcPr>
            <w:tcW w:w="4387" w:type="dxa"/>
            <w:vAlign w:val="center"/>
          </w:tcPr>
          <w:p>
            <w:pPr>
              <w:rPr>
                <w:rFonts w:hint="default"/>
                <w:lang w:val="en-US" w:eastAsia="zh-CN"/>
              </w:rPr>
            </w:pPr>
            <w:r>
              <w:rPr>
                <w:rFonts w:hint="default"/>
                <w:lang w:val="en-US" w:eastAsia="zh-CN"/>
              </w:rPr>
              <w:t>室内外地面或路面设置防滑措施，评价总分值为10分，并按下列规则分别评分并累计：</w:t>
            </w:r>
            <w:r>
              <w:rPr>
                <w:rFonts w:hint="default"/>
                <w:lang w:val="en-US" w:eastAsia="zh-CN"/>
              </w:rPr>
              <w:br w:type="textWrapping"/>
            </w:r>
            <w:r>
              <w:rPr>
                <w:rFonts w:hint="default"/>
                <w:lang w:val="en-US" w:eastAsia="zh-CN"/>
              </w:rPr>
              <w:t>1 建筑出入口及平台、公共走廊、电梯门厅、厨房、浴室、卫生间等设置防滑措施，防滑等级不低于现行行业标准《建筑地面工程防滑技术规程》JGJ/T 331规定的Bd、Bw级，得3分；</w:t>
            </w:r>
            <w:r>
              <w:rPr>
                <w:rFonts w:hint="default"/>
                <w:lang w:val="en-US" w:eastAsia="zh-CN"/>
              </w:rPr>
              <w:br w:type="textWrapping"/>
            </w:r>
            <w:r>
              <w:rPr>
                <w:rFonts w:hint="default"/>
                <w:lang w:val="en-US" w:eastAsia="zh-CN"/>
              </w:rPr>
              <w:t>2 建筑室内外活动场所采用防滑地面，防滑等级达到现行行业标准《建筑地面工程防滑技术规程》JGJ/T 331规定的Ad、Aw级，得4分；</w:t>
            </w:r>
            <w:r>
              <w:rPr>
                <w:rFonts w:hint="default"/>
                <w:lang w:val="en-US" w:eastAsia="zh-CN"/>
              </w:rPr>
              <w:br w:type="textWrapping"/>
            </w:r>
            <w:r>
              <w:rPr>
                <w:rFonts w:hint="default"/>
                <w:lang w:val="en-US" w:eastAsia="zh-CN"/>
              </w:rPr>
              <w:t>3 建筑坡道、楼梯踏步防滑等级达到现行行业标准《建筑地面工程防滑技术规程》JGJ/T 331规定的Ad、Aw级或按水平地面等级提高一级，并采用防滑条等防滑构造技术措施，得3分。</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□防滑材料有关测试报告</w:t>
            </w:r>
          </w:p>
        </w:tc>
        <w:tc>
          <w:tcPr>
            <w:tcW w:w="1600"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r>
              <w:rPr>
                <w:rFonts w:hint="default"/>
                <w:lang w:val="en-US" w:eastAsia="zh-CN"/>
              </w:rPr>
              <w:t>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4.2.6</w:t>
            </w:r>
          </w:p>
        </w:tc>
        <w:tc>
          <w:tcPr>
            <w:tcW w:w="4387" w:type="dxa"/>
            <w:vAlign w:val="center"/>
          </w:tcPr>
          <w:p>
            <w:pPr>
              <w:rPr>
                <w:rFonts w:hint="default"/>
                <w:lang w:val="en-US" w:eastAsia="zh-CN"/>
              </w:rPr>
            </w:pPr>
            <w:r>
              <w:rPr>
                <w:rFonts w:hint="default"/>
                <w:lang w:val="en-US" w:eastAsia="zh-CN"/>
              </w:rPr>
              <w:t>4．2．6 采取提升建筑适变性的措施，评价总分值为18分，并按下列规则分别评分并累计：</w:t>
            </w:r>
            <w:r>
              <w:rPr>
                <w:rFonts w:hint="default"/>
                <w:lang w:val="en-US" w:eastAsia="zh-CN"/>
              </w:rPr>
              <w:br w:type="textWrapping"/>
            </w:r>
            <w:r>
              <w:rPr>
                <w:rFonts w:hint="default"/>
                <w:lang w:val="en-US" w:eastAsia="zh-CN"/>
              </w:rPr>
              <w:t>    1 采取通用开放、灵活可变的使用空间设计，或采取建筑使用功能可变措施，得7分；</w:t>
            </w:r>
            <w:r>
              <w:rPr>
                <w:rFonts w:hint="default"/>
                <w:lang w:val="en-US" w:eastAsia="zh-CN"/>
              </w:rPr>
              <w:br w:type="textWrapping"/>
            </w:r>
            <w:r>
              <w:rPr>
                <w:rFonts w:hint="default"/>
                <w:lang w:val="en-US" w:eastAsia="zh-CN"/>
              </w:rPr>
              <w:t>    2 建筑结构与建筑设备管线分离，得7分；</w:t>
            </w:r>
            <w:r>
              <w:rPr>
                <w:rFonts w:hint="default"/>
                <w:lang w:val="en-US" w:eastAsia="zh-CN"/>
              </w:rPr>
              <w:br w:type="textWrapping"/>
            </w:r>
            <w:r>
              <w:rPr>
                <w:rFonts w:hint="default"/>
                <w:lang w:val="en-US" w:eastAsia="zh-CN"/>
              </w:rPr>
              <w:t>    3 采用与建筑功能和空间变化相适应的设备设施布置方式或控制方式，得4分。</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评价阶段查阅相关竣工图、建筑适变性提升措施的设计说明。</w:t>
            </w:r>
          </w:p>
        </w:tc>
        <w:tc>
          <w:tcPr>
            <w:tcW w:w="1600"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r>
              <w:rPr>
                <w:rFonts w:hint="default"/>
                <w:lang w:val="en-US" w:eastAsia="zh-CN"/>
              </w:rPr>
              <w:t>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4.2.7</w:t>
            </w:r>
          </w:p>
        </w:tc>
        <w:tc>
          <w:tcPr>
            <w:tcW w:w="4387" w:type="dxa"/>
            <w:vAlign w:val="center"/>
          </w:tcPr>
          <w:p>
            <w:pPr>
              <w:rPr>
                <w:rFonts w:hint="default"/>
                <w:lang w:val="en-US" w:eastAsia="zh-CN"/>
              </w:rPr>
            </w:pPr>
            <w:r>
              <w:rPr>
                <w:rFonts w:hint="default"/>
                <w:lang w:val="en-US" w:eastAsia="zh-CN"/>
              </w:rPr>
              <w:t>采取提升建筑部品部件耐久性的措施，评价总分值为10分，并按下列规则分别评分并累计：</w:t>
            </w:r>
            <w:r>
              <w:rPr>
                <w:rFonts w:hint="default"/>
                <w:lang w:val="en-US" w:eastAsia="zh-CN"/>
              </w:rPr>
              <w:br w:type="textWrapping"/>
            </w:r>
            <w:r>
              <w:rPr>
                <w:rFonts w:hint="default"/>
                <w:lang w:val="en-US" w:eastAsia="zh-CN"/>
              </w:rPr>
              <w:t>1 使用耐腐蚀、抗老化、耐久性能好的管材、管线、管件，得5分；</w:t>
            </w:r>
            <w:r>
              <w:rPr>
                <w:rFonts w:hint="default"/>
                <w:lang w:val="en-US" w:eastAsia="zh-CN"/>
              </w:rPr>
              <w:br w:type="textWrapping"/>
            </w:r>
            <w:r>
              <w:rPr>
                <w:rFonts w:hint="default"/>
                <w:lang w:val="en-US" w:eastAsia="zh-CN"/>
              </w:rPr>
              <w:t>2 活动配件选用长寿命产品，并考虑部品组合的同寿命性；不同使用寿命的部品组合时，采用便于分别拆换、更新和升级的构造，得5分。</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□产品合格证等质量证明文件</w:t>
            </w:r>
          </w:p>
        </w:tc>
        <w:tc>
          <w:tcPr>
            <w:tcW w:w="1600"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r>
              <w:rPr>
                <w:rFonts w:hint="default"/>
                <w:lang w:val="en-US" w:eastAsia="zh-CN"/>
              </w:rPr>
              <w:t>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 xml:space="preserve">4.2.8 </w:t>
            </w:r>
          </w:p>
        </w:tc>
        <w:tc>
          <w:tcPr>
            <w:tcW w:w="4387" w:type="dxa"/>
            <w:vAlign w:val="center"/>
          </w:tcPr>
          <w:p>
            <w:pPr>
              <w:rPr>
                <w:rFonts w:hint="default"/>
                <w:lang w:val="en-US" w:eastAsia="zh-CN"/>
              </w:rPr>
            </w:pPr>
            <w:r>
              <w:rPr>
                <w:rFonts w:hint="default"/>
                <w:lang w:val="en-US" w:eastAsia="zh-CN"/>
              </w:rPr>
              <w:t>提高建筑结构材料的耐久性，评价总分值为10分，并按下列规则评分：</w:t>
            </w:r>
            <w:r>
              <w:rPr>
                <w:rFonts w:hint="default"/>
                <w:lang w:val="en-US" w:eastAsia="zh-CN"/>
              </w:rPr>
              <w:br w:type="textWrapping"/>
            </w:r>
            <w:r>
              <w:rPr>
                <w:rFonts w:hint="default"/>
                <w:lang w:val="en-US" w:eastAsia="zh-CN"/>
              </w:rPr>
              <w:t>1 按100年进行耐久性设计，得10分。</w:t>
            </w:r>
            <w:r>
              <w:rPr>
                <w:rFonts w:hint="default"/>
                <w:lang w:val="en-US" w:eastAsia="zh-CN"/>
              </w:rPr>
              <w:br w:type="textWrapping"/>
            </w:r>
            <w:r>
              <w:rPr>
                <w:rFonts w:hint="default"/>
                <w:lang w:val="en-US" w:eastAsia="zh-CN"/>
              </w:rPr>
              <w:t>2 采用耐久性能好的建筑结构材料，满足下列条件之一，得10分：</w:t>
            </w:r>
            <w:r>
              <w:rPr>
                <w:rFonts w:hint="default"/>
                <w:lang w:val="en-US" w:eastAsia="zh-CN"/>
              </w:rPr>
              <w:br w:type="textWrapping"/>
            </w:r>
            <w:r>
              <w:rPr>
                <w:rFonts w:hint="default"/>
                <w:lang w:val="en-US" w:eastAsia="zh-CN"/>
              </w:rPr>
              <w:t> 1)对于混凝土构件，提高钢筋保护层厚度或采用高耐久混凝土；</w:t>
            </w:r>
            <w:r>
              <w:rPr>
                <w:rFonts w:hint="default"/>
                <w:lang w:val="en-US" w:eastAsia="zh-CN"/>
              </w:rPr>
              <w:br w:type="textWrapping"/>
            </w:r>
            <w:r>
              <w:rPr>
                <w:rFonts w:hint="default"/>
                <w:lang w:val="en-US" w:eastAsia="zh-CN"/>
              </w:rPr>
              <w:t> 2)对于钢构件，采用耐候结构钢及耐候型防腐涂料；</w:t>
            </w:r>
            <w:r>
              <w:rPr>
                <w:rFonts w:hint="default"/>
                <w:lang w:val="en-US" w:eastAsia="zh-CN"/>
              </w:rPr>
              <w:br w:type="textWrapping"/>
            </w:r>
            <w:r>
              <w:rPr>
                <w:rFonts w:hint="default"/>
                <w:lang w:val="en-US" w:eastAsia="zh-CN"/>
              </w:rPr>
              <w:t> 3)对于木构件，采用防腐木材、耐久木材或耐久木制品。</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□材料用量计算书</w:t>
            </w:r>
          </w:p>
          <w:p>
            <w:pPr>
              <w:rPr>
                <w:rFonts w:hint="default"/>
                <w:lang w:val="en-US" w:eastAsia="zh-CN"/>
              </w:rPr>
            </w:pPr>
            <w:r>
              <w:rPr>
                <w:rFonts w:hint="default"/>
                <w:lang w:val="en-US" w:eastAsia="zh-CN"/>
              </w:rPr>
              <w:t>□材料决算清单</w:t>
            </w:r>
          </w:p>
          <w:p>
            <w:pPr>
              <w:rPr>
                <w:rFonts w:hint="default"/>
                <w:lang w:val="en-US" w:eastAsia="zh-CN"/>
              </w:rPr>
            </w:pPr>
            <w:r>
              <w:rPr>
                <w:rFonts w:hint="default"/>
                <w:lang w:val="en-US" w:eastAsia="zh-CN"/>
              </w:rPr>
              <w:t>□产品合格证等质量证明文件</w:t>
            </w:r>
          </w:p>
        </w:tc>
        <w:tc>
          <w:tcPr>
            <w:tcW w:w="1600"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r>
              <w:rPr>
                <w:rFonts w:hint="default"/>
                <w:lang w:val="en-US" w:eastAsia="zh-CN"/>
              </w:rPr>
              <w:t>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4.2.9</w:t>
            </w:r>
          </w:p>
        </w:tc>
        <w:tc>
          <w:tcPr>
            <w:tcW w:w="4387" w:type="dxa"/>
            <w:vAlign w:val="center"/>
          </w:tcPr>
          <w:p>
            <w:pPr>
              <w:rPr>
                <w:rFonts w:hint="default"/>
                <w:lang w:val="en-US" w:eastAsia="zh-CN"/>
              </w:rPr>
            </w:pPr>
            <w:r>
              <w:rPr>
                <w:rFonts w:hint="default"/>
                <w:lang w:val="en-US" w:eastAsia="zh-CN"/>
              </w:rPr>
              <w:t xml:space="preserve"> 合理采用耐久性好、易维护的装饰装修建筑材料，评价总分值为9分，并按下列规则分别评分并累计：</w:t>
            </w:r>
            <w:r>
              <w:rPr>
                <w:rFonts w:hint="default"/>
                <w:lang w:val="en-US" w:eastAsia="zh-CN"/>
              </w:rPr>
              <w:br w:type="textWrapping"/>
            </w:r>
            <w:r>
              <w:rPr>
                <w:rFonts w:hint="default"/>
                <w:lang w:val="en-US" w:eastAsia="zh-CN"/>
              </w:rPr>
              <w:t>1 采用耐久性好的外饰面材料，得3分；</w:t>
            </w:r>
            <w:r>
              <w:rPr>
                <w:rFonts w:hint="default"/>
                <w:lang w:val="en-US" w:eastAsia="zh-CN"/>
              </w:rPr>
              <w:br w:type="textWrapping"/>
            </w:r>
            <w:r>
              <w:rPr>
                <w:rFonts w:hint="default"/>
                <w:lang w:val="en-US" w:eastAsia="zh-CN"/>
              </w:rPr>
              <w:t>2 采用耐久性好的防水和密封材料，得3分；</w:t>
            </w:r>
            <w:r>
              <w:rPr>
                <w:rFonts w:hint="default"/>
                <w:lang w:val="en-US" w:eastAsia="zh-CN"/>
              </w:rPr>
              <w:br w:type="textWrapping"/>
            </w:r>
            <w:r>
              <w:rPr>
                <w:rFonts w:hint="default"/>
                <w:lang w:val="en-US" w:eastAsia="zh-CN"/>
              </w:rPr>
              <w:t>3 采用耐久性好、易维护的室内装饰装修材料，得3分。</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□材料决算清单</w:t>
            </w:r>
          </w:p>
          <w:p>
            <w:pPr>
              <w:rPr>
                <w:rFonts w:hint="default"/>
                <w:lang w:val="en-US" w:eastAsia="zh-CN"/>
              </w:rPr>
            </w:pPr>
            <w:r>
              <w:rPr>
                <w:rFonts w:hint="default"/>
                <w:lang w:val="en-US" w:eastAsia="zh-CN"/>
              </w:rPr>
              <w:t>□材料检测报告</w:t>
            </w:r>
          </w:p>
          <w:p>
            <w:pPr>
              <w:rPr>
                <w:rFonts w:hint="default"/>
                <w:lang w:val="en-US" w:eastAsia="zh-CN"/>
              </w:rPr>
            </w:pPr>
            <w:r>
              <w:rPr>
                <w:rFonts w:hint="default"/>
                <w:lang w:val="en-US" w:eastAsia="zh-CN"/>
              </w:rPr>
              <w:t>□材料耐久性证明</w:t>
            </w:r>
          </w:p>
          <w:p>
            <w:pPr>
              <w:rPr>
                <w:rFonts w:hint="default"/>
                <w:lang w:val="en-US" w:eastAsia="zh-CN"/>
              </w:rPr>
            </w:pPr>
          </w:p>
        </w:tc>
        <w:tc>
          <w:tcPr>
            <w:tcW w:w="1600"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r>
              <w:rPr>
                <w:rFonts w:hint="default"/>
                <w:lang w:val="en-US" w:eastAsia="zh-CN"/>
              </w:rPr>
              <w:t>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 xml:space="preserve">5.2.1 </w:t>
            </w:r>
          </w:p>
        </w:tc>
        <w:tc>
          <w:tcPr>
            <w:tcW w:w="4387" w:type="dxa"/>
            <w:vAlign w:val="center"/>
          </w:tcPr>
          <w:p>
            <w:pPr>
              <w:rPr>
                <w:rFonts w:hint="default"/>
                <w:lang w:val="en-US" w:eastAsia="zh-CN"/>
              </w:rPr>
            </w:pPr>
            <w:r>
              <w:rPr>
                <w:rFonts w:hint="default"/>
                <w:lang w:val="en-US" w:eastAsia="zh-CN"/>
              </w:rPr>
              <w:t>控制室内主要空气污染物的浓度，评价总分值为12分，并按下列规则分别评分并累计：</w:t>
            </w:r>
            <w:r>
              <w:rPr>
                <w:rFonts w:hint="default"/>
                <w:lang w:val="en-US" w:eastAsia="zh-CN"/>
              </w:rPr>
              <w:br w:type="textWrapping"/>
            </w:r>
            <w:r>
              <w:rPr>
                <w:rFonts w:hint="default"/>
                <w:lang w:val="en-US" w:eastAsia="zh-CN"/>
              </w:rPr>
              <w:t>1 氨、甲醛、苯、总挥发性有机物、氡等污染物浓度低于现行国家标准《室内空气质量标准》GB/T 18883规定限值的10％，得3分；低于20％，得6分；</w:t>
            </w:r>
            <w:r>
              <w:rPr>
                <w:rFonts w:hint="default"/>
                <w:lang w:val="en-US" w:eastAsia="zh-CN"/>
              </w:rPr>
              <w:br w:type="textWrapping"/>
            </w:r>
            <w:r>
              <w:rPr>
                <w:rFonts w:hint="default"/>
                <w:lang w:val="en-US" w:eastAsia="zh-CN"/>
              </w:rPr>
              <w:t>2 室内PM2.5年均浓度不高于25μg/m3，且室内PM10年均浓度不高于50μg/m3，得6分。</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□室内空气质量现场检测报告</w:t>
            </w:r>
          </w:p>
        </w:tc>
        <w:tc>
          <w:tcPr>
            <w:tcW w:w="1600"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□一星级</w:t>
            </w:r>
          </w:p>
          <w:p>
            <w:pPr>
              <w:rPr>
                <w:rFonts w:hint="default"/>
                <w:lang w:val="en-US" w:eastAsia="zh-CN"/>
              </w:rPr>
            </w:pPr>
            <w:r>
              <w:rPr>
                <w:rFonts w:hint="default"/>
                <w:lang w:val="en-US" w:eastAsia="zh-CN"/>
              </w:rPr>
              <w:t>□二星级</w:t>
            </w:r>
          </w:p>
          <w:p>
            <w:pPr>
              <w:rPr>
                <w:rFonts w:hint="default"/>
                <w:lang w:val="en-US" w:eastAsia="zh-CN"/>
              </w:rPr>
            </w:pPr>
            <w:r>
              <w:rPr>
                <w:rFonts w:hint="default"/>
                <w:lang w:val="en-US" w:eastAsia="zh-CN"/>
              </w:rPr>
              <w:t>□三星级</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r>
              <w:rPr>
                <w:rFonts w:hint="default"/>
                <w:lang w:val="en-US" w:eastAsia="zh-CN"/>
              </w:rPr>
              <w:t>健康舒适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5.2.2</w:t>
            </w:r>
          </w:p>
        </w:tc>
        <w:tc>
          <w:tcPr>
            <w:tcW w:w="4387" w:type="dxa"/>
            <w:vAlign w:val="center"/>
          </w:tcPr>
          <w:p>
            <w:pPr>
              <w:rPr>
                <w:rFonts w:hint="default"/>
                <w:lang w:val="en-US" w:eastAsia="zh-CN"/>
              </w:rPr>
            </w:pPr>
            <w:r>
              <w:rPr>
                <w:rFonts w:hint="default"/>
                <w:lang w:val="en-US" w:eastAsia="zh-CN"/>
              </w:rPr>
              <w:t>选用的装饰装修材料满足国家现行绿色产品评价标准中对有害物质限量的要求，评价总分值为8分。选用满足要求的装饰装修材料达到3类及以上，得5分；达到5类及以上，得8分。</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□工程决算材料清单</w:t>
            </w:r>
          </w:p>
          <w:p>
            <w:pPr>
              <w:rPr>
                <w:rFonts w:hint="default"/>
                <w:lang w:val="en-US" w:eastAsia="zh-CN"/>
              </w:rPr>
            </w:pPr>
            <w:r>
              <w:rPr>
                <w:rFonts w:hint="default"/>
                <w:lang w:val="en-US" w:eastAsia="zh-CN"/>
              </w:rPr>
              <w:t>□产品检测报告</w:t>
            </w:r>
          </w:p>
        </w:tc>
        <w:tc>
          <w:tcPr>
            <w:tcW w:w="1600"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 xml:space="preserve">5.2.6 </w:t>
            </w:r>
          </w:p>
        </w:tc>
        <w:tc>
          <w:tcPr>
            <w:tcW w:w="4387" w:type="dxa"/>
            <w:vAlign w:val="center"/>
          </w:tcPr>
          <w:p>
            <w:pPr>
              <w:rPr>
                <w:rFonts w:hint="default"/>
                <w:lang w:val="en-US" w:eastAsia="zh-CN"/>
              </w:rPr>
            </w:pPr>
            <w:r>
              <w:rPr>
                <w:rFonts w:hint="default"/>
                <w:lang w:val="en-US" w:eastAsia="zh-CN"/>
              </w:rPr>
              <w:t>采取措施优化主要功能房间的室内声环境，评价总分值为8分。噪声级达到现行国家标准《民用建筑隔声设计规范》GB 50118中的低限标准限值和高要求标准限值的平均值，得4分；达到高要求标准限值，得8分。</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□室内噪声检测报告</w:t>
            </w:r>
          </w:p>
        </w:tc>
        <w:tc>
          <w:tcPr>
            <w:tcW w:w="1600"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5"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 xml:space="preserve">5.2.7 </w:t>
            </w:r>
          </w:p>
        </w:tc>
        <w:tc>
          <w:tcPr>
            <w:tcW w:w="4387" w:type="dxa"/>
            <w:vAlign w:val="center"/>
          </w:tcPr>
          <w:p>
            <w:pPr>
              <w:rPr>
                <w:rFonts w:hint="default"/>
                <w:lang w:val="en-US" w:eastAsia="zh-CN"/>
              </w:rPr>
            </w:pPr>
            <w:r>
              <w:rPr>
                <w:rFonts w:hint="default"/>
                <w:lang w:val="en-US" w:eastAsia="zh-CN"/>
              </w:rPr>
              <w:t>主要功能房间的隔声性能良好，评价总分值为10分，并按下列规则分别评分并累计：</w:t>
            </w:r>
            <w:r>
              <w:rPr>
                <w:rFonts w:hint="default"/>
                <w:lang w:val="en-US" w:eastAsia="zh-CN"/>
              </w:rPr>
              <w:br w:type="textWrapping"/>
            </w:r>
            <w:r>
              <w:rPr>
                <w:rFonts w:hint="default"/>
                <w:lang w:val="en-US" w:eastAsia="zh-CN"/>
              </w:rPr>
              <w:t>1 构件及相邻房间之间的空气声隔声性能达到现行国家标准《民用建筑隔声设计规范》GB 50118中的低限标准限值和高要求标准限值的平均值，得3分；达到高要求标准限值，得5分；</w:t>
            </w:r>
            <w:r>
              <w:rPr>
                <w:rFonts w:hint="default"/>
                <w:lang w:val="en-US" w:eastAsia="zh-CN"/>
              </w:rPr>
              <w:br w:type="textWrapping"/>
            </w:r>
            <w:r>
              <w:rPr>
                <w:rFonts w:hint="default"/>
                <w:lang w:val="en-US" w:eastAsia="zh-CN"/>
              </w:rPr>
              <w:t>2 楼板的撞击声隔声性能达到现行国家标准《民用建筑隔声设计规范》GB 50118中的低限标准限值和高要求标准限值的平均值，得3分；达到高要求标准限值，得5分。</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□构件隔声性能的现场检验报告</w:t>
            </w:r>
          </w:p>
          <w:p>
            <w:pPr>
              <w:rPr>
                <w:rFonts w:hint="default"/>
                <w:lang w:val="en-US" w:eastAsia="zh-CN"/>
              </w:rPr>
            </w:pPr>
            <w:r>
              <w:rPr>
                <w:rFonts w:hint="default"/>
                <w:lang w:val="en-US" w:eastAsia="zh-CN"/>
              </w:rPr>
              <w:t>□楼板撞击声隔声性能的现场检测报告</w:t>
            </w:r>
          </w:p>
        </w:tc>
        <w:tc>
          <w:tcPr>
            <w:tcW w:w="1600"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 xml:space="preserve">5．2．8 </w:t>
            </w:r>
          </w:p>
        </w:tc>
        <w:tc>
          <w:tcPr>
            <w:tcW w:w="4387" w:type="dxa"/>
            <w:vAlign w:val="center"/>
          </w:tcPr>
          <w:p>
            <w:pPr>
              <w:rPr>
                <w:rFonts w:hint="default"/>
                <w:lang w:val="en-US" w:eastAsia="zh-CN"/>
              </w:rPr>
            </w:pPr>
            <w:r>
              <w:rPr>
                <w:rFonts w:hint="default"/>
                <w:lang w:val="en-US" w:eastAsia="zh-CN"/>
              </w:rPr>
              <w:t>充分利用天然光，评价总分值为12分，并按下列规则分别评分并累计：</w:t>
            </w:r>
            <w:r>
              <w:rPr>
                <w:rFonts w:hint="default"/>
                <w:lang w:val="en-US" w:eastAsia="zh-CN"/>
              </w:rPr>
              <w:br w:type="textWrapping"/>
            </w:r>
            <w:r>
              <w:rPr>
                <w:rFonts w:hint="default"/>
                <w:lang w:val="en-US" w:eastAsia="zh-CN"/>
              </w:rPr>
              <w:t>    1 住宅建筑室内主要功能空间至少60％面积比例区域，其采光照度值不低于300lx的小时数平均不少于8h/d，得9分。</w:t>
            </w:r>
            <w:r>
              <w:rPr>
                <w:rFonts w:hint="default"/>
                <w:lang w:val="en-US" w:eastAsia="zh-CN"/>
              </w:rPr>
              <w:br w:type="textWrapping"/>
            </w:r>
            <w:r>
              <w:rPr>
                <w:rFonts w:hint="default"/>
                <w:lang w:val="en-US" w:eastAsia="zh-CN"/>
              </w:rPr>
              <w:t>    2 公共建筑按下列规则分别评分并累计：</w:t>
            </w:r>
            <w:r>
              <w:rPr>
                <w:rFonts w:hint="default"/>
                <w:lang w:val="en-US" w:eastAsia="zh-CN"/>
              </w:rPr>
              <w:br w:type="textWrapping"/>
            </w:r>
            <w:r>
              <w:rPr>
                <w:rFonts w:hint="default"/>
                <w:lang w:val="en-US" w:eastAsia="zh-CN"/>
              </w:rPr>
              <w:t>     1)内区采光系数满足采光要求的面积比例达到60％，得3分；</w:t>
            </w:r>
            <w:r>
              <w:rPr>
                <w:rFonts w:hint="default"/>
                <w:lang w:val="en-US" w:eastAsia="zh-CN"/>
              </w:rPr>
              <w:br w:type="textWrapping"/>
            </w:r>
            <w:r>
              <w:rPr>
                <w:rFonts w:hint="default"/>
                <w:lang w:val="en-US" w:eastAsia="zh-CN"/>
              </w:rPr>
              <w:t>     2)地下空间平均采光系数不小于0．5％的面积与地下室首层面积的比例达到10％以上，得3分；</w:t>
            </w:r>
            <w:r>
              <w:rPr>
                <w:rFonts w:hint="default"/>
                <w:lang w:val="en-US" w:eastAsia="zh-CN"/>
              </w:rPr>
              <w:br w:type="textWrapping"/>
            </w:r>
            <w:r>
              <w:rPr>
                <w:rFonts w:hint="default"/>
                <w:lang w:val="en-US" w:eastAsia="zh-CN"/>
              </w:rPr>
              <w:t>     3)室内主要功能空间至少60％面积比例区域的采光照度值不低于采光要求的小时数平均不少于4h/d，得3分。</w:t>
            </w:r>
            <w:r>
              <w:rPr>
                <w:rFonts w:hint="default"/>
                <w:lang w:val="en-US" w:eastAsia="zh-CN"/>
              </w:rPr>
              <w:br w:type="textWrapping"/>
            </w:r>
            <w:r>
              <w:rPr>
                <w:rFonts w:hint="default"/>
                <w:lang w:val="en-US" w:eastAsia="zh-CN"/>
              </w:rPr>
              <w:t>    3 主要功能房间有眩光控制措施，得3分。</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查阅相关竣工图、计算书、采光检测报告。</w:t>
            </w:r>
          </w:p>
        </w:tc>
        <w:tc>
          <w:tcPr>
            <w:tcW w:w="1600"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5．2．10</w:t>
            </w:r>
          </w:p>
        </w:tc>
        <w:tc>
          <w:tcPr>
            <w:tcW w:w="4387" w:type="dxa"/>
            <w:vAlign w:val="center"/>
          </w:tcPr>
          <w:p>
            <w:pPr>
              <w:rPr>
                <w:rFonts w:hint="default"/>
                <w:lang w:val="en-US" w:eastAsia="zh-CN"/>
              </w:rPr>
            </w:pPr>
            <w:r>
              <w:rPr>
                <w:rFonts w:hint="default"/>
                <w:lang w:val="en-US" w:eastAsia="zh-CN"/>
              </w:rPr>
              <w:t xml:space="preserve"> 优化建筑空间和平面布局，改善自然通风效果，评价总分值为8分，并按下列规则评分：</w:t>
            </w:r>
            <w:r>
              <w:rPr>
                <w:rFonts w:hint="default"/>
                <w:lang w:val="en-US" w:eastAsia="zh-CN"/>
              </w:rPr>
              <w:br w:type="textWrapping"/>
            </w:r>
            <w:r>
              <w:rPr>
                <w:rFonts w:hint="default"/>
                <w:lang w:val="en-US" w:eastAsia="zh-CN"/>
              </w:rPr>
              <w:t>    1 住宅建筑：通风开口面积与房间地板面积的比例在夏热冬暖地区达到12％，在夏热冬冷地区达到8％，在其他地区达到5％，得5分；每再增加2％，再得1分，最高得8分。</w:t>
            </w:r>
            <w:r>
              <w:rPr>
                <w:rFonts w:hint="default"/>
                <w:lang w:val="en-US" w:eastAsia="zh-CN"/>
              </w:rPr>
              <w:br w:type="textWrapping"/>
            </w:r>
            <w:r>
              <w:rPr>
                <w:rFonts w:hint="default"/>
                <w:lang w:val="en-US" w:eastAsia="zh-CN"/>
              </w:rPr>
              <w:t>    2 公共建筑：过渡季典型工况下主要功能房间平均自然通风换气次数不小于2次/h的面积比例达到70％，得5分；每再增加10％，再得1分，最高得8分。</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查阅相关竣工图、计算分析报告。</w:t>
            </w:r>
          </w:p>
        </w:tc>
        <w:tc>
          <w:tcPr>
            <w:tcW w:w="1600"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5．2．11</w:t>
            </w:r>
          </w:p>
        </w:tc>
        <w:tc>
          <w:tcPr>
            <w:tcW w:w="4387" w:type="dxa"/>
            <w:vAlign w:val="center"/>
          </w:tcPr>
          <w:p>
            <w:pPr>
              <w:rPr>
                <w:rFonts w:hint="default"/>
                <w:lang w:val="en-US" w:eastAsia="zh-CN"/>
              </w:rPr>
            </w:pPr>
            <w:r>
              <w:rPr>
                <w:rFonts w:hint="default"/>
                <w:lang w:val="en-US" w:eastAsia="zh-CN"/>
              </w:rPr>
              <w:t xml:space="preserve"> 设置可调节遮阳设施，改善室内热舒适，评价总分值为9分，根据可调节遮阳设施的面积占外窗透明部分的比例按表5．2．11的规则评分。</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查阅相关竣工图、产品说明书、计算书。</w:t>
            </w:r>
          </w:p>
        </w:tc>
        <w:tc>
          <w:tcPr>
            <w:tcW w:w="1600"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7.2.14</w:t>
            </w:r>
          </w:p>
        </w:tc>
        <w:tc>
          <w:tcPr>
            <w:tcW w:w="4387" w:type="dxa"/>
            <w:vAlign w:val="center"/>
          </w:tcPr>
          <w:p>
            <w:pPr>
              <w:rPr>
                <w:rFonts w:hint="default"/>
                <w:lang w:val="en-US" w:eastAsia="zh-CN"/>
              </w:rPr>
            </w:pPr>
            <w:r>
              <w:rPr>
                <w:rFonts w:hint="default"/>
                <w:lang w:val="en-US" w:eastAsia="zh-CN"/>
              </w:rPr>
              <w:t>建筑所有区域实施土建工程与装修工程一体化设计及施工，评价分值为8分。</w:t>
            </w:r>
          </w:p>
        </w:tc>
        <w:tc>
          <w:tcPr>
            <w:tcW w:w="3738" w:type="dxa"/>
            <w:vAlign w:val="center"/>
          </w:tcPr>
          <w:p>
            <w:pPr>
              <w:rPr>
                <w:rFonts w:hint="default"/>
                <w:lang w:val="en-US" w:eastAsia="zh-CN"/>
              </w:rPr>
            </w:pPr>
            <w:r>
              <w:rPr>
                <w:rFonts w:hint="default"/>
                <w:lang w:val="en-US" w:eastAsia="zh-CN"/>
              </w:rPr>
              <w:t>□土建施工图</w:t>
            </w:r>
          </w:p>
          <w:p>
            <w:pPr>
              <w:rPr>
                <w:rFonts w:hint="default"/>
                <w:lang w:val="en-US" w:eastAsia="zh-CN"/>
              </w:rPr>
            </w:pPr>
            <w:r>
              <w:rPr>
                <w:rFonts w:hint="default"/>
                <w:lang w:val="en-US" w:eastAsia="zh-CN"/>
              </w:rPr>
              <w:t>□装修施工图</w:t>
            </w:r>
          </w:p>
          <w:p>
            <w:pPr>
              <w:rPr>
                <w:rFonts w:hint="default"/>
                <w:lang w:val="en-US" w:eastAsia="zh-CN"/>
              </w:rPr>
            </w:pPr>
            <w:r>
              <w:rPr>
                <w:rFonts w:hint="default"/>
                <w:lang w:val="en-US" w:eastAsia="zh-CN"/>
              </w:rPr>
              <w:t>□现场检查</w:t>
            </w:r>
          </w:p>
        </w:tc>
        <w:tc>
          <w:tcPr>
            <w:tcW w:w="1600"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7.2.16</w:t>
            </w:r>
          </w:p>
        </w:tc>
        <w:tc>
          <w:tcPr>
            <w:tcW w:w="4387" w:type="dxa"/>
            <w:vAlign w:val="center"/>
          </w:tcPr>
          <w:p>
            <w:pPr>
              <w:rPr>
                <w:rFonts w:hint="default"/>
                <w:lang w:val="en-US" w:eastAsia="zh-CN"/>
              </w:rPr>
            </w:pPr>
            <w:r>
              <w:rPr>
                <w:rFonts w:hint="default"/>
                <w:lang w:val="en-US" w:eastAsia="zh-CN"/>
              </w:rPr>
              <w:t>建筑装修选用工业化内装部品，评价总分值为8分。建筑装修选用工业化内装部品占同类部品用量比例达到50%以上的部品种类，达到1种，得3分；达到3种，得5分；达到3 种以上，得8分。</w:t>
            </w:r>
          </w:p>
        </w:tc>
        <w:tc>
          <w:tcPr>
            <w:tcW w:w="3738" w:type="dxa"/>
            <w:vAlign w:val="center"/>
          </w:tcPr>
          <w:p>
            <w:pPr>
              <w:rPr>
                <w:rFonts w:hint="default"/>
                <w:lang w:val="en-US" w:eastAsia="zh-CN"/>
              </w:rPr>
            </w:pPr>
            <w:r>
              <w:rPr>
                <w:rFonts w:hint="default"/>
                <w:lang w:val="en-US" w:eastAsia="zh-CN"/>
              </w:rPr>
              <w:t>□建筑专业施工图</w:t>
            </w:r>
          </w:p>
          <w:p>
            <w:pPr>
              <w:rPr>
                <w:rFonts w:hint="default"/>
                <w:lang w:val="en-US" w:eastAsia="zh-CN"/>
              </w:rPr>
            </w:pPr>
            <w:r>
              <w:rPr>
                <w:rFonts w:hint="default"/>
                <w:lang w:val="en-US" w:eastAsia="zh-CN"/>
              </w:rPr>
              <w:t>□结构专业施工图</w:t>
            </w:r>
          </w:p>
          <w:p>
            <w:pPr>
              <w:rPr>
                <w:rFonts w:hint="default"/>
                <w:lang w:val="en-US" w:eastAsia="zh-CN"/>
              </w:rPr>
            </w:pPr>
            <w:r>
              <w:rPr>
                <w:rFonts w:hint="default"/>
                <w:lang w:val="en-US" w:eastAsia="zh-CN"/>
              </w:rPr>
              <w:t>□装修专业施工图</w:t>
            </w:r>
          </w:p>
          <w:p>
            <w:pPr>
              <w:rPr>
                <w:rFonts w:hint="default"/>
                <w:lang w:val="en-US" w:eastAsia="zh-CN"/>
              </w:rPr>
            </w:pPr>
            <w:r>
              <w:rPr>
                <w:rFonts w:hint="default"/>
                <w:lang w:val="en-US" w:eastAsia="zh-CN"/>
              </w:rPr>
              <w:t>□材料进出场记录</w:t>
            </w:r>
          </w:p>
          <w:p>
            <w:pPr>
              <w:rPr>
                <w:rFonts w:hint="default"/>
                <w:lang w:val="en-US" w:eastAsia="zh-CN"/>
              </w:rPr>
            </w:pPr>
            <w:r>
              <w:rPr>
                <w:rFonts w:hint="default"/>
                <w:lang w:val="en-US" w:eastAsia="zh-CN"/>
              </w:rPr>
              <w:t>□现场核查</w:t>
            </w:r>
          </w:p>
        </w:tc>
        <w:tc>
          <w:tcPr>
            <w:tcW w:w="1600"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50" w:type="dxa"/>
            <w:vMerge w:val="continue"/>
            <w:vAlign w:val="center"/>
          </w:tcPr>
          <w:p>
            <w:pPr>
              <w:rPr>
                <w:rFonts w:hint="default"/>
                <w:lang w:val="en-US" w:eastAsia="zh-CN"/>
              </w:rPr>
            </w:pPr>
          </w:p>
        </w:tc>
        <w:tc>
          <w:tcPr>
            <w:tcW w:w="1113" w:type="dxa"/>
            <w:vAlign w:val="center"/>
          </w:tcPr>
          <w:p>
            <w:pPr>
              <w:rPr>
                <w:rFonts w:hint="default"/>
                <w:lang w:val="en-US" w:eastAsia="zh-CN"/>
              </w:rPr>
            </w:pPr>
            <w:r>
              <w:rPr>
                <w:rFonts w:hint="default"/>
                <w:lang w:val="en-US" w:eastAsia="zh-CN"/>
              </w:rPr>
              <w:t>9.2.10</w:t>
            </w:r>
          </w:p>
        </w:tc>
        <w:tc>
          <w:tcPr>
            <w:tcW w:w="4387" w:type="dxa"/>
            <w:vAlign w:val="center"/>
          </w:tcPr>
          <w:p>
            <w:pPr>
              <w:rPr>
                <w:rFonts w:hint="default"/>
                <w:lang w:val="en-US" w:eastAsia="zh-CN"/>
              </w:rPr>
            </w:pPr>
            <w:r>
              <w:rPr>
                <w:rFonts w:hint="default"/>
                <w:lang w:val="en-US" w:eastAsia="zh-CN"/>
              </w:rPr>
              <w:t>采取节约资源、保护生态环境、保障安全健康、智慧友好运行、传承历史文化等其他创新，并有明显效益，评价总分值为40分。每采取一项，得10分，最高得40分。</w:t>
            </w:r>
          </w:p>
        </w:tc>
        <w:tc>
          <w:tcPr>
            <w:tcW w:w="3738" w:type="dxa"/>
            <w:vAlign w:val="center"/>
          </w:tcPr>
          <w:p>
            <w:pPr>
              <w:rPr>
                <w:rFonts w:hint="default"/>
                <w:lang w:val="en-US" w:eastAsia="zh-CN"/>
              </w:rPr>
            </w:pPr>
            <w:r>
              <w:rPr>
                <w:rFonts w:hint="default"/>
                <w:lang w:val="en-US" w:eastAsia="zh-CN"/>
              </w:rPr>
              <w:t>□相关设计文件</w:t>
            </w:r>
          </w:p>
          <w:p>
            <w:pPr>
              <w:rPr>
                <w:rFonts w:hint="default"/>
                <w:lang w:val="en-US" w:eastAsia="zh-CN"/>
              </w:rPr>
            </w:pPr>
            <w:r>
              <w:rPr>
                <w:rFonts w:hint="default"/>
                <w:lang w:val="en-US" w:eastAsia="zh-CN"/>
              </w:rPr>
              <w:t>□分析论证报告及相关证明材料</w:t>
            </w:r>
          </w:p>
        </w:tc>
        <w:tc>
          <w:tcPr>
            <w:tcW w:w="1600" w:type="dxa"/>
            <w:vAlign w:val="center"/>
          </w:tcPr>
          <w:p>
            <w:pPr>
              <w:rPr>
                <w:rFonts w:hint="default"/>
                <w:lang w:val="en-US" w:eastAsia="zh-CN"/>
              </w:rPr>
            </w:pPr>
            <w:r>
              <w:rPr>
                <w:rFonts w:hint="default"/>
                <w:lang w:val="en-US" w:eastAsia="zh-CN"/>
              </w:rPr>
              <w:t>得分：</w:t>
            </w: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4" w:hRule="atLeast"/>
        </w:trPr>
        <w:tc>
          <w:tcPr>
            <w:tcW w:w="13113" w:type="dxa"/>
            <w:gridSpan w:val="6"/>
            <w:vAlign w:val="center"/>
          </w:tcPr>
          <w:p>
            <w:pPr>
              <w:rPr>
                <w:rFonts w:hint="default"/>
                <w:lang w:val="en-US" w:eastAsia="zh-CN"/>
              </w:rPr>
            </w:pPr>
            <w:r>
              <w:rPr>
                <w:rFonts w:hint="default"/>
                <w:lang w:val="en-US" w:eastAsia="zh-CN"/>
              </w:rPr>
              <w:t>评审结论：</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t>评审专家（签字）：</w:t>
            </w:r>
          </w:p>
          <w:p>
            <w:pPr>
              <w:rPr>
                <w:rFonts w:hint="default"/>
                <w:lang w:val="en-US" w:eastAsia="zh-CN"/>
              </w:rPr>
            </w:pPr>
          </w:p>
          <w:p>
            <w:pPr>
              <w:rPr>
                <w:rFonts w:hint="default"/>
                <w:lang w:val="en-US" w:eastAsia="zh-CN"/>
              </w:rPr>
            </w:pPr>
            <w:r>
              <w:rPr>
                <w:rFonts w:hint="default"/>
                <w:lang w:val="en-US" w:eastAsia="zh-CN"/>
              </w:rPr>
              <w:t>日期：</w:t>
            </w:r>
          </w:p>
          <w:p>
            <w:pPr>
              <w:rPr>
                <w:rFonts w:hint="default"/>
                <w:lang w:val="en-US" w:eastAsia="zh-CN"/>
              </w:rPr>
            </w:pPr>
          </w:p>
        </w:tc>
      </w:tr>
    </w:tbl>
    <w:p>
      <w:pPr>
        <w:rPr>
          <w:rFonts w:hint="default"/>
          <w:lang w:val="en-US" w:eastAsia="zh-CN"/>
        </w:rPr>
      </w:pPr>
    </w:p>
    <w:p>
      <w:pPr>
        <w:rPr>
          <w:rFonts w:hint="default"/>
          <w:lang w:val="en-US" w:eastAsia="zh-CN"/>
        </w:rPr>
      </w:pPr>
    </w:p>
    <w:p>
      <w:pPr>
        <w:rPr>
          <w:rFonts w:hint="default"/>
          <w:lang w:val="en-US" w:eastAsia="zh-CN"/>
        </w:rPr>
      </w:pPr>
    </w:p>
    <w:p>
      <w:pPr>
        <w:jc w:val="center"/>
        <w:rPr>
          <w:rFonts w:hint="default"/>
          <w:sz w:val="24"/>
          <w:szCs w:val="32"/>
          <w:lang w:val="en-US" w:eastAsia="zh-CN"/>
        </w:rPr>
      </w:pPr>
    </w:p>
    <w:p>
      <w:pPr>
        <w:jc w:val="center"/>
        <w:rPr>
          <w:rFonts w:hint="default"/>
          <w:sz w:val="24"/>
          <w:szCs w:val="32"/>
          <w:lang w:val="en-US" w:eastAsia="zh-CN"/>
        </w:rPr>
      </w:pPr>
    </w:p>
    <w:p>
      <w:pPr>
        <w:jc w:val="center"/>
        <w:rPr>
          <w:rFonts w:hint="default"/>
          <w:sz w:val="24"/>
          <w:szCs w:val="32"/>
          <w:lang w:val="en-US" w:eastAsia="zh-CN"/>
        </w:rPr>
      </w:pPr>
    </w:p>
    <w:p>
      <w:pPr>
        <w:jc w:val="center"/>
        <w:rPr>
          <w:rFonts w:hint="default"/>
          <w:sz w:val="24"/>
          <w:szCs w:val="32"/>
          <w:lang w:val="en-US" w:eastAsia="zh-CN"/>
        </w:rPr>
      </w:pPr>
    </w:p>
    <w:p>
      <w:pPr>
        <w:jc w:val="center"/>
        <w:rPr>
          <w:rFonts w:hint="default"/>
          <w:sz w:val="24"/>
          <w:szCs w:val="32"/>
          <w:lang w:val="en-US" w:eastAsia="zh-CN"/>
        </w:rPr>
      </w:pPr>
    </w:p>
    <w:p>
      <w:pPr>
        <w:jc w:val="center"/>
        <w:rPr>
          <w:rFonts w:hint="default"/>
          <w:sz w:val="24"/>
          <w:szCs w:val="32"/>
          <w:lang w:val="en-US" w:eastAsia="zh-CN"/>
        </w:rPr>
      </w:pPr>
    </w:p>
    <w:p>
      <w:pPr>
        <w:jc w:val="center"/>
        <w:rPr>
          <w:rFonts w:hint="default"/>
          <w:sz w:val="24"/>
          <w:szCs w:val="32"/>
          <w:lang w:val="en-US" w:eastAsia="zh-CN"/>
        </w:rPr>
      </w:pPr>
    </w:p>
    <w:p>
      <w:pPr>
        <w:jc w:val="center"/>
        <w:rPr>
          <w:rFonts w:hint="default"/>
          <w:sz w:val="24"/>
          <w:szCs w:val="32"/>
          <w:lang w:val="en-US" w:eastAsia="zh-CN"/>
        </w:rPr>
      </w:pPr>
    </w:p>
    <w:p>
      <w:pPr>
        <w:jc w:val="center"/>
        <w:rPr>
          <w:rFonts w:hint="default"/>
          <w:sz w:val="28"/>
          <w:szCs w:val="36"/>
          <w:lang w:val="en-US" w:eastAsia="zh-CN"/>
        </w:rPr>
      </w:pPr>
      <w:r>
        <w:rPr>
          <w:rFonts w:hint="default"/>
          <w:sz w:val="28"/>
          <w:szCs w:val="36"/>
          <w:lang w:val="en-US" w:eastAsia="zh-CN"/>
        </w:rPr>
        <w:t>绿色建筑工程验收专家评审意见表——建筑给水排水</w:t>
      </w:r>
    </w:p>
    <w:tbl>
      <w:tblPr>
        <w:tblStyle w:val="3"/>
        <w:tblW w:w="13137"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138"/>
        <w:gridCol w:w="4362"/>
        <w:gridCol w:w="3738"/>
        <w:gridCol w:w="1612"/>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rPr>
                <w:rFonts w:hint="default"/>
                <w:lang w:val="en-US" w:eastAsia="zh-CN"/>
              </w:rPr>
            </w:pPr>
            <w:r>
              <w:rPr>
                <w:rFonts w:hint="default"/>
                <w:lang w:val="en-US" w:eastAsia="zh-CN"/>
              </w:rPr>
              <w:t>类别</w:t>
            </w:r>
          </w:p>
        </w:tc>
        <w:tc>
          <w:tcPr>
            <w:tcW w:w="1138" w:type="dxa"/>
            <w:vAlign w:val="center"/>
          </w:tcPr>
          <w:p>
            <w:pPr>
              <w:rPr>
                <w:rFonts w:hint="default"/>
                <w:lang w:val="en-US" w:eastAsia="zh-CN"/>
              </w:rPr>
            </w:pPr>
            <w:r>
              <w:rPr>
                <w:rFonts w:hint="default"/>
                <w:lang w:val="en-US" w:eastAsia="zh-CN"/>
              </w:rPr>
              <w:t>评价标准条文编号</w:t>
            </w:r>
          </w:p>
        </w:tc>
        <w:tc>
          <w:tcPr>
            <w:tcW w:w="4362" w:type="dxa"/>
            <w:vAlign w:val="center"/>
          </w:tcPr>
          <w:p>
            <w:pPr>
              <w:rPr>
                <w:rFonts w:hint="default"/>
                <w:lang w:val="en-US" w:eastAsia="zh-CN"/>
              </w:rPr>
            </w:pPr>
            <w:r>
              <w:rPr>
                <w:rFonts w:hint="default"/>
                <w:lang w:val="en-US" w:eastAsia="zh-CN"/>
              </w:rPr>
              <w:t>条文内容及分值</w:t>
            </w:r>
          </w:p>
        </w:tc>
        <w:tc>
          <w:tcPr>
            <w:tcW w:w="3738" w:type="dxa"/>
            <w:vAlign w:val="center"/>
          </w:tcPr>
          <w:p>
            <w:pPr>
              <w:rPr>
                <w:rFonts w:hint="default"/>
                <w:lang w:val="en-US" w:eastAsia="zh-CN"/>
              </w:rPr>
            </w:pPr>
            <w:r>
              <w:rPr>
                <w:rFonts w:hint="default"/>
                <w:lang w:val="en-US" w:eastAsia="zh-CN"/>
              </w:rPr>
              <w:t>证明文件</w:t>
            </w:r>
          </w:p>
        </w:tc>
        <w:tc>
          <w:tcPr>
            <w:tcW w:w="1612" w:type="dxa"/>
            <w:vAlign w:val="center"/>
          </w:tcPr>
          <w:p>
            <w:pPr>
              <w:rPr>
                <w:rFonts w:hint="default"/>
                <w:lang w:val="en-US" w:eastAsia="zh-CN"/>
              </w:rPr>
            </w:pPr>
            <w:r>
              <w:rPr>
                <w:rFonts w:hint="default"/>
                <w:lang w:val="en-US" w:eastAsia="zh-CN"/>
              </w:rPr>
              <w:t>评审结果</w:t>
            </w:r>
          </w:p>
        </w:tc>
        <w:tc>
          <w:tcPr>
            <w:tcW w:w="1325" w:type="dxa"/>
            <w:vAlign w:val="center"/>
          </w:tcPr>
          <w:p>
            <w:pPr>
              <w:rPr>
                <w:rFonts w:hint="default"/>
                <w:lang w:val="en-US" w:eastAsia="zh-CN"/>
              </w:rPr>
            </w:pPr>
            <w:r>
              <w:rPr>
                <w:rFonts w:hint="default"/>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2" w:type="dxa"/>
            <w:vMerge w:val="restart"/>
            <w:vAlign w:val="center"/>
          </w:tcPr>
          <w:p>
            <w:pPr>
              <w:rPr>
                <w:rFonts w:hint="default"/>
                <w:lang w:val="en-US" w:eastAsia="zh-CN"/>
              </w:rPr>
            </w:pPr>
            <w:r>
              <w:rPr>
                <w:rFonts w:hint="default"/>
                <w:lang w:val="en-US" w:eastAsia="zh-CN"/>
              </w:rPr>
              <w:t>控制项</w:t>
            </w:r>
          </w:p>
        </w:tc>
        <w:tc>
          <w:tcPr>
            <w:tcW w:w="1138" w:type="dxa"/>
            <w:vAlign w:val="center"/>
          </w:tcPr>
          <w:p>
            <w:pPr>
              <w:rPr>
                <w:rFonts w:hint="default"/>
                <w:lang w:val="en-US" w:eastAsia="zh-CN"/>
              </w:rPr>
            </w:pPr>
            <w:r>
              <w:rPr>
                <w:rFonts w:hint="default"/>
                <w:lang w:val="en-US" w:eastAsia="zh-CN"/>
              </w:rPr>
              <w:t>5.1.3</w:t>
            </w:r>
          </w:p>
        </w:tc>
        <w:tc>
          <w:tcPr>
            <w:tcW w:w="4362" w:type="dxa"/>
            <w:vAlign w:val="center"/>
          </w:tcPr>
          <w:p>
            <w:pPr>
              <w:rPr>
                <w:rFonts w:hint="default"/>
                <w:lang w:val="en-US" w:eastAsia="zh-CN"/>
              </w:rPr>
            </w:pPr>
            <w:r>
              <w:rPr>
                <w:rFonts w:hint="default"/>
                <w:lang w:val="en-US" w:eastAsia="zh-CN"/>
              </w:rPr>
              <w:t>1 生活饮用水水质应满足现行国家标准《生活饮用水卫生标准》GB 5749的要求；</w:t>
            </w:r>
          </w:p>
          <w:p>
            <w:pPr>
              <w:rPr>
                <w:rFonts w:hint="default"/>
                <w:lang w:val="en-US" w:eastAsia="zh-CN"/>
              </w:rPr>
            </w:pPr>
            <w:r>
              <w:rPr>
                <w:rFonts w:hint="default"/>
                <w:lang w:val="en-US" w:eastAsia="zh-CN"/>
              </w:rPr>
              <w:t>2 应制定水池、水箱等储水设施定期清洗消毒计划并实施，且生活饮用水储水设施每半年清洗消毒不应少于1次；</w:t>
            </w:r>
          </w:p>
          <w:p>
            <w:pPr>
              <w:rPr>
                <w:rFonts w:hint="default"/>
                <w:lang w:val="en-US" w:eastAsia="zh-CN"/>
              </w:rPr>
            </w:pPr>
            <w:r>
              <w:rPr>
                <w:rFonts w:hint="default"/>
                <w:lang w:val="en-US" w:eastAsia="zh-CN"/>
              </w:rPr>
              <w:t>3 应使用构造内自带水封的便器，且其水封深度不应小于50mm；</w:t>
            </w:r>
          </w:p>
          <w:p>
            <w:pPr>
              <w:rPr>
                <w:rFonts w:hint="default"/>
                <w:lang w:val="en-US" w:eastAsia="zh-CN"/>
              </w:rPr>
            </w:pPr>
            <w:r>
              <w:rPr>
                <w:rFonts w:hint="default"/>
                <w:lang w:val="en-US" w:eastAsia="zh-CN"/>
              </w:rPr>
              <w:t>4 非传统水源管道和设备应设置明确、清晰的永久性标识。</w:t>
            </w:r>
          </w:p>
        </w:tc>
        <w:tc>
          <w:tcPr>
            <w:tcW w:w="3738" w:type="dxa"/>
            <w:vAlign w:val="center"/>
          </w:tcPr>
          <w:p>
            <w:pPr>
              <w:rPr>
                <w:rFonts w:hint="default"/>
                <w:lang w:val="en-US" w:eastAsia="zh-CN"/>
              </w:rPr>
            </w:pPr>
            <w:r>
              <w:rPr>
                <w:rFonts w:hint="default"/>
                <w:lang w:val="en-US" w:eastAsia="zh-CN"/>
              </w:rPr>
              <w:t>□给水排水专业施工图</w:t>
            </w:r>
          </w:p>
          <w:p>
            <w:pPr>
              <w:rPr>
                <w:rFonts w:hint="default"/>
                <w:lang w:val="en-US" w:eastAsia="zh-CN"/>
              </w:rPr>
            </w:pPr>
            <w:r>
              <w:rPr>
                <w:rFonts w:hint="default"/>
                <w:lang w:val="en-US" w:eastAsia="zh-CN"/>
              </w:rPr>
              <w:t>□产品质量证明文件</w:t>
            </w:r>
          </w:p>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□产品说明及合格证书</w:t>
            </w:r>
          </w:p>
          <w:p>
            <w:pPr>
              <w:rPr>
                <w:rFonts w:hint="default"/>
                <w:lang w:val="en-US" w:eastAsia="zh-CN"/>
              </w:rPr>
            </w:pPr>
            <w:r>
              <w:rPr>
                <w:rFonts w:hint="default"/>
                <w:lang w:val="en-US" w:eastAsia="zh-CN"/>
              </w:rPr>
              <w:t>□各用水部门水质检测报告、管理制度、工作记录</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r>
              <w:rPr>
                <w:rFonts w:hint="default"/>
                <w:lang w:val="en-US" w:eastAsia="zh-CN"/>
              </w:rPr>
              <w:t>健康舒适</w:t>
            </w: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2" w:type="dxa"/>
            <w:vMerge w:val="continue"/>
            <w:vAlign w:val="center"/>
          </w:tcPr>
          <w:p>
            <w:pPr>
              <w:rPr>
                <w:rFonts w:hint="default"/>
                <w:lang w:val="en-US" w:eastAsia="zh-CN"/>
              </w:rPr>
            </w:pPr>
          </w:p>
        </w:tc>
        <w:tc>
          <w:tcPr>
            <w:tcW w:w="1138" w:type="dxa"/>
            <w:vAlign w:val="center"/>
          </w:tcPr>
          <w:p>
            <w:pPr>
              <w:rPr>
                <w:rFonts w:hint="default"/>
                <w:lang w:val="en-US" w:eastAsia="zh-CN"/>
              </w:rPr>
            </w:pPr>
            <w:r>
              <w:rPr>
                <w:rFonts w:hint="default"/>
                <w:lang w:val="en-US" w:eastAsia="zh-CN"/>
              </w:rPr>
              <w:t>7.1.7</w:t>
            </w:r>
          </w:p>
        </w:tc>
        <w:tc>
          <w:tcPr>
            <w:tcW w:w="4362" w:type="dxa"/>
            <w:vAlign w:val="center"/>
          </w:tcPr>
          <w:p>
            <w:pPr>
              <w:rPr>
                <w:rFonts w:hint="default"/>
                <w:lang w:val="en-US" w:eastAsia="zh-CN"/>
              </w:rPr>
            </w:pPr>
            <w:r>
              <w:rPr>
                <w:rFonts w:hint="default"/>
                <w:lang w:val="en-US" w:eastAsia="zh-CN"/>
              </w:rPr>
              <w:t>应制定水资源利用方案，统筹利用各种水资源，并应符合下列规定：</w:t>
            </w:r>
          </w:p>
          <w:p>
            <w:pPr>
              <w:rPr>
                <w:rFonts w:hint="default"/>
                <w:lang w:val="en-US" w:eastAsia="zh-CN"/>
              </w:rPr>
            </w:pPr>
            <w:r>
              <w:rPr>
                <w:rFonts w:hint="default"/>
                <w:lang w:val="en-US" w:eastAsia="zh-CN"/>
              </w:rPr>
              <w:t>1 应按使用用途、付费或管理单元，分别设置用水计量装置；</w:t>
            </w:r>
          </w:p>
          <w:p>
            <w:pPr>
              <w:rPr>
                <w:rFonts w:hint="default"/>
                <w:lang w:val="en-US" w:eastAsia="zh-CN"/>
              </w:rPr>
            </w:pPr>
            <w:r>
              <w:rPr>
                <w:rFonts w:hint="default"/>
                <w:lang w:val="en-US" w:eastAsia="zh-CN"/>
              </w:rPr>
              <w:t>2 用水点处水压大于0．2MPa的配水支管应设置减压设施，并应满足给水配件最低工作压力的要求；</w:t>
            </w:r>
          </w:p>
          <w:p>
            <w:pPr>
              <w:rPr>
                <w:rFonts w:hint="default"/>
                <w:lang w:val="en-US" w:eastAsia="zh-CN"/>
              </w:rPr>
            </w:pPr>
            <w:r>
              <w:rPr>
                <w:rFonts w:hint="default"/>
                <w:lang w:val="en-US" w:eastAsia="zh-CN"/>
              </w:rPr>
              <w:t>3 用水器具和设备应满足节水产品的要求。</w:t>
            </w:r>
          </w:p>
        </w:tc>
        <w:tc>
          <w:tcPr>
            <w:tcW w:w="3738" w:type="dxa"/>
            <w:vAlign w:val="center"/>
          </w:tcPr>
          <w:p>
            <w:pPr>
              <w:rPr>
                <w:rFonts w:hint="default"/>
                <w:lang w:val="en-US" w:eastAsia="zh-CN"/>
              </w:rPr>
            </w:pPr>
            <w:r>
              <w:rPr>
                <w:rFonts w:hint="default"/>
                <w:lang w:val="en-US" w:eastAsia="zh-CN"/>
              </w:rPr>
              <w:t>□给水排水专业竣工图</w:t>
            </w:r>
          </w:p>
          <w:p>
            <w:pPr>
              <w:rPr>
                <w:rFonts w:hint="default"/>
                <w:lang w:val="en-US" w:eastAsia="zh-CN"/>
              </w:rPr>
            </w:pPr>
            <w:r>
              <w:rPr>
                <w:rFonts w:hint="default"/>
                <w:lang w:val="en-US" w:eastAsia="zh-CN"/>
              </w:rPr>
              <w:t>□产品说明书或</w:t>
            </w:r>
          </w:p>
          <w:p>
            <w:pPr>
              <w:rPr>
                <w:rFonts w:hint="default"/>
                <w:lang w:val="en-US" w:eastAsia="zh-CN"/>
              </w:rPr>
            </w:pPr>
            <w:r>
              <w:rPr>
                <w:rFonts w:hint="default"/>
                <w:lang w:val="en-US" w:eastAsia="zh-CN"/>
              </w:rPr>
              <w:t>产品节水性能检测报告</w:t>
            </w:r>
          </w:p>
          <w:p>
            <w:pPr>
              <w:rPr>
                <w:rFonts w:hint="default"/>
                <w:lang w:val="en-US" w:eastAsia="zh-CN"/>
              </w:rPr>
            </w:pPr>
            <w:r>
              <w:rPr>
                <w:rFonts w:hint="default"/>
                <w:lang w:val="en-US" w:eastAsia="zh-CN"/>
              </w:rPr>
              <w:t>□现场检查</w:t>
            </w:r>
          </w:p>
          <w:p>
            <w:pPr>
              <w:rPr>
                <w:rFonts w:hint="default"/>
                <w:lang w:val="en-US" w:eastAsia="zh-CN"/>
              </w:rPr>
            </w:pP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2" w:type="dxa"/>
            <w:vMerge w:val="continue"/>
            <w:vAlign w:val="center"/>
          </w:tcPr>
          <w:p>
            <w:pPr>
              <w:rPr>
                <w:rFonts w:hint="default"/>
                <w:lang w:val="en-US" w:eastAsia="zh-CN"/>
              </w:rPr>
            </w:pPr>
          </w:p>
        </w:tc>
        <w:tc>
          <w:tcPr>
            <w:tcW w:w="1138" w:type="dxa"/>
            <w:vAlign w:val="center"/>
          </w:tcPr>
          <w:p>
            <w:pPr>
              <w:rPr>
                <w:rFonts w:hint="default"/>
                <w:lang w:val="en-US" w:eastAsia="zh-CN"/>
              </w:rPr>
            </w:pPr>
            <w:r>
              <w:rPr>
                <w:rFonts w:hint="default"/>
                <w:lang w:val="en-US" w:eastAsia="zh-CN"/>
              </w:rPr>
              <w:t>8.1.4</w:t>
            </w:r>
          </w:p>
        </w:tc>
        <w:tc>
          <w:tcPr>
            <w:tcW w:w="4362" w:type="dxa"/>
            <w:vAlign w:val="center"/>
          </w:tcPr>
          <w:p>
            <w:pPr>
              <w:rPr>
                <w:rFonts w:hint="default"/>
                <w:lang w:val="en-US" w:eastAsia="zh-CN"/>
              </w:rPr>
            </w:pPr>
            <w:r>
              <w:rPr>
                <w:rFonts w:hint="default"/>
                <w:lang w:val="en-US" w:eastAsia="zh-CN"/>
              </w:rPr>
              <w:t>场地的竖向设计应有利于雨水的收集或排放，应有效组织雨水的下渗、滞蓄或再利用；对大于10hm2的场地应进行雨水控制利用专项设计。</w:t>
            </w:r>
          </w:p>
        </w:tc>
        <w:tc>
          <w:tcPr>
            <w:tcW w:w="3738" w:type="dxa"/>
            <w:vAlign w:val="center"/>
          </w:tcPr>
          <w:p>
            <w:pPr>
              <w:rPr>
                <w:rFonts w:hint="default"/>
                <w:lang w:val="en-US" w:eastAsia="zh-CN"/>
              </w:rPr>
            </w:pPr>
            <w:r>
              <w:rPr>
                <w:rFonts w:hint="default"/>
                <w:lang w:val="en-US" w:eastAsia="zh-CN"/>
              </w:rPr>
              <w:t>□给水排水专业竣工图</w:t>
            </w:r>
          </w:p>
          <w:p>
            <w:pPr>
              <w:rPr>
                <w:rFonts w:hint="default"/>
                <w:lang w:val="en-US" w:eastAsia="zh-CN"/>
              </w:rPr>
            </w:pPr>
            <w:r>
              <w:rPr>
                <w:rFonts w:hint="default"/>
                <w:lang w:val="en-US" w:eastAsia="zh-CN"/>
              </w:rPr>
              <w:t>□海绵城市设计文件及相关计算书</w:t>
            </w:r>
          </w:p>
          <w:p>
            <w:pPr>
              <w:rPr>
                <w:rFonts w:hint="default"/>
                <w:lang w:val="en-US" w:eastAsia="zh-CN"/>
              </w:rPr>
            </w:pP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2" w:type="dxa"/>
            <w:vMerge w:val="restart"/>
            <w:vAlign w:val="center"/>
          </w:tcPr>
          <w:p>
            <w:pPr>
              <w:rPr>
                <w:rFonts w:hint="default"/>
                <w:lang w:val="en-US" w:eastAsia="zh-CN"/>
              </w:rPr>
            </w:pPr>
            <w:r>
              <w:rPr>
                <w:rFonts w:hint="default"/>
                <w:lang w:val="en-US" w:eastAsia="zh-CN"/>
              </w:rPr>
              <w:t>评分项</w:t>
            </w:r>
          </w:p>
        </w:tc>
        <w:tc>
          <w:tcPr>
            <w:tcW w:w="1138" w:type="dxa"/>
            <w:vAlign w:val="center"/>
          </w:tcPr>
          <w:p>
            <w:pPr>
              <w:rPr>
                <w:rFonts w:hint="default"/>
                <w:lang w:val="en-US" w:eastAsia="zh-CN"/>
              </w:rPr>
            </w:pPr>
            <w:r>
              <w:rPr>
                <w:rFonts w:hint="default"/>
                <w:lang w:val="en-US" w:eastAsia="zh-CN"/>
              </w:rPr>
              <w:t>5.2.3</w:t>
            </w:r>
          </w:p>
        </w:tc>
        <w:tc>
          <w:tcPr>
            <w:tcW w:w="4362" w:type="dxa"/>
            <w:vAlign w:val="center"/>
          </w:tcPr>
          <w:p>
            <w:pPr>
              <w:rPr>
                <w:rFonts w:hint="default"/>
                <w:lang w:val="en-US" w:eastAsia="zh-CN"/>
              </w:rPr>
            </w:pPr>
            <w:r>
              <w:rPr>
                <w:rFonts w:hint="default"/>
                <w:lang w:val="en-US" w:eastAsia="zh-CN"/>
              </w:rPr>
              <w:t>直饮水、集中生活热水、游泳池水、采暖空调系统用水、景观水体等的水质满足国家现行有关标准的要求，评价分值为8分。</w:t>
            </w:r>
          </w:p>
        </w:tc>
        <w:tc>
          <w:tcPr>
            <w:tcW w:w="3738" w:type="dxa"/>
            <w:vAlign w:val="center"/>
          </w:tcPr>
          <w:p>
            <w:pPr>
              <w:rPr>
                <w:rFonts w:hint="default"/>
                <w:lang w:val="en-US" w:eastAsia="zh-CN"/>
              </w:rPr>
            </w:pPr>
            <w:r>
              <w:rPr>
                <w:rFonts w:hint="default"/>
                <w:lang w:val="en-US" w:eastAsia="zh-CN"/>
              </w:rPr>
              <w:t>□给水排水专业竣工图</w:t>
            </w:r>
          </w:p>
          <w:p>
            <w:pPr>
              <w:rPr>
                <w:rFonts w:hint="default"/>
                <w:lang w:val="en-US" w:eastAsia="zh-CN"/>
              </w:rPr>
            </w:pPr>
            <w:r>
              <w:rPr>
                <w:rFonts w:hint="default"/>
                <w:lang w:val="en-US" w:eastAsia="zh-CN"/>
              </w:rPr>
              <w:t>□设计说明</w:t>
            </w:r>
          </w:p>
          <w:p>
            <w:pPr>
              <w:rPr>
                <w:rFonts w:hint="default"/>
                <w:lang w:val="en-US" w:eastAsia="zh-CN"/>
              </w:rPr>
            </w:pPr>
            <w:r>
              <w:rPr>
                <w:rFonts w:hint="default"/>
                <w:lang w:val="en-US" w:eastAsia="zh-CN"/>
              </w:rPr>
              <w:t>□水质检测报告</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2" w:type="dxa"/>
            <w:vMerge w:val="continue"/>
            <w:vAlign w:val="center"/>
          </w:tcPr>
          <w:p>
            <w:pPr>
              <w:rPr>
                <w:rFonts w:hint="default"/>
                <w:lang w:val="en-US" w:eastAsia="zh-CN"/>
              </w:rPr>
            </w:pPr>
          </w:p>
        </w:tc>
        <w:tc>
          <w:tcPr>
            <w:tcW w:w="1138" w:type="dxa"/>
            <w:vAlign w:val="center"/>
          </w:tcPr>
          <w:p>
            <w:pPr>
              <w:rPr>
                <w:rFonts w:hint="default"/>
                <w:lang w:val="en-US" w:eastAsia="zh-CN"/>
              </w:rPr>
            </w:pPr>
            <w:r>
              <w:rPr>
                <w:rFonts w:hint="default"/>
                <w:lang w:val="en-US" w:eastAsia="zh-CN"/>
              </w:rPr>
              <w:t>5.2.4</w:t>
            </w:r>
          </w:p>
        </w:tc>
        <w:tc>
          <w:tcPr>
            <w:tcW w:w="4362" w:type="dxa"/>
            <w:vAlign w:val="center"/>
          </w:tcPr>
          <w:p>
            <w:pPr>
              <w:rPr>
                <w:rFonts w:hint="default"/>
                <w:lang w:val="en-US" w:eastAsia="zh-CN"/>
              </w:rPr>
            </w:pPr>
            <w:r>
              <w:rPr>
                <w:rFonts w:hint="default"/>
                <w:lang w:val="en-US" w:eastAsia="zh-CN"/>
              </w:rPr>
              <w:t>生活饮用水水池、水箱等储水设施采取措施满足卫生要求，评价总分值为9分，并按下列规则分别评分并累计：</w:t>
            </w:r>
          </w:p>
          <w:p>
            <w:pPr>
              <w:rPr>
                <w:rFonts w:hint="default"/>
                <w:lang w:val="en-US" w:eastAsia="zh-CN"/>
              </w:rPr>
            </w:pPr>
            <w:r>
              <w:rPr>
                <w:rFonts w:hint="default"/>
                <w:lang w:val="en-US" w:eastAsia="zh-CN"/>
              </w:rPr>
              <w:t>使用符合国家现行有关标准要求的成品水箱，得4分；</w:t>
            </w:r>
          </w:p>
          <w:p>
            <w:pPr>
              <w:rPr>
                <w:rFonts w:hint="default"/>
                <w:lang w:val="en-US" w:eastAsia="zh-CN"/>
              </w:rPr>
            </w:pPr>
            <w:r>
              <w:rPr>
                <w:rFonts w:hint="default"/>
                <w:lang w:val="en-US" w:eastAsia="zh-CN"/>
              </w:rPr>
              <w:t>2、采取保证储水不变质的措施，得5分。</w:t>
            </w:r>
          </w:p>
        </w:tc>
        <w:tc>
          <w:tcPr>
            <w:tcW w:w="3738" w:type="dxa"/>
            <w:vAlign w:val="center"/>
          </w:tcPr>
          <w:p>
            <w:pPr>
              <w:rPr>
                <w:rFonts w:hint="default"/>
                <w:lang w:val="en-US" w:eastAsia="zh-CN"/>
              </w:rPr>
            </w:pPr>
            <w:r>
              <w:rPr>
                <w:rFonts w:hint="default"/>
                <w:lang w:val="en-US" w:eastAsia="zh-CN"/>
              </w:rPr>
              <w:t>□给水排水专业竣工图</w:t>
            </w:r>
          </w:p>
          <w:p>
            <w:pPr>
              <w:rPr>
                <w:rFonts w:hint="default"/>
                <w:lang w:val="en-US" w:eastAsia="zh-CN"/>
              </w:rPr>
            </w:pPr>
            <w:r>
              <w:rPr>
                <w:rFonts w:hint="default"/>
                <w:lang w:val="en-US" w:eastAsia="zh-CN"/>
              </w:rPr>
              <w:t>□标识设置说明</w:t>
            </w:r>
          </w:p>
          <w:p>
            <w:pPr>
              <w:rPr>
                <w:rFonts w:hint="default"/>
                <w:lang w:val="en-US" w:eastAsia="zh-CN"/>
              </w:rPr>
            </w:pP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62" w:type="dxa"/>
            <w:vMerge w:val="continue"/>
            <w:vAlign w:val="center"/>
          </w:tcPr>
          <w:p>
            <w:pPr>
              <w:rPr>
                <w:rFonts w:hint="default"/>
                <w:lang w:val="en-US" w:eastAsia="zh-CN"/>
              </w:rPr>
            </w:pPr>
          </w:p>
        </w:tc>
        <w:tc>
          <w:tcPr>
            <w:tcW w:w="1138" w:type="dxa"/>
            <w:vAlign w:val="center"/>
          </w:tcPr>
          <w:p>
            <w:pPr>
              <w:rPr>
                <w:rFonts w:hint="default"/>
                <w:lang w:val="en-US" w:eastAsia="zh-CN"/>
              </w:rPr>
            </w:pPr>
            <w:r>
              <w:rPr>
                <w:rFonts w:hint="default"/>
                <w:lang w:val="en-US" w:eastAsia="zh-CN"/>
              </w:rPr>
              <w:t xml:space="preserve">5.2.5 </w:t>
            </w:r>
          </w:p>
        </w:tc>
        <w:tc>
          <w:tcPr>
            <w:tcW w:w="4362" w:type="dxa"/>
            <w:vAlign w:val="center"/>
          </w:tcPr>
          <w:p>
            <w:pPr>
              <w:rPr>
                <w:rFonts w:hint="default"/>
                <w:lang w:val="en-US" w:eastAsia="zh-CN"/>
              </w:rPr>
            </w:pPr>
            <w:r>
              <w:rPr>
                <w:rFonts w:hint="default"/>
                <w:lang w:val="en-US" w:eastAsia="zh-CN"/>
              </w:rPr>
              <w:t>所有给水排水管道、设备、设施设置明确、清晰的永久性标识，评价分值为8分。</w:t>
            </w:r>
          </w:p>
        </w:tc>
        <w:tc>
          <w:tcPr>
            <w:tcW w:w="3738" w:type="dxa"/>
            <w:vAlign w:val="center"/>
          </w:tcPr>
          <w:p>
            <w:pPr>
              <w:rPr>
                <w:rFonts w:hint="default"/>
                <w:lang w:val="en-US" w:eastAsia="zh-CN"/>
              </w:rPr>
            </w:pPr>
            <w:r>
              <w:rPr>
                <w:rFonts w:hint="default"/>
                <w:lang w:val="en-US" w:eastAsia="zh-CN"/>
              </w:rPr>
              <w:t>□给水排水专业竣工图</w:t>
            </w:r>
          </w:p>
          <w:p>
            <w:pPr>
              <w:rPr>
                <w:rFonts w:hint="default"/>
                <w:lang w:val="en-US" w:eastAsia="zh-CN"/>
              </w:rPr>
            </w:pPr>
            <w:r>
              <w:rPr>
                <w:rFonts w:hint="default"/>
                <w:lang w:val="en-US" w:eastAsia="zh-CN"/>
              </w:rPr>
              <w:t>□现场检查标识设置</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62" w:type="dxa"/>
            <w:vMerge w:val="continue"/>
            <w:vAlign w:val="center"/>
          </w:tcPr>
          <w:p>
            <w:pPr>
              <w:rPr>
                <w:rFonts w:hint="default"/>
                <w:lang w:val="en-US" w:eastAsia="zh-CN"/>
              </w:rPr>
            </w:pPr>
          </w:p>
        </w:tc>
        <w:tc>
          <w:tcPr>
            <w:tcW w:w="1138" w:type="dxa"/>
            <w:vAlign w:val="center"/>
          </w:tcPr>
          <w:p>
            <w:pPr>
              <w:rPr>
                <w:rFonts w:hint="default"/>
                <w:lang w:val="en-US" w:eastAsia="zh-CN"/>
              </w:rPr>
            </w:pPr>
            <w:r>
              <w:rPr>
                <w:rFonts w:hint="default"/>
                <w:lang w:val="en-US" w:eastAsia="zh-CN"/>
              </w:rPr>
              <w:t>6.2.8</w:t>
            </w:r>
          </w:p>
        </w:tc>
        <w:tc>
          <w:tcPr>
            <w:tcW w:w="4362" w:type="dxa"/>
            <w:vAlign w:val="center"/>
          </w:tcPr>
          <w:p>
            <w:pPr>
              <w:rPr>
                <w:rFonts w:hint="default"/>
                <w:lang w:val="en-US" w:eastAsia="zh-CN"/>
              </w:rPr>
            </w:pPr>
            <w:r>
              <w:rPr>
                <w:rFonts w:hint="default"/>
                <w:lang w:val="en-US" w:eastAsia="zh-CN"/>
              </w:rPr>
              <w:t>设置用水远传计量系统、水质在线监测系统，评价总分值为7分，并按下列规则分别评分并累计：</w:t>
            </w:r>
          </w:p>
          <w:p>
            <w:pPr>
              <w:rPr>
                <w:rFonts w:hint="default"/>
                <w:lang w:val="en-US" w:eastAsia="zh-CN"/>
              </w:rPr>
            </w:pPr>
            <w:r>
              <w:rPr>
                <w:rFonts w:hint="default"/>
                <w:lang w:val="en-US" w:eastAsia="zh-CN"/>
              </w:rPr>
              <w:t>1 设置用水量远传计量系统，能分类、分级记录、统计分析各种用水情况，得3分；</w:t>
            </w:r>
          </w:p>
          <w:p>
            <w:pPr>
              <w:rPr>
                <w:rFonts w:hint="default"/>
                <w:lang w:val="en-US" w:eastAsia="zh-CN"/>
              </w:rPr>
            </w:pPr>
            <w:r>
              <w:rPr>
                <w:rFonts w:hint="default"/>
                <w:lang w:val="en-US" w:eastAsia="zh-CN"/>
              </w:rPr>
              <w:t>利用计量数据进行管网漏损自动检测、分析与整改，管道漏损率低于5％，得2分；</w:t>
            </w:r>
          </w:p>
          <w:p>
            <w:pPr>
              <w:rPr>
                <w:rFonts w:hint="default"/>
                <w:lang w:val="en-US" w:eastAsia="zh-CN"/>
              </w:rPr>
            </w:pPr>
            <w:r>
              <w:rPr>
                <w:rFonts w:hint="default"/>
                <w:lang w:val="en-US" w:eastAsia="zh-CN"/>
              </w:rPr>
              <w:t>3 设置水质在线监测系统，监测生活饮用水、管道直饮水、游泳池水、非传统水源、空调冷却水的水质指标，记录并保存水质监测结果，且能随时供用户查询，得2分。</w:t>
            </w:r>
          </w:p>
        </w:tc>
        <w:tc>
          <w:tcPr>
            <w:tcW w:w="3738" w:type="dxa"/>
            <w:vAlign w:val="center"/>
          </w:tcPr>
          <w:p>
            <w:pPr>
              <w:rPr>
                <w:rFonts w:hint="default"/>
                <w:lang w:val="en-US" w:eastAsia="zh-CN"/>
              </w:rPr>
            </w:pPr>
            <w:r>
              <w:rPr>
                <w:rFonts w:hint="default"/>
                <w:lang w:val="en-US" w:eastAsia="zh-CN"/>
              </w:rPr>
              <w:t>□给水排水专业竣工图及设计说明</w:t>
            </w:r>
          </w:p>
          <w:p>
            <w:pPr>
              <w:rPr>
                <w:rFonts w:hint="default"/>
                <w:lang w:val="en-US" w:eastAsia="zh-CN"/>
              </w:rPr>
            </w:pPr>
            <w:r>
              <w:rPr>
                <w:rFonts w:hint="default"/>
                <w:lang w:val="en-US" w:eastAsia="zh-CN"/>
              </w:rPr>
              <w:t>□相关管理制度或监测记录</w:t>
            </w:r>
          </w:p>
          <w:p>
            <w:pPr>
              <w:rPr>
                <w:rFonts w:hint="default"/>
                <w:lang w:val="en-US" w:eastAsia="zh-CN"/>
              </w:rPr>
            </w:pP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 w:type="dxa"/>
            <w:vMerge w:val="continue"/>
            <w:vAlign w:val="center"/>
          </w:tcPr>
          <w:p>
            <w:pPr>
              <w:rPr>
                <w:rFonts w:hint="default"/>
                <w:lang w:val="en-US" w:eastAsia="zh-CN"/>
              </w:rPr>
            </w:pPr>
          </w:p>
        </w:tc>
        <w:tc>
          <w:tcPr>
            <w:tcW w:w="1138" w:type="dxa"/>
            <w:vAlign w:val="center"/>
          </w:tcPr>
          <w:p>
            <w:pPr>
              <w:rPr>
                <w:rFonts w:hint="default"/>
                <w:lang w:val="en-US" w:eastAsia="zh-CN"/>
              </w:rPr>
            </w:pPr>
            <w:r>
              <w:rPr>
                <w:rFonts w:hint="default"/>
                <w:lang w:val="en-US" w:eastAsia="zh-CN"/>
              </w:rPr>
              <w:t>6.2.11</w:t>
            </w:r>
          </w:p>
        </w:tc>
        <w:tc>
          <w:tcPr>
            <w:tcW w:w="4362" w:type="dxa"/>
            <w:vAlign w:val="center"/>
          </w:tcPr>
          <w:p>
            <w:pPr>
              <w:rPr>
                <w:rFonts w:hint="default"/>
                <w:lang w:val="en-US" w:eastAsia="zh-CN"/>
              </w:rPr>
            </w:pPr>
            <w:r>
              <w:rPr>
                <w:rFonts w:hint="default"/>
                <w:lang w:val="en-US" w:eastAsia="zh-CN"/>
              </w:rPr>
              <w:t>建筑平均日用水量满足现行国家标准《民用建筑节水设计标准》GB 50555中节水用水定额的要求，评价总分值为5分，并按下列规则评分：</w:t>
            </w:r>
          </w:p>
          <w:p>
            <w:pPr>
              <w:rPr>
                <w:rFonts w:hint="default"/>
                <w:lang w:val="en-US" w:eastAsia="zh-CN"/>
              </w:rPr>
            </w:pPr>
            <w:r>
              <w:rPr>
                <w:rFonts w:hint="default"/>
                <w:lang w:val="en-US" w:eastAsia="zh-CN"/>
              </w:rPr>
              <w:t>1 平均日用水量大于节水用水定额的平均值、不大于上限值，得2分。2 平均日用水量大于节水用水定额下限值、不大于平均值，得3分。</w:t>
            </w:r>
          </w:p>
          <w:p>
            <w:pPr>
              <w:rPr>
                <w:rFonts w:hint="default"/>
                <w:lang w:val="en-US" w:eastAsia="zh-CN"/>
              </w:rPr>
            </w:pPr>
            <w:r>
              <w:rPr>
                <w:rFonts w:hint="default"/>
                <w:lang w:val="en-US" w:eastAsia="zh-CN"/>
              </w:rPr>
              <w:t>3 平均日用水量不大于节水用水定额下限值，得5分。</w:t>
            </w:r>
          </w:p>
        </w:tc>
        <w:tc>
          <w:tcPr>
            <w:tcW w:w="3738" w:type="dxa"/>
            <w:vAlign w:val="center"/>
          </w:tcPr>
          <w:p>
            <w:pPr>
              <w:rPr>
                <w:rFonts w:hint="default"/>
                <w:lang w:val="en-US" w:eastAsia="zh-CN"/>
              </w:rPr>
            </w:pPr>
            <w:r>
              <w:rPr>
                <w:rFonts w:hint="default"/>
                <w:lang w:val="en-US" w:eastAsia="zh-CN"/>
              </w:rPr>
              <w:t>□实测用水量计量报告</w:t>
            </w:r>
          </w:p>
          <w:p>
            <w:pPr>
              <w:rPr>
                <w:rFonts w:hint="default"/>
                <w:lang w:val="en-US" w:eastAsia="zh-CN"/>
              </w:rPr>
            </w:pPr>
            <w:r>
              <w:rPr>
                <w:rFonts w:hint="default"/>
                <w:lang w:val="en-US" w:eastAsia="zh-CN"/>
              </w:rPr>
              <w:t>□建筑平均日用水量计算书</w:t>
            </w:r>
          </w:p>
          <w:p>
            <w:pPr>
              <w:rPr>
                <w:rFonts w:hint="default"/>
                <w:lang w:val="en-US" w:eastAsia="zh-CN"/>
              </w:rPr>
            </w:pP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62" w:type="dxa"/>
            <w:vMerge w:val="continue"/>
            <w:vAlign w:val="center"/>
          </w:tcPr>
          <w:p>
            <w:pPr>
              <w:rPr>
                <w:rFonts w:hint="default"/>
                <w:lang w:val="en-US" w:eastAsia="zh-CN"/>
              </w:rPr>
            </w:pPr>
          </w:p>
        </w:tc>
        <w:tc>
          <w:tcPr>
            <w:tcW w:w="1138" w:type="dxa"/>
            <w:vAlign w:val="center"/>
          </w:tcPr>
          <w:p>
            <w:pPr>
              <w:rPr>
                <w:rFonts w:hint="default"/>
                <w:lang w:val="en-US" w:eastAsia="zh-CN"/>
              </w:rPr>
            </w:pPr>
            <w:r>
              <w:rPr>
                <w:rFonts w:hint="default"/>
                <w:lang w:val="en-US" w:eastAsia="zh-CN"/>
              </w:rPr>
              <w:t>6.2.12（4）</w:t>
            </w:r>
          </w:p>
        </w:tc>
        <w:tc>
          <w:tcPr>
            <w:tcW w:w="4362" w:type="dxa"/>
            <w:vAlign w:val="center"/>
          </w:tcPr>
          <w:p>
            <w:pPr>
              <w:rPr>
                <w:rFonts w:hint="default"/>
                <w:lang w:val="en-US" w:eastAsia="zh-CN"/>
              </w:rPr>
            </w:pPr>
            <w:r>
              <w:rPr>
                <w:rFonts w:hint="default"/>
                <w:lang w:val="en-US" w:eastAsia="zh-CN"/>
              </w:rPr>
              <w:t>定期对各类用水水质进行检测、公示，得2分。</w:t>
            </w:r>
          </w:p>
        </w:tc>
        <w:tc>
          <w:tcPr>
            <w:tcW w:w="3738" w:type="dxa"/>
            <w:vAlign w:val="center"/>
          </w:tcPr>
          <w:p>
            <w:pPr>
              <w:rPr>
                <w:rFonts w:hint="default"/>
                <w:lang w:val="en-US" w:eastAsia="zh-CN"/>
              </w:rPr>
            </w:pPr>
            <w:r>
              <w:rPr>
                <w:rFonts w:hint="default"/>
                <w:lang w:val="en-US" w:eastAsia="zh-CN"/>
              </w:rPr>
              <w:t>□检测报告及公示报告</w:t>
            </w:r>
          </w:p>
          <w:p>
            <w:pPr>
              <w:rPr>
                <w:rFonts w:hint="default"/>
                <w:lang w:val="en-US" w:eastAsia="zh-CN"/>
              </w:rPr>
            </w:pPr>
            <w:r>
              <w:rPr>
                <w:rFonts w:hint="default"/>
                <w:lang w:val="en-US" w:eastAsia="zh-CN"/>
              </w:rPr>
              <w:t>□现场检查</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2" w:type="dxa"/>
            <w:vMerge w:val="continue"/>
            <w:vAlign w:val="center"/>
          </w:tcPr>
          <w:p>
            <w:pPr>
              <w:rPr>
                <w:rFonts w:hint="default"/>
                <w:lang w:val="en-US" w:eastAsia="zh-CN"/>
              </w:rPr>
            </w:pPr>
          </w:p>
        </w:tc>
        <w:tc>
          <w:tcPr>
            <w:tcW w:w="1138" w:type="dxa"/>
            <w:vAlign w:val="center"/>
          </w:tcPr>
          <w:p>
            <w:pPr>
              <w:rPr>
                <w:rFonts w:hint="default"/>
                <w:lang w:val="en-US" w:eastAsia="zh-CN"/>
              </w:rPr>
            </w:pPr>
            <w:r>
              <w:rPr>
                <w:rFonts w:hint="default"/>
                <w:lang w:val="en-US" w:eastAsia="zh-CN"/>
              </w:rPr>
              <w:t>7.2.10</w:t>
            </w:r>
          </w:p>
        </w:tc>
        <w:tc>
          <w:tcPr>
            <w:tcW w:w="4362" w:type="dxa"/>
            <w:vAlign w:val="center"/>
          </w:tcPr>
          <w:p>
            <w:pPr>
              <w:rPr>
                <w:rFonts w:hint="default"/>
                <w:lang w:val="en-US" w:eastAsia="zh-CN"/>
              </w:rPr>
            </w:pPr>
            <w:r>
              <w:rPr>
                <w:rFonts w:hint="default"/>
                <w:lang w:val="en-US" w:eastAsia="zh-CN"/>
              </w:rPr>
              <w:t>使用较高用水效率等级的卫生器具，评价总分值为15分，并按下列规则评分：</w:t>
            </w:r>
          </w:p>
          <w:p>
            <w:pPr>
              <w:rPr>
                <w:rFonts w:hint="default"/>
                <w:lang w:val="en-US" w:eastAsia="zh-CN"/>
              </w:rPr>
            </w:pPr>
            <w:r>
              <w:rPr>
                <w:rFonts w:hint="default"/>
                <w:lang w:val="en-US" w:eastAsia="zh-CN"/>
              </w:rPr>
              <w:t>1 全部卫生器具的用水效率等级达到2级，得8分。</w:t>
            </w:r>
          </w:p>
          <w:p>
            <w:pPr>
              <w:rPr>
                <w:rFonts w:hint="default"/>
                <w:lang w:val="en-US" w:eastAsia="zh-CN"/>
              </w:rPr>
            </w:pPr>
            <w:r>
              <w:rPr>
                <w:rFonts w:hint="default"/>
                <w:lang w:val="en-US" w:eastAsia="zh-CN"/>
              </w:rPr>
              <w:t>2 50％以上卫生器具的用水效率等级达到1级且其他达到2级，得12分。</w:t>
            </w:r>
          </w:p>
          <w:p>
            <w:pPr>
              <w:rPr>
                <w:rFonts w:hint="default"/>
                <w:lang w:val="en-US" w:eastAsia="zh-CN"/>
              </w:rPr>
            </w:pPr>
            <w:r>
              <w:rPr>
                <w:rFonts w:hint="default"/>
                <w:lang w:val="en-US" w:eastAsia="zh-CN"/>
              </w:rPr>
              <w:t>3 全部卫生器具的用水效率等级达到1级，得15分。</w:t>
            </w:r>
          </w:p>
        </w:tc>
        <w:tc>
          <w:tcPr>
            <w:tcW w:w="3738" w:type="dxa"/>
            <w:vAlign w:val="center"/>
          </w:tcPr>
          <w:p>
            <w:pPr>
              <w:rPr>
                <w:rFonts w:hint="default"/>
                <w:lang w:val="en-US" w:eastAsia="zh-CN"/>
              </w:rPr>
            </w:pPr>
            <w:r>
              <w:rPr>
                <w:rFonts w:hint="default"/>
                <w:lang w:val="en-US" w:eastAsia="zh-CN"/>
              </w:rPr>
              <w:t>□给水排水专业竣工图</w:t>
            </w:r>
          </w:p>
          <w:p>
            <w:pPr>
              <w:rPr>
                <w:rFonts w:hint="default"/>
                <w:lang w:val="en-US" w:eastAsia="zh-CN"/>
              </w:rPr>
            </w:pPr>
            <w:r>
              <w:rPr>
                <w:rFonts w:hint="default"/>
                <w:lang w:val="en-US" w:eastAsia="zh-CN"/>
              </w:rPr>
              <w:t>□产品说明书</w:t>
            </w:r>
          </w:p>
          <w:p>
            <w:pPr>
              <w:rPr>
                <w:rFonts w:hint="default"/>
                <w:lang w:val="en-US" w:eastAsia="zh-CN"/>
              </w:rPr>
            </w:pPr>
            <w:r>
              <w:rPr>
                <w:rFonts w:hint="default"/>
                <w:lang w:val="en-US" w:eastAsia="zh-CN"/>
              </w:rPr>
              <w:t>□设计说明</w:t>
            </w:r>
          </w:p>
          <w:p>
            <w:pPr>
              <w:rPr>
                <w:rFonts w:hint="default"/>
                <w:lang w:val="en-US" w:eastAsia="zh-CN"/>
              </w:rPr>
            </w:pPr>
            <w:r>
              <w:rPr>
                <w:rFonts w:hint="default"/>
                <w:lang w:val="en-US" w:eastAsia="zh-CN"/>
              </w:rPr>
              <w:t>□产品节水性能检测报告</w:t>
            </w:r>
          </w:p>
          <w:p>
            <w:pPr>
              <w:rPr>
                <w:rFonts w:hint="default"/>
                <w:lang w:val="en-US" w:eastAsia="zh-CN"/>
              </w:rPr>
            </w:pP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□一星级</w:t>
            </w:r>
          </w:p>
          <w:p>
            <w:pPr>
              <w:rPr>
                <w:rFonts w:hint="default"/>
                <w:lang w:val="en-US" w:eastAsia="zh-CN"/>
              </w:rPr>
            </w:pPr>
            <w:r>
              <w:rPr>
                <w:rFonts w:hint="default"/>
                <w:lang w:val="en-US" w:eastAsia="zh-CN"/>
              </w:rPr>
              <w:t>□二星级</w:t>
            </w:r>
          </w:p>
          <w:p>
            <w:pPr>
              <w:rPr>
                <w:rFonts w:hint="default"/>
                <w:lang w:val="en-US" w:eastAsia="zh-CN"/>
              </w:rPr>
            </w:pPr>
            <w:r>
              <w:rPr>
                <w:rFonts w:hint="default"/>
                <w:lang w:val="en-US" w:eastAsia="zh-CN"/>
              </w:rPr>
              <w:t>□三星级</w:t>
            </w:r>
          </w:p>
          <w:p>
            <w:pPr>
              <w:rPr>
                <w:rFonts w:hint="default"/>
                <w:lang w:val="en-US" w:eastAsia="zh-CN"/>
              </w:rPr>
            </w:pPr>
            <w:r>
              <w:rPr>
                <w:rFonts w:hint="default"/>
                <w:lang w:val="en-US" w:eastAsia="zh-CN"/>
              </w:rPr>
              <w:t>□不通过</w:t>
            </w: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62" w:type="dxa"/>
            <w:vMerge w:val="continue"/>
            <w:vAlign w:val="center"/>
          </w:tcPr>
          <w:p>
            <w:pPr>
              <w:rPr>
                <w:rFonts w:hint="default"/>
                <w:lang w:val="en-US" w:eastAsia="zh-CN"/>
              </w:rPr>
            </w:pPr>
          </w:p>
        </w:tc>
        <w:tc>
          <w:tcPr>
            <w:tcW w:w="1138" w:type="dxa"/>
            <w:vAlign w:val="center"/>
          </w:tcPr>
          <w:p>
            <w:pPr>
              <w:rPr>
                <w:rFonts w:hint="default"/>
                <w:lang w:val="en-US" w:eastAsia="zh-CN"/>
              </w:rPr>
            </w:pPr>
            <w:r>
              <w:rPr>
                <w:rFonts w:hint="default"/>
                <w:lang w:val="en-US" w:eastAsia="zh-CN"/>
              </w:rPr>
              <w:t>7.2.11（1）</w:t>
            </w:r>
          </w:p>
        </w:tc>
        <w:tc>
          <w:tcPr>
            <w:tcW w:w="4362" w:type="dxa"/>
            <w:vAlign w:val="center"/>
          </w:tcPr>
          <w:p>
            <w:pPr>
              <w:rPr>
                <w:rFonts w:hint="default"/>
                <w:lang w:val="en-US" w:eastAsia="zh-CN"/>
              </w:rPr>
            </w:pPr>
            <w:r>
              <w:rPr>
                <w:rFonts w:hint="default"/>
                <w:lang w:val="en-US" w:eastAsia="zh-CN"/>
              </w:rPr>
              <w:t xml:space="preserve"> 绿化灌溉采用节水设备或技术，评价总分值为6分，并按下列规则分别评分并累计：</w:t>
            </w:r>
          </w:p>
          <w:p>
            <w:pPr>
              <w:rPr>
                <w:rFonts w:hint="default"/>
                <w:lang w:val="en-US" w:eastAsia="zh-CN"/>
              </w:rPr>
            </w:pPr>
            <w:r>
              <w:rPr>
                <w:rFonts w:hint="default"/>
                <w:lang w:val="en-US" w:eastAsia="zh-CN"/>
              </w:rPr>
              <w:t> 1 绿化灌溉采用节水设备或技术，并按下列规则评分：</w:t>
            </w:r>
            <w:r>
              <w:rPr>
                <w:rFonts w:hint="default"/>
                <w:lang w:val="en-US" w:eastAsia="zh-CN"/>
              </w:rPr>
              <w:br w:type="textWrapping"/>
            </w:r>
            <w:r>
              <w:rPr>
                <w:rFonts w:hint="default"/>
                <w:lang w:val="en-US" w:eastAsia="zh-CN"/>
              </w:rPr>
              <w:t>   1)采用节水灌溉系统，得4分。</w:t>
            </w:r>
            <w:r>
              <w:rPr>
                <w:rFonts w:hint="default"/>
                <w:lang w:val="en-US" w:eastAsia="zh-CN"/>
              </w:rPr>
              <w:br w:type="textWrapping"/>
            </w:r>
            <w:r>
              <w:rPr>
                <w:rFonts w:hint="default"/>
                <w:lang w:val="en-US" w:eastAsia="zh-CN"/>
              </w:rPr>
              <w:t>   2)在采用节水灌溉系统的基础上，设置土壤湿度感应器、雨天自动关闭装置等节水控制措施，或种植无须永久灌溉植物，得6分。</w:t>
            </w:r>
          </w:p>
        </w:tc>
        <w:tc>
          <w:tcPr>
            <w:tcW w:w="3738" w:type="dxa"/>
            <w:vAlign w:val="center"/>
          </w:tcPr>
          <w:p>
            <w:pPr>
              <w:rPr>
                <w:rFonts w:hint="default"/>
                <w:lang w:val="en-US" w:eastAsia="zh-CN"/>
              </w:rPr>
            </w:pPr>
            <w:r>
              <w:rPr>
                <w:rFonts w:hint="default"/>
                <w:lang w:val="en-US" w:eastAsia="zh-CN"/>
              </w:rPr>
              <w:t>□给水排水专业竣工图及设计说明</w:t>
            </w:r>
          </w:p>
          <w:p>
            <w:pPr>
              <w:rPr>
                <w:rFonts w:hint="default"/>
                <w:lang w:val="en-US" w:eastAsia="zh-CN"/>
              </w:rPr>
            </w:pPr>
            <w:r>
              <w:rPr>
                <w:rFonts w:hint="default"/>
                <w:lang w:val="en-US" w:eastAsia="zh-CN"/>
              </w:rPr>
              <w:t>□产品说明书</w:t>
            </w:r>
          </w:p>
          <w:p>
            <w:pPr>
              <w:rPr>
                <w:rFonts w:hint="default"/>
                <w:lang w:val="en-US" w:eastAsia="zh-CN"/>
              </w:rPr>
            </w:pPr>
            <w:r>
              <w:rPr>
                <w:rFonts w:hint="default"/>
                <w:lang w:val="en-US" w:eastAsia="zh-CN"/>
              </w:rPr>
              <w:t>□产品节水性能检测报告</w:t>
            </w:r>
          </w:p>
          <w:p>
            <w:pPr>
              <w:rPr>
                <w:rFonts w:hint="default"/>
                <w:lang w:val="en-US" w:eastAsia="zh-CN"/>
              </w:rPr>
            </w:pP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962" w:type="dxa"/>
            <w:vMerge w:val="continue"/>
            <w:vAlign w:val="center"/>
          </w:tcPr>
          <w:p>
            <w:pPr>
              <w:rPr>
                <w:rFonts w:hint="default"/>
                <w:lang w:val="en-US" w:eastAsia="zh-CN"/>
              </w:rPr>
            </w:pPr>
          </w:p>
        </w:tc>
        <w:tc>
          <w:tcPr>
            <w:tcW w:w="1138" w:type="dxa"/>
            <w:vAlign w:val="center"/>
          </w:tcPr>
          <w:p>
            <w:pPr>
              <w:rPr>
                <w:rFonts w:hint="default"/>
                <w:lang w:val="en-US" w:eastAsia="zh-CN"/>
              </w:rPr>
            </w:pPr>
            <w:r>
              <w:rPr>
                <w:rFonts w:hint="default"/>
                <w:lang w:val="en-US" w:eastAsia="zh-CN"/>
              </w:rPr>
              <w:t>7.2.12</w:t>
            </w:r>
          </w:p>
        </w:tc>
        <w:tc>
          <w:tcPr>
            <w:tcW w:w="4362" w:type="dxa"/>
            <w:vAlign w:val="center"/>
          </w:tcPr>
          <w:p>
            <w:pPr>
              <w:rPr>
                <w:rFonts w:hint="default"/>
                <w:lang w:val="en-US" w:eastAsia="zh-CN"/>
              </w:rPr>
            </w:pPr>
            <w:r>
              <w:rPr>
                <w:rFonts w:hint="default"/>
                <w:lang w:val="en-US" w:eastAsia="zh-CN"/>
              </w:rPr>
              <w:t xml:space="preserve"> 结合雨水综合利用设施营造室外景观水体，室外景观水体利用雨水的补水量大于水体蒸发量的60％，且采用保障水体水质的生态水处理技术，评价总分值为8分，并按下列规则分别评分并累计： </w:t>
            </w:r>
          </w:p>
          <w:p>
            <w:pPr>
              <w:rPr>
                <w:rFonts w:hint="default"/>
                <w:lang w:val="en-US" w:eastAsia="zh-CN"/>
              </w:rPr>
            </w:pPr>
            <w:r>
              <w:rPr>
                <w:rFonts w:hint="default"/>
                <w:lang w:val="en-US" w:eastAsia="zh-CN"/>
              </w:rPr>
              <w:t> 1 对进入室外景观水体的雨水，利用生态设施削减径流污染，得4分；</w:t>
            </w:r>
            <w:r>
              <w:rPr>
                <w:rFonts w:hint="default"/>
                <w:lang w:val="en-US" w:eastAsia="zh-CN"/>
              </w:rPr>
              <w:br w:type="textWrapping"/>
            </w:r>
            <w:r>
              <w:rPr>
                <w:rFonts w:hint="default"/>
                <w:lang w:val="en-US" w:eastAsia="zh-CN"/>
              </w:rPr>
              <w:t> 2 利用水生动、植物保障室外景观水体水质，得4分。</w:t>
            </w:r>
          </w:p>
        </w:tc>
        <w:tc>
          <w:tcPr>
            <w:tcW w:w="3738" w:type="dxa"/>
            <w:vAlign w:val="center"/>
          </w:tcPr>
          <w:p>
            <w:pPr>
              <w:rPr>
                <w:rFonts w:hint="default"/>
                <w:lang w:val="en-US" w:eastAsia="zh-CN"/>
              </w:rPr>
            </w:pPr>
            <w:r>
              <w:rPr>
                <w:rFonts w:hint="default"/>
                <w:lang w:val="en-US" w:eastAsia="zh-CN"/>
              </w:rPr>
              <w:t>□给水排水专业竣工图</w:t>
            </w:r>
          </w:p>
          <w:p>
            <w:pPr>
              <w:rPr>
                <w:rFonts w:hint="default"/>
                <w:lang w:val="en-US" w:eastAsia="zh-CN"/>
              </w:rPr>
            </w:pPr>
            <w:r>
              <w:rPr>
                <w:rFonts w:hint="default"/>
                <w:lang w:val="en-US" w:eastAsia="zh-CN"/>
              </w:rPr>
              <w:t>□海绵城市设计文件</w:t>
            </w:r>
          </w:p>
          <w:p>
            <w:pPr>
              <w:rPr>
                <w:rFonts w:hint="default"/>
                <w:lang w:val="en-US" w:eastAsia="zh-CN"/>
              </w:rPr>
            </w:pPr>
            <w:r>
              <w:rPr>
                <w:rFonts w:hint="default"/>
                <w:lang w:val="en-US" w:eastAsia="zh-CN"/>
              </w:rPr>
              <w:t>□景观水体水质检测报告</w:t>
            </w:r>
          </w:p>
          <w:p>
            <w:pPr>
              <w:rPr>
                <w:rFonts w:hint="default"/>
                <w:lang w:val="en-US" w:eastAsia="zh-CN"/>
              </w:rPr>
            </w:pP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962" w:type="dxa"/>
            <w:vMerge w:val="continue"/>
            <w:vAlign w:val="center"/>
          </w:tcPr>
          <w:p>
            <w:pPr>
              <w:rPr>
                <w:rFonts w:hint="default"/>
                <w:lang w:val="en-US" w:eastAsia="zh-CN"/>
              </w:rPr>
            </w:pPr>
          </w:p>
        </w:tc>
        <w:tc>
          <w:tcPr>
            <w:tcW w:w="1138" w:type="dxa"/>
            <w:vAlign w:val="center"/>
          </w:tcPr>
          <w:p>
            <w:pPr>
              <w:rPr>
                <w:rFonts w:hint="default"/>
                <w:lang w:val="en-US" w:eastAsia="zh-CN"/>
              </w:rPr>
            </w:pPr>
            <w:r>
              <w:rPr>
                <w:rFonts w:hint="default"/>
                <w:lang w:val="en-US" w:eastAsia="zh-CN"/>
              </w:rPr>
              <w:t xml:space="preserve">7.2.13 </w:t>
            </w:r>
          </w:p>
        </w:tc>
        <w:tc>
          <w:tcPr>
            <w:tcW w:w="4362" w:type="dxa"/>
            <w:vAlign w:val="center"/>
          </w:tcPr>
          <w:p>
            <w:pPr>
              <w:rPr>
                <w:rFonts w:hint="default"/>
                <w:lang w:val="en-US" w:eastAsia="zh-CN"/>
              </w:rPr>
            </w:pPr>
            <w:r>
              <w:rPr>
                <w:rFonts w:hint="default"/>
                <w:lang w:val="en-US" w:eastAsia="zh-CN"/>
              </w:rPr>
              <w:t>使用非传统水源，评价总分值为15分，并按下列规则分别评分并累计：</w:t>
            </w:r>
            <w:r>
              <w:rPr>
                <w:rFonts w:hint="default"/>
                <w:lang w:val="en-US" w:eastAsia="zh-CN"/>
              </w:rPr>
              <w:br w:type="textWrapping"/>
            </w:r>
            <w:r>
              <w:rPr>
                <w:rFonts w:hint="default"/>
                <w:lang w:val="en-US" w:eastAsia="zh-CN"/>
              </w:rPr>
              <w:t>    1 绿化灌溉、车库及道路冲洗、洗车用水采用非传统水源的用水量占其总用水量的比例不低于40％，得3分；不低于60％，得5分；</w:t>
            </w:r>
            <w:r>
              <w:rPr>
                <w:rFonts w:hint="default"/>
                <w:lang w:val="en-US" w:eastAsia="zh-CN"/>
              </w:rPr>
              <w:br w:type="textWrapping"/>
            </w:r>
            <w:r>
              <w:rPr>
                <w:rFonts w:hint="default"/>
                <w:lang w:val="en-US" w:eastAsia="zh-CN"/>
              </w:rPr>
              <w:t>    2 冲厕采用非传统水源的用水量占其总用水量的比例不低于30％，得3分；不低于50％，得5分；</w:t>
            </w:r>
            <w:r>
              <w:rPr>
                <w:rFonts w:hint="default"/>
                <w:lang w:val="en-US" w:eastAsia="zh-CN"/>
              </w:rPr>
              <w:br w:type="textWrapping"/>
            </w:r>
            <w:r>
              <w:rPr>
                <w:rFonts w:hint="default"/>
                <w:lang w:val="en-US" w:eastAsia="zh-CN"/>
              </w:rPr>
              <w:t>    3 冷却水补水采用非传统水源的用水量占其总用水量的比例不低于20％，得3分；不低于40％，得5分。</w:t>
            </w:r>
          </w:p>
        </w:tc>
        <w:tc>
          <w:tcPr>
            <w:tcW w:w="3738" w:type="dxa"/>
            <w:vAlign w:val="center"/>
          </w:tcPr>
          <w:p>
            <w:pPr>
              <w:rPr>
                <w:rFonts w:hint="default"/>
                <w:lang w:val="en-US" w:eastAsia="zh-CN"/>
              </w:rPr>
            </w:pPr>
            <w:r>
              <w:rPr>
                <w:rFonts w:hint="default"/>
                <w:lang w:val="en-US" w:eastAsia="zh-CN"/>
              </w:rPr>
              <w:t>□给水排水专业竣工图</w:t>
            </w:r>
          </w:p>
          <w:p>
            <w:pPr>
              <w:rPr>
                <w:rFonts w:hint="default"/>
                <w:lang w:val="en-US" w:eastAsia="zh-CN"/>
              </w:rPr>
            </w:pPr>
            <w:r>
              <w:rPr>
                <w:rFonts w:hint="default"/>
                <w:lang w:val="en-US" w:eastAsia="zh-CN"/>
              </w:rPr>
              <w:t>□非传统水源利用计算书</w:t>
            </w:r>
          </w:p>
          <w:p>
            <w:pPr>
              <w:rPr>
                <w:rFonts w:hint="default"/>
                <w:lang w:val="en-US" w:eastAsia="zh-CN"/>
              </w:rPr>
            </w:pPr>
            <w:r>
              <w:rPr>
                <w:rFonts w:hint="default"/>
                <w:lang w:val="en-US" w:eastAsia="zh-CN"/>
              </w:rPr>
              <w:t xml:space="preserve">□非传统水源水质检测报告 </w:t>
            </w:r>
          </w:p>
          <w:p>
            <w:pPr>
              <w:rPr>
                <w:rFonts w:hint="default"/>
                <w:lang w:val="en-US" w:eastAsia="zh-CN"/>
              </w:rPr>
            </w:pP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62" w:type="dxa"/>
            <w:vMerge w:val="continue"/>
            <w:vAlign w:val="center"/>
          </w:tcPr>
          <w:p>
            <w:pPr>
              <w:rPr>
                <w:rFonts w:hint="default"/>
                <w:lang w:val="en-US" w:eastAsia="zh-CN"/>
              </w:rPr>
            </w:pPr>
          </w:p>
        </w:tc>
        <w:tc>
          <w:tcPr>
            <w:tcW w:w="1138" w:type="dxa"/>
            <w:vAlign w:val="center"/>
          </w:tcPr>
          <w:p>
            <w:pPr>
              <w:rPr>
                <w:rFonts w:hint="default"/>
                <w:lang w:val="en-US" w:eastAsia="zh-CN"/>
              </w:rPr>
            </w:pPr>
            <w:r>
              <w:rPr>
                <w:rFonts w:hint="default"/>
                <w:lang w:val="en-US" w:eastAsia="zh-CN"/>
              </w:rPr>
              <w:t>8.2.2</w:t>
            </w:r>
          </w:p>
        </w:tc>
        <w:tc>
          <w:tcPr>
            <w:tcW w:w="4362" w:type="dxa"/>
            <w:vAlign w:val="center"/>
          </w:tcPr>
          <w:p>
            <w:pPr>
              <w:rPr>
                <w:rFonts w:hint="default"/>
                <w:lang w:val="en-US" w:eastAsia="zh-CN"/>
              </w:rPr>
            </w:pPr>
            <w:r>
              <w:rPr>
                <w:rFonts w:hint="default"/>
                <w:lang w:val="en-US" w:eastAsia="zh-CN"/>
              </w:rPr>
              <w:t xml:space="preserve"> 规划场地地表和屋面雨水径流，对场地雨水实施外排总量控制，评价总分值为10分。场地年径流总量控制率达到55％，得5分；达到70％，得10分。</w:t>
            </w:r>
          </w:p>
        </w:tc>
        <w:tc>
          <w:tcPr>
            <w:tcW w:w="3738" w:type="dxa"/>
            <w:vAlign w:val="center"/>
          </w:tcPr>
          <w:p>
            <w:pPr>
              <w:rPr>
                <w:rFonts w:hint="default"/>
                <w:lang w:val="en-US" w:eastAsia="zh-CN"/>
              </w:rPr>
            </w:pPr>
            <w:r>
              <w:rPr>
                <w:rFonts w:hint="default"/>
                <w:lang w:val="en-US" w:eastAsia="zh-CN"/>
              </w:rPr>
              <w:t>☑给水排水专业竣工图</w:t>
            </w:r>
          </w:p>
          <w:p>
            <w:pPr>
              <w:rPr>
                <w:rFonts w:hint="default"/>
                <w:lang w:val="en-US" w:eastAsia="zh-CN"/>
              </w:rPr>
            </w:pPr>
            <w:r>
              <w:rPr>
                <w:rFonts w:hint="default"/>
                <w:lang w:val="en-US" w:eastAsia="zh-CN"/>
              </w:rPr>
              <w:t>□海绵城市设计文件</w:t>
            </w:r>
          </w:p>
          <w:p>
            <w:pPr>
              <w:rPr>
                <w:rFonts w:hint="default"/>
                <w:lang w:val="en-US" w:eastAsia="zh-CN"/>
              </w:rPr>
            </w:pP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9" w:hRule="atLeast"/>
        </w:trPr>
        <w:tc>
          <w:tcPr>
            <w:tcW w:w="962" w:type="dxa"/>
            <w:vMerge w:val="continue"/>
            <w:vAlign w:val="center"/>
          </w:tcPr>
          <w:p>
            <w:pPr>
              <w:rPr>
                <w:rFonts w:hint="default"/>
                <w:lang w:val="en-US" w:eastAsia="zh-CN"/>
              </w:rPr>
            </w:pPr>
          </w:p>
        </w:tc>
        <w:tc>
          <w:tcPr>
            <w:tcW w:w="1138" w:type="dxa"/>
            <w:vAlign w:val="center"/>
          </w:tcPr>
          <w:p>
            <w:pPr>
              <w:rPr>
                <w:rFonts w:hint="default"/>
                <w:lang w:val="en-US" w:eastAsia="zh-CN"/>
              </w:rPr>
            </w:pPr>
            <w:r>
              <w:rPr>
                <w:rFonts w:hint="default"/>
                <w:lang w:val="en-US" w:eastAsia="zh-CN"/>
              </w:rPr>
              <w:t xml:space="preserve">8.2.5 </w:t>
            </w:r>
          </w:p>
        </w:tc>
        <w:tc>
          <w:tcPr>
            <w:tcW w:w="4362" w:type="dxa"/>
            <w:vAlign w:val="center"/>
          </w:tcPr>
          <w:p>
            <w:pPr>
              <w:rPr>
                <w:rFonts w:hint="default"/>
                <w:lang w:val="en-US" w:eastAsia="zh-CN"/>
              </w:rPr>
            </w:pPr>
            <w:r>
              <w:rPr>
                <w:rFonts w:hint="default"/>
                <w:lang w:val="en-US" w:eastAsia="zh-CN"/>
              </w:rPr>
              <w:t>利用场地空间设置绿色雨水基础设施，评价总分值为15分，并按下列规则分别评分并累计：</w:t>
            </w:r>
            <w:r>
              <w:rPr>
                <w:rFonts w:hint="default"/>
                <w:lang w:val="en-US" w:eastAsia="zh-CN"/>
              </w:rPr>
              <w:br w:type="textWrapping"/>
            </w:r>
            <w:r>
              <w:rPr>
                <w:rFonts w:hint="default"/>
                <w:lang w:val="en-US" w:eastAsia="zh-CN"/>
              </w:rPr>
              <w:t>    1 下凹式绿地、雨水花园等有调蓄雨水功能的绿地和水体的面积之和占绿地面积的比例达到40％，得3分；达到60％，得5分；</w:t>
            </w:r>
            <w:r>
              <w:rPr>
                <w:rFonts w:hint="default"/>
                <w:lang w:val="en-US" w:eastAsia="zh-CN"/>
              </w:rPr>
              <w:br w:type="textWrapping"/>
            </w:r>
            <w:r>
              <w:rPr>
                <w:rFonts w:hint="default"/>
                <w:lang w:val="en-US" w:eastAsia="zh-CN"/>
              </w:rPr>
              <w:t>    2 衔接和引导不少于80％的屋面雨水进入地面生态设施，得3分；</w:t>
            </w:r>
            <w:r>
              <w:rPr>
                <w:rFonts w:hint="default"/>
                <w:lang w:val="en-US" w:eastAsia="zh-CN"/>
              </w:rPr>
              <w:br w:type="textWrapping"/>
            </w:r>
            <w:r>
              <w:rPr>
                <w:rFonts w:hint="default"/>
                <w:lang w:val="en-US" w:eastAsia="zh-CN"/>
              </w:rPr>
              <w:t>    3 衔接和引导不少于80％的道路雨水进入地面生态设施，得4分；</w:t>
            </w:r>
            <w:r>
              <w:rPr>
                <w:rFonts w:hint="default"/>
                <w:lang w:val="en-US" w:eastAsia="zh-CN"/>
              </w:rPr>
              <w:br w:type="textWrapping"/>
            </w:r>
            <w:r>
              <w:rPr>
                <w:rFonts w:hint="default"/>
                <w:lang w:val="en-US" w:eastAsia="zh-CN"/>
              </w:rPr>
              <w:t>    4 硬质铺装地面中透水铺装面积的比例达到50％，得3分。</w:t>
            </w:r>
          </w:p>
        </w:tc>
        <w:tc>
          <w:tcPr>
            <w:tcW w:w="3738" w:type="dxa"/>
            <w:vAlign w:val="center"/>
          </w:tcPr>
          <w:p>
            <w:pPr>
              <w:rPr>
                <w:rFonts w:hint="default"/>
                <w:lang w:val="en-US" w:eastAsia="zh-CN"/>
              </w:rPr>
            </w:pPr>
            <w:r>
              <w:rPr>
                <w:rFonts w:hint="default"/>
                <w:lang w:val="en-US" w:eastAsia="zh-CN"/>
              </w:rPr>
              <w:t>□给水排水专业竣工图</w:t>
            </w:r>
          </w:p>
          <w:p>
            <w:pPr>
              <w:rPr>
                <w:rFonts w:hint="default"/>
                <w:lang w:val="en-US" w:eastAsia="zh-CN"/>
              </w:rPr>
            </w:pPr>
            <w:r>
              <w:rPr>
                <w:rFonts w:hint="default"/>
                <w:lang w:val="en-US" w:eastAsia="zh-CN"/>
              </w:rPr>
              <w:t>□海绵城市设计文件</w:t>
            </w:r>
          </w:p>
          <w:p>
            <w:pPr>
              <w:rPr>
                <w:rFonts w:hint="default"/>
                <w:lang w:val="en-US" w:eastAsia="zh-CN"/>
              </w:rPr>
            </w:pP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25"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3137" w:type="dxa"/>
            <w:gridSpan w:val="6"/>
            <w:vAlign w:val="center"/>
          </w:tcPr>
          <w:p>
            <w:pPr>
              <w:rPr>
                <w:rFonts w:hint="default"/>
                <w:lang w:val="en-US" w:eastAsia="zh-CN"/>
              </w:rPr>
            </w:pPr>
            <w:r>
              <w:rPr>
                <w:rFonts w:hint="default"/>
                <w:lang w:val="en-US" w:eastAsia="zh-CN"/>
              </w:rPr>
              <w:t>评审结论：</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t>评审专家（签字）：</w:t>
            </w:r>
          </w:p>
          <w:p>
            <w:pPr>
              <w:rPr>
                <w:rFonts w:hint="default"/>
                <w:lang w:val="en-US" w:eastAsia="zh-CN"/>
              </w:rPr>
            </w:pPr>
          </w:p>
          <w:p>
            <w:pPr>
              <w:rPr>
                <w:rFonts w:hint="default"/>
                <w:lang w:val="en-US" w:eastAsia="zh-CN"/>
              </w:rPr>
            </w:pPr>
            <w:r>
              <w:rPr>
                <w:rFonts w:hint="default"/>
                <w:lang w:val="en-US" w:eastAsia="zh-CN"/>
              </w:rPr>
              <w:t>日期：</w:t>
            </w:r>
          </w:p>
          <w:p>
            <w:pPr>
              <w:rPr>
                <w:rFonts w:hint="default"/>
                <w:lang w:val="en-US" w:eastAsia="zh-CN"/>
              </w:rPr>
            </w:pPr>
          </w:p>
        </w:tc>
      </w:tr>
    </w:tbl>
    <w:p>
      <w:pPr>
        <w:rPr>
          <w:rFonts w:hint="default"/>
          <w:lang w:val="en-US" w:eastAsia="zh-CN"/>
        </w:rPr>
      </w:pPr>
    </w:p>
    <w:p>
      <w:pPr>
        <w:rPr>
          <w:rFonts w:hint="default"/>
          <w:lang w:val="en-US" w:eastAsia="zh-CN"/>
        </w:rPr>
      </w:pPr>
    </w:p>
    <w:p>
      <w:pPr>
        <w:jc w:val="center"/>
        <w:rPr>
          <w:rFonts w:hint="default"/>
          <w:sz w:val="28"/>
          <w:szCs w:val="36"/>
          <w:lang w:val="en-US" w:eastAsia="zh-CN"/>
        </w:rPr>
      </w:pPr>
      <w:r>
        <w:rPr>
          <w:rFonts w:hint="default"/>
          <w:sz w:val="28"/>
          <w:szCs w:val="36"/>
          <w:lang w:val="en-US" w:eastAsia="zh-CN"/>
        </w:rPr>
        <w:t>绿色建筑工程验收专家评审意见表——通风与空调工程</w:t>
      </w:r>
    </w:p>
    <w:tbl>
      <w:tblPr>
        <w:tblStyle w:val="3"/>
        <w:tblW w:w="13138"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50"/>
        <w:gridCol w:w="4350"/>
        <w:gridCol w:w="3725"/>
        <w:gridCol w:w="1625"/>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pPr>
              <w:rPr>
                <w:rFonts w:hint="default"/>
                <w:lang w:val="en-US" w:eastAsia="zh-CN"/>
              </w:rPr>
            </w:pPr>
            <w:r>
              <w:rPr>
                <w:rFonts w:hint="default"/>
                <w:lang w:val="en-US" w:eastAsia="zh-CN"/>
              </w:rPr>
              <w:t>类别</w:t>
            </w:r>
          </w:p>
        </w:tc>
        <w:tc>
          <w:tcPr>
            <w:tcW w:w="1150" w:type="dxa"/>
            <w:vAlign w:val="center"/>
          </w:tcPr>
          <w:p>
            <w:pPr>
              <w:rPr>
                <w:rFonts w:hint="default"/>
                <w:lang w:val="en-US" w:eastAsia="zh-CN"/>
              </w:rPr>
            </w:pPr>
            <w:r>
              <w:rPr>
                <w:rFonts w:hint="default"/>
                <w:lang w:val="en-US" w:eastAsia="zh-CN"/>
              </w:rPr>
              <w:t>评价标准条文编号</w:t>
            </w:r>
          </w:p>
        </w:tc>
        <w:tc>
          <w:tcPr>
            <w:tcW w:w="4350" w:type="dxa"/>
            <w:vAlign w:val="center"/>
          </w:tcPr>
          <w:p>
            <w:pPr>
              <w:rPr>
                <w:rFonts w:hint="default"/>
                <w:lang w:val="en-US" w:eastAsia="zh-CN"/>
              </w:rPr>
            </w:pPr>
            <w:r>
              <w:rPr>
                <w:rFonts w:hint="default"/>
                <w:lang w:val="en-US" w:eastAsia="zh-CN"/>
              </w:rPr>
              <w:t>条文内容及分值</w:t>
            </w:r>
          </w:p>
        </w:tc>
        <w:tc>
          <w:tcPr>
            <w:tcW w:w="3725" w:type="dxa"/>
            <w:vAlign w:val="center"/>
          </w:tcPr>
          <w:p>
            <w:pPr>
              <w:rPr>
                <w:rFonts w:hint="default"/>
                <w:lang w:val="en-US" w:eastAsia="zh-CN"/>
              </w:rPr>
            </w:pPr>
            <w:r>
              <w:rPr>
                <w:rFonts w:hint="default"/>
                <w:lang w:val="en-US" w:eastAsia="zh-CN"/>
              </w:rPr>
              <w:t>证明文件</w:t>
            </w:r>
          </w:p>
        </w:tc>
        <w:tc>
          <w:tcPr>
            <w:tcW w:w="1625" w:type="dxa"/>
            <w:vAlign w:val="center"/>
          </w:tcPr>
          <w:p>
            <w:pPr>
              <w:rPr>
                <w:rFonts w:hint="default"/>
                <w:lang w:val="en-US" w:eastAsia="zh-CN"/>
              </w:rPr>
            </w:pPr>
            <w:r>
              <w:rPr>
                <w:rFonts w:hint="default"/>
                <w:lang w:val="en-US" w:eastAsia="zh-CN"/>
              </w:rPr>
              <w:t>评审结果</w:t>
            </w:r>
          </w:p>
        </w:tc>
        <w:tc>
          <w:tcPr>
            <w:tcW w:w="1338" w:type="dxa"/>
            <w:vAlign w:val="center"/>
          </w:tcPr>
          <w:p>
            <w:pPr>
              <w:rPr>
                <w:rFonts w:hint="default"/>
                <w:lang w:val="en-US" w:eastAsia="zh-CN"/>
              </w:rPr>
            </w:pPr>
            <w:r>
              <w:rPr>
                <w:rFonts w:hint="default"/>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0" w:type="dxa"/>
            <w:vMerge w:val="restart"/>
            <w:vAlign w:val="center"/>
          </w:tcPr>
          <w:p>
            <w:pPr>
              <w:rPr>
                <w:rFonts w:hint="default"/>
                <w:lang w:val="en-US" w:eastAsia="zh-CN"/>
              </w:rPr>
            </w:pPr>
            <w:r>
              <w:rPr>
                <w:rFonts w:hint="default"/>
                <w:lang w:val="en-US" w:eastAsia="zh-CN"/>
              </w:rPr>
              <w:t>控制项</w:t>
            </w:r>
          </w:p>
        </w:tc>
        <w:tc>
          <w:tcPr>
            <w:tcW w:w="1150" w:type="dxa"/>
            <w:vAlign w:val="center"/>
          </w:tcPr>
          <w:p>
            <w:pPr>
              <w:rPr>
                <w:rFonts w:hint="default"/>
                <w:lang w:val="en-US" w:eastAsia="zh-CN"/>
              </w:rPr>
            </w:pPr>
            <w:r>
              <w:rPr>
                <w:rFonts w:hint="default"/>
                <w:lang w:val="en-US" w:eastAsia="zh-CN"/>
              </w:rPr>
              <w:t>5.1.6</w:t>
            </w:r>
          </w:p>
        </w:tc>
        <w:tc>
          <w:tcPr>
            <w:tcW w:w="4350" w:type="dxa"/>
            <w:vAlign w:val="center"/>
          </w:tcPr>
          <w:p>
            <w:pPr>
              <w:rPr>
                <w:rFonts w:hint="default"/>
                <w:lang w:val="en-US" w:eastAsia="zh-CN"/>
              </w:rPr>
            </w:pPr>
            <w:r>
              <w:rPr>
                <w:rFonts w:hint="default"/>
                <w:lang w:val="en-US" w:eastAsia="zh-CN"/>
              </w:rPr>
              <w:t>应采取措施保障室内热环境。采用集中供暖空调系统的建筑，房间内的温度、湿度、新风量等设计参数应符合现行国家标准《民用建筑供暖通风与空气调节设计规范》GB 50736的有关规定；采用非集中供暖空调系统的建筑，应具有保障室内热环境的措施或预留条件。</w:t>
            </w:r>
          </w:p>
        </w:tc>
        <w:tc>
          <w:tcPr>
            <w:tcW w:w="3725" w:type="dxa"/>
            <w:vAlign w:val="center"/>
          </w:tcPr>
          <w:p>
            <w:pPr>
              <w:rPr>
                <w:rFonts w:hint="default"/>
                <w:lang w:val="en-US" w:eastAsia="zh-CN"/>
              </w:rPr>
            </w:pPr>
            <w:r>
              <w:rPr>
                <w:rFonts w:hint="default"/>
                <w:lang w:val="en-US" w:eastAsia="zh-CN"/>
              </w:rPr>
              <w:t>□竣工图</w:t>
            </w:r>
          </w:p>
          <w:p>
            <w:pPr>
              <w:rPr>
                <w:rFonts w:hint="default"/>
                <w:lang w:val="en-US" w:eastAsia="zh-CN"/>
              </w:rPr>
            </w:pPr>
            <w:r>
              <w:rPr>
                <w:rFonts w:hint="default"/>
                <w:lang w:val="en-US" w:eastAsia="zh-CN"/>
              </w:rPr>
              <w:t>□室内温湿度检测报告</w:t>
            </w:r>
          </w:p>
        </w:tc>
        <w:tc>
          <w:tcPr>
            <w:tcW w:w="1625"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r>
              <w:rPr>
                <w:rFonts w:hint="default"/>
                <w:lang w:val="en-US" w:eastAsia="zh-CN"/>
              </w:rPr>
              <w:t>健康舒适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50"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5.1.8</w:t>
            </w:r>
          </w:p>
        </w:tc>
        <w:tc>
          <w:tcPr>
            <w:tcW w:w="4350" w:type="dxa"/>
            <w:vAlign w:val="center"/>
          </w:tcPr>
          <w:p>
            <w:pPr>
              <w:rPr>
                <w:rFonts w:hint="default"/>
                <w:lang w:val="en-US" w:eastAsia="zh-CN"/>
              </w:rPr>
            </w:pPr>
            <w:r>
              <w:rPr>
                <w:rFonts w:hint="default"/>
                <w:lang w:val="en-US" w:eastAsia="zh-CN"/>
              </w:rPr>
              <w:t>主要功能房间应具有现场独立控制的热环境调节装置。</w:t>
            </w:r>
          </w:p>
        </w:tc>
        <w:tc>
          <w:tcPr>
            <w:tcW w:w="3725" w:type="dxa"/>
            <w:vAlign w:val="center"/>
          </w:tcPr>
          <w:p>
            <w:pPr>
              <w:rPr>
                <w:rFonts w:hint="default"/>
                <w:lang w:val="en-US" w:eastAsia="zh-CN"/>
              </w:rPr>
            </w:pPr>
            <w:r>
              <w:rPr>
                <w:rFonts w:hint="default"/>
                <w:lang w:val="en-US" w:eastAsia="zh-CN"/>
              </w:rPr>
              <w:t>□竣工图</w:t>
            </w:r>
          </w:p>
          <w:p>
            <w:pPr>
              <w:rPr>
                <w:rFonts w:hint="default"/>
                <w:lang w:val="en-US" w:eastAsia="zh-CN"/>
              </w:rPr>
            </w:pPr>
            <w:r>
              <w:rPr>
                <w:rFonts w:hint="default"/>
                <w:lang w:val="en-US" w:eastAsia="zh-CN"/>
              </w:rPr>
              <w:t>□产品说明书</w:t>
            </w:r>
          </w:p>
        </w:tc>
        <w:tc>
          <w:tcPr>
            <w:tcW w:w="1625"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r>
              <w:rPr>
                <w:rFonts w:hint="default"/>
                <w:lang w:val="en-US" w:eastAsia="zh-CN"/>
              </w:rPr>
              <w:t>健康舒适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50"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7.1.2</w:t>
            </w:r>
          </w:p>
        </w:tc>
        <w:tc>
          <w:tcPr>
            <w:tcW w:w="4350" w:type="dxa"/>
            <w:vAlign w:val="center"/>
          </w:tcPr>
          <w:p>
            <w:pPr>
              <w:rPr>
                <w:rFonts w:hint="default"/>
                <w:lang w:val="en-US" w:eastAsia="zh-CN"/>
              </w:rPr>
            </w:pPr>
            <w:r>
              <w:rPr>
                <w:rFonts w:hint="default"/>
                <w:lang w:val="en-US" w:eastAsia="zh-CN"/>
              </w:rPr>
              <w:t>应采取措施降低部分负荷、部分空间使用下的供暖、空调系统能耗，并应符合下列规定：</w:t>
            </w:r>
            <w:r>
              <w:rPr>
                <w:rFonts w:hint="default"/>
                <w:lang w:val="en-US" w:eastAsia="zh-CN"/>
              </w:rPr>
              <w:br w:type="textWrapping"/>
            </w:r>
            <w:r>
              <w:rPr>
                <w:rFonts w:hint="default"/>
                <w:lang w:val="en-US" w:eastAsia="zh-CN"/>
              </w:rPr>
              <w:t>1 应区分房间的朝向细分供暖、空调区域，并应对系统进行分区控制；</w:t>
            </w:r>
            <w:r>
              <w:rPr>
                <w:rFonts w:hint="default"/>
                <w:lang w:val="en-US" w:eastAsia="zh-CN"/>
              </w:rPr>
              <w:br w:type="textWrapping"/>
            </w:r>
            <w:r>
              <w:rPr>
                <w:rFonts w:hint="default"/>
                <w:lang w:val="en-US" w:eastAsia="zh-CN"/>
              </w:rPr>
              <w:t>2 空调冷源的部分负荷性能系数(IPLV)、电冷源综合制冷性能系数(SCOP)应符合现行国家标准《公共建筑节能设计标准》GB 50189的规定。</w:t>
            </w:r>
          </w:p>
        </w:tc>
        <w:tc>
          <w:tcPr>
            <w:tcW w:w="3725" w:type="dxa"/>
            <w:vAlign w:val="center"/>
          </w:tcPr>
          <w:p>
            <w:pPr>
              <w:rPr>
                <w:rFonts w:hint="default"/>
                <w:lang w:val="en-US" w:eastAsia="zh-CN"/>
              </w:rPr>
            </w:pPr>
            <w:r>
              <w:rPr>
                <w:rFonts w:hint="default"/>
                <w:lang w:val="en-US" w:eastAsia="zh-CN"/>
              </w:rPr>
              <w:t>□竣工图</w:t>
            </w:r>
          </w:p>
          <w:p>
            <w:pPr>
              <w:rPr>
                <w:rFonts w:hint="default"/>
                <w:lang w:val="en-US" w:eastAsia="zh-CN"/>
              </w:rPr>
            </w:pPr>
            <w:r>
              <w:rPr>
                <w:rFonts w:hint="default"/>
                <w:lang w:val="en-US" w:eastAsia="zh-CN"/>
              </w:rPr>
              <w:t>□部分负荷性能系数(IPLV)计算说明</w:t>
            </w:r>
          </w:p>
          <w:p>
            <w:pPr>
              <w:rPr>
                <w:rFonts w:hint="default"/>
                <w:lang w:val="en-US" w:eastAsia="zh-CN"/>
              </w:rPr>
            </w:pPr>
            <w:r>
              <w:rPr>
                <w:rFonts w:hint="default"/>
                <w:lang w:val="en-US" w:eastAsia="zh-CN"/>
              </w:rPr>
              <w:t>□冷源综合制冷性能系数(SCOP)计算说明</w:t>
            </w:r>
          </w:p>
          <w:p>
            <w:pPr>
              <w:rPr>
                <w:rFonts w:hint="default"/>
                <w:lang w:val="en-US" w:eastAsia="zh-CN"/>
              </w:rPr>
            </w:pPr>
            <w:r>
              <w:rPr>
                <w:rFonts w:hint="default"/>
                <w:lang w:val="en-US" w:eastAsia="zh-CN"/>
              </w:rPr>
              <w:t>□冷热源设备产品质量证明文件</w:t>
            </w:r>
          </w:p>
          <w:p>
            <w:pPr>
              <w:rPr>
                <w:rFonts w:hint="default"/>
                <w:lang w:val="en-US" w:eastAsia="zh-CN"/>
              </w:rPr>
            </w:pPr>
            <w:r>
              <w:rPr>
                <w:rFonts w:hint="default"/>
                <w:lang w:val="en-US" w:eastAsia="zh-CN"/>
              </w:rPr>
              <w:t>□冷（热）源系统试运转记录</w:t>
            </w:r>
          </w:p>
        </w:tc>
        <w:tc>
          <w:tcPr>
            <w:tcW w:w="1625"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50"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7.1.3</w:t>
            </w:r>
          </w:p>
        </w:tc>
        <w:tc>
          <w:tcPr>
            <w:tcW w:w="4350" w:type="dxa"/>
            <w:vAlign w:val="center"/>
          </w:tcPr>
          <w:p>
            <w:pPr>
              <w:rPr>
                <w:rFonts w:hint="default"/>
                <w:lang w:val="en-US" w:eastAsia="zh-CN"/>
              </w:rPr>
            </w:pPr>
            <w:r>
              <w:rPr>
                <w:rFonts w:hint="default"/>
                <w:lang w:val="en-US" w:eastAsia="zh-CN"/>
              </w:rPr>
              <w:t>应根据建筑空间功能设置分区温度，合理降低室内过渡区空间的温度设定标准。</w:t>
            </w:r>
          </w:p>
        </w:tc>
        <w:tc>
          <w:tcPr>
            <w:tcW w:w="3725" w:type="dxa"/>
            <w:vAlign w:val="center"/>
          </w:tcPr>
          <w:p>
            <w:pPr>
              <w:rPr>
                <w:rFonts w:hint="default"/>
                <w:lang w:val="en-US" w:eastAsia="zh-CN"/>
              </w:rPr>
            </w:pPr>
            <w:r>
              <w:rPr>
                <w:rFonts w:hint="default"/>
                <w:lang w:val="en-US" w:eastAsia="zh-CN"/>
              </w:rPr>
              <w:t>□竣工图</w:t>
            </w:r>
          </w:p>
          <w:p>
            <w:pPr>
              <w:rPr>
                <w:rFonts w:hint="default"/>
                <w:lang w:val="en-US" w:eastAsia="zh-CN"/>
              </w:rPr>
            </w:pPr>
            <w:r>
              <w:rPr>
                <w:rFonts w:hint="default"/>
                <w:lang w:val="en-US" w:eastAsia="zh-CN"/>
              </w:rPr>
              <w:t>□计算书</w:t>
            </w:r>
          </w:p>
        </w:tc>
        <w:tc>
          <w:tcPr>
            <w:tcW w:w="1625"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950" w:type="dxa"/>
            <w:vMerge w:val="restart"/>
            <w:vAlign w:val="center"/>
          </w:tcPr>
          <w:p>
            <w:pPr>
              <w:rPr>
                <w:rFonts w:hint="default"/>
                <w:lang w:val="en-US" w:eastAsia="zh-CN"/>
              </w:rPr>
            </w:pPr>
            <w:r>
              <w:rPr>
                <w:rFonts w:hint="default"/>
                <w:lang w:val="en-US" w:eastAsia="zh-CN"/>
              </w:rPr>
              <w:t>评分项</w:t>
            </w:r>
          </w:p>
        </w:tc>
        <w:tc>
          <w:tcPr>
            <w:tcW w:w="1150" w:type="dxa"/>
            <w:vAlign w:val="center"/>
          </w:tcPr>
          <w:p>
            <w:pPr>
              <w:rPr>
                <w:rFonts w:hint="default"/>
                <w:lang w:val="en-US" w:eastAsia="zh-CN"/>
              </w:rPr>
            </w:pPr>
            <w:r>
              <w:rPr>
                <w:rFonts w:hint="default"/>
                <w:lang w:val="en-US" w:eastAsia="zh-CN"/>
              </w:rPr>
              <w:t>5.2.9</w:t>
            </w:r>
          </w:p>
        </w:tc>
        <w:tc>
          <w:tcPr>
            <w:tcW w:w="4350" w:type="dxa"/>
            <w:vAlign w:val="center"/>
          </w:tcPr>
          <w:p>
            <w:pPr>
              <w:rPr>
                <w:rFonts w:hint="default"/>
                <w:lang w:val="en-US" w:eastAsia="zh-CN"/>
              </w:rPr>
            </w:pPr>
            <w:r>
              <w:rPr>
                <w:rFonts w:hint="default"/>
                <w:lang w:val="en-US" w:eastAsia="zh-CN"/>
              </w:rPr>
              <w:t xml:space="preserve">具有良好的室内热湿环境，评价总分值为8分，并按下列规则评分： </w:t>
            </w:r>
          </w:p>
          <w:p>
            <w:pPr>
              <w:rPr>
                <w:rFonts w:hint="default"/>
                <w:lang w:val="en-US" w:eastAsia="zh-CN"/>
              </w:rPr>
            </w:pPr>
            <w:r>
              <w:rPr>
                <w:rFonts w:hint="default"/>
                <w:lang w:val="en-US" w:eastAsia="zh-CN"/>
              </w:rPr>
              <w:t xml:space="preserve">1 采用自然通风或复合通风的建筑，建筑主要功能房间室内热环境参数在适应性热舒适区域的时间比例，达到 30%,得2分；每再增加10%, 再得1分，最高得8分。 </w:t>
            </w:r>
          </w:p>
          <w:p>
            <w:pPr>
              <w:rPr>
                <w:rFonts w:hint="default"/>
                <w:lang w:val="en-US" w:eastAsia="zh-CN"/>
              </w:rPr>
            </w:pPr>
            <w:r>
              <w:rPr>
                <w:rFonts w:hint="default"/>
                <w:lang w:val="en-US" w:eastAsia="zh-CN"/>
              </w:rPr>
              <w:t>2 采用人工冷热源的建筑，主要功能房间达到现行国家标准《民用建筑室内热湿环境评价标准》 GB/T 50785 规定的室内人工冷热源热湿环境整体评价Ⅱ级的面积比例，达到60%,得5 分；每再增加 10%, 再得1分，最高得8分。</w:t>
            </w:r>
          </w:p>
        </w:tc>
        <w:tc>
          <w:tcPr>
            <w:tcW w:w="3725" w:type="dxa"/>
            <w:vAlign w:val="center"/>
          </w:tcPr>
          <w:p>
            <w:pPr>
              <w:rPr>
                <w:rFonts w:hint="default"/>
                <w:lang w:val="en-US" w:eastAsia="zh-CN"/>
              </w:rPr>
            </w:pPr>
            <w:r>
              <w:rPr>
                <w:rFonts w:hint="default"/>
                <w:lang w:val="en-US" w:eastAsia="zh-CN"/>
              </w:rPr>
              <w:t>□竣工图</w:t>
            </w:r>
          </w:p>
          <w:p>
            <w:pPr>
              <w:rPr>
                <w:rFonts w:hint="default"/>
                <w:lang w:val="en-US" w:eastAsia="zh-CN"/>
              </w:rPr>
            </w:pPr>
            <w:r>
              <w:rPr>
                <w:rFonts w:hint="default"/>
                <w:lang w:val="en-US" w:eastAsia="zh-CN"/>
              </w:rPr>
              <w:t>□计算分析报告</w:t>
            </w:r>
          </w:p>
          <w:p>
            <w:pPr>
              <w:rPr>
                <w:rFonts w:hint="default"/>
                <w:lang w:val="en-US" w:eastAsia="zh-CN"/>
              </w:rPr>
            </w:pPr>
            <w:r>
              <w:rPr>
                <w:rFonts w:hint="default"/>
                <w:lang w:val="en-US" w:eastAsia="zh-CN"/>
              </w:rPr>
              <w:t xml:space="preserve"> </w:t>
            </w:r>
          </w:p>
        </w:tc>
        <w:tc>
          <w:tcPr>
            <w:tcW w:w="1625"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950"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7.2.5</w:t>
            </w:r>
          </w:p>
        </w:tc>
        <w:tc>
          <w:tcPr>
            <w:tcW w:w="4350" w:type="dxa"/>
            <w:vAlign w:val="center"/>
          </w:tcPr>
          <w:p>
            <w:pPr>
              <w:rPr>
                <w:rFonts w:hint="default"/>
                <w:lang w:val="en-US" w:eastAsia="zh-CN"/>
              </w:rPr>
            </w:pPr>
            <w:r>
              <w:rPr>
                <w:rFonts w:hint="default"/>
                <w:lang w:val="en-US" w:eastAsia="zh-CN"/>
              </w:rPr>
              <w:t>供暖空调系统的冷、热源机组能效均优于现行国家标准《公共建筑节能设计标准》GB 50189的规定以及现行有关国家标准能效限定值的要求，评价总分值为10分，按表7.2.5的规则评分。</w:t>
            </w:r>
          </w:p>
        </w:tc>
        <w:tc>
          <w:tcPr>
            <w:tcW w:w="3725" w:type="dxa"/>
            <w:vAlign w:val="center"/>
          </w:tcPr>
          <w:p>
            <w:pPr>
              <w:rPr>
                <w:rFonts w:hint="default"/>
                <w:lang w:val="en-US" w:eastAsia="zh-CN"/>
              </w:rPr>
            </w:pPr>
            <w:r>
              <w:rPr>
                <w:rFonts w:hint="default"/>
                <w:lang w:val="en-US" w:eastAsia="zh-CN"/>
              </w:rPr>
              <w:t>□竣工图</w:t>
            </w:r>
          </w:p>
          <w:p>
            <w:pPr>
              <w:rPr>
                <w:rFonts w:hint="default"/>
                <w:lang w:val="en-US" w:eastAsia="zh-CN"/>
              </w:rPr>
            </w:pPr>
            <w:r>
              <w:rPr>
                <w:rFonts w:hint="default"/>
                <w:lang w:val="en-US" w:eastAsia="zh-CN"/>
              </w:rPr>
              <w:t>□冷热源设备产品质量证明文件和主要产品型式检验报告</w:t>
            </w:r>
          </w:p>
        </w:tc>
        <w:tc>
          <w:tcPr>
            <w:tcW w:w="1625"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50"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7.2.6</w:t>
            </w:r>
          </w:p>
        </w:tc>
        <w:tc>
          <w:tcPr>
            <w:tcW w:w="4350" w:type="dxa"/>
            <w:vAlign w:val="center"/>
          </w:tcPr>
          <w:p>
            <w:pPr>
              <w:rPr>
                <w:rFonts w:hint="default"/>
                <w:lang w:val="en-US" w:eastAsia="zh-CN"/>
              </w:rPr>
            </w:pPr>
            <w:r>
              <w:rPr>
                <w:rFonts w:hint="default"/>
                <w:lang w:val="en-US" w:eastAsia="zh-CN"/>
              </w:rPr>
              <w:t>采取有效措施降低供暖空调系统的末端系统及输配系统的能耗，评价总分值为5分，并按以下规则分别评分并累计：</w:t>
            </w:r>
            <w:r>
              <w:rPr>
                <w:rFonts w:hint="default"/>
                <w:lang w:val="en-US" w:eastAsia="zh-CN"/>
              </w:rPr>
              <w:br w:type="textWrapping"/>
            </w:r>
            <w:r>
              <w:rPr>
                <w:rFonts w:hint="default"/>
                <w:lang w:val="en-US" w:eastAsia="zh-CN"/>
              </w:rPr>
              <w:t>1 通风空调系统风机的单位风量耗功率比现行国家标准《公共建筑节能设计标准》GB 50189的规定低20％，得2分；</w:t>
            </w:r>
            <w:r>
              <w:rPr>
                <w:rFonts w:hint="default"/>
                <w:lang w:val="en-US" w:eastAsia="zh-CN"/>
              </w:rPr>
              <w:br w:type="textWrapping"/>
            </w:r>
            <w:r>
              <w:rPr>
                <w:rFonts w:hint="default"/>
                <w:lang w:val="en-US" w:eastAsia="zh-CN"/>
              </w:rPr>
              <w:t>2 集中供暖系统热水循环泵的耗电输热比、空调冷热水系统循环水泵的耗电输冷(热)比比现行国家标准《民用建筑供暖通风与空气调节设计规范》GB 50736规定值低20％，得3分。</w:t>
            </w:r>
          </w:p>
        </w:tc>
        <w:tc>
          <w:tcPr>
            <w:tcW w:w="3725" w:type="dxa"/>
            <w:vAlign w:val="center"/>
          </w:tcPr>
          <w:p>
            <w:pPr>
              <w:rPr>
                <w:rFonts w:hint="default"/>
                <w:lang w:val="en-US" w:eastAsia="zh-CN"/>
              </w:rPr>
            </w:pPr>
            <w:r>
              <w:rPr>
                <w:rFonts w:hint="default"/>
                <w:lang w:val="en-US" w:eastAsia="zh-CN"/>
              </w:rPr>
              <w:t>□竣工图</w:t>
            </w:r>
          </w:p>
          <w:p>
            <w:pPr>
              <w:rPr>
                <w:rFonts w:hint="default"/>
                <w:lang w:val="en-US" w:eastAsia="zh-CN"/>
              </w:rPr>
            </w:pPr>
            <w:r>
              <w:rPr>
                <w:rFonts w:hint="default"/>
                <w:lang w:val="en-US" w:eastAsia="zh-CN"/>
              </w:rPr>
              <w:t>□主要产品型式检验报告</w:t>
            </w:r>
          </w:p>
          <w:p>
            <w:pPr>
              <w:rPr>
                <w:rFonts w:hint="default"/>
                <w:lang w:val="en-US" w:eastAsia="zh-CN"/>
              </w:rPr>
            </w:pPr>
            <w:r>
              <w:rPr>
                <w:rFonts w:hint="default"/>
                <w:lang w:val="en-US" w:eastAsia="zh-CN"/>
              </w:rPr>
              <w:t>□水系统、通风空调系统试运转记录</w:t>
            </w:r>
          </w:p>
        </w:tc>
        <w:tc>
          <w:tcPr>
            <w:tcW w:w="1625"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7.2.8</w:t>
            </w:r>
          </w:p>
        </w:tc>
        <w:tc>
          <w:tcPr>
            <w:tcW w:w="4350" w:type="dxa"/>
            <w:vAlign w:val="center"/>
          </w:tcPr>
          <w:p>
            <w:pPr>
              <w:rPr>
                <w:rFonts w:hint="default"/>
                <w:lang w:val="en-US" w:eastAsia="zh-CN"/>
              </w:rPr>
            </w:pPr>
            <w:r>
              <w:rPr>
                <w:rFonts w:hint="default"/>
                <w:lang w:val="en-US" w:eastAsia="zh-CN"/>
              </w:rPr>
              <w:t>采取措施降低建筑能耗，评价总分值为10分。建筑能耗相比国家现行有关建筑节能标准降10%, 得5分；降低 20%,得10 分。</w:t>
            </w:r>
          </w:p>
        </w:tc>
        <w:tc>
          <w:tcPr>
            <w:tcW w:w="3725" w:type="dxa"/>
            <w:vAlign w:val="center"/>
          </w:tcPr>
          <w:p>
            <w:pPr>
              <w:rPr>
                <w:rFonts w:hint="default"/>
                <w:lang w:val="en-US" w:eastAsia="zh-CN"/>
              </w:rPr>
            </w:pPr>
            <w:r>
              <w:rPr>
                <w:rFonts w:hint="default"/>
                <w:lang w:val="en-US" w:eastAsia="zh-CN"/>
              </w:rPr>
              <w:t>□竣工图</w:t>
            </w:r>
          </w:p>
          <w:p>
            <w:pPr>
              <w:rPr>
                <w:rFonts w:hint="default"/>
                <w:lang w:val="en-US" w:eastAsia="zh-CN"/>
              </w:rPr>
            </w:pPr>
            <w:r>
              <w:rPr>
                <w:rFonts w:hint="default"/>
                <w:lang w:val="en-US" w:eastAsia="zh-CN"/>
              </w:rPr>
              <w:t>□能耗模拟计算书，暖通系统运行调试记录</w:t>
            </w:r>
          </w:p>
          <w:p>
            <w:pPr>
              <w:rPr>
                <w:rFonts w:hint="default"/>
                <w:lang w:val="en-US" w:eastAsia="zh-CN"/>
              </w:rPr>
            </w:pPr>
            <w:r>
              <w:rPr>
                <w:rFonts w:hint="default"/>
                <w:lang w:val="en-US" w:eastAsia="zh-CN"/>
              </w:rPr>
              <w:t>□建筑运行能耗统计（已投入使用项目）</w:t>
            </w:r>
          </w:p>
        </w:tc>
        <w:tc>
          <w:tcPr>
            <w:tcW w:w="1625"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7.2.9</w:t>
            </w:r>
          </w:p>
        </w:tc>
        <w:tc>
          <w:tcPr>
            <w:tcW w:w="4350" w:type="dxa"/>
            <w:vAlign w:val="center"/>
          </w:tcPr>
          <w:p>
            <w:pPr>
              <w:rPr>
                <w:rFonts w:hint="default"/>
                <w:lang w:val="en-US" w:eastAsia="zh-CN"/>
              </w:rPr>
            </w:pPr>
            <w:r>
              <w:rPr>
                <w:rFonts w:hint="default"/>
                <w:lang w:val="en-US" w:eastAsia="zh-CN"/>
              </w:rPr>
              <w:t>结合当地气候和自然资源条件合理利用可再生能源，评价总分值为10分，按表7.2.9的规则评分。</w:t>
            </w:r>
          </w:p>
        </w:tc>
        <w:tc>
          <w:tcPr>
            <w:tcW w:w="3725" w:type="dxa"/>
            <w:vAlign w:val="center"/>
          </w:tcPr>
          <w:p>
            <w:pPr>
              <w:rPr>
                <w:rFonts w:hint="default"/>
                <w:lang w:val="en-US" w:eastAsia="zh-CN"/>
              </w:rPr>
            </w:pPr>
            <w:r>
              <w:rPr>
                <w:rFonts w:hint="default"/>
                <w:lang w:val="en-US" w:eastAsia="zh-CN"/>
              </w:rPr>
              <w:t>□竣工图</w:t>
            </w:r>
          </w:p>
          <w:p>
            <w:pPr>
              <w:rPr>
                <w:rFonts w:hint="default"/>
                <w:lang w:val="en-US" w:eastAsia="zh-CN"/>
              </w:rPr>
            </w:pPr>
            <w:r>
              <w:rPr>
                <w:rFonts w:hint="default"/>
                <w:lang w:val="en-US" w:eastAsia="zh-CN"/>
              </w:rPr>
              <w:t>□可再生能源利用计算分析报告</w:t>
            </w:r>
          </w:p>
          <w:p>
            <w:pPr>
              <w:rPr>
                <w:rFonts w:hint="default"/>
                <w:lang w:val="en-US" w:eastAsia="zh-CN"/>
              </w:rPr>
            </w:pPr>
            <w:r>
              <w:rPr>
                <w:rFonts w:hint="default"/>
                <w:lang w:val="en-US" w:eastAsia="zh-CN"/>
              </w:rPr>
              <w:t>□产品型式检验报告</w:t>
            </w:r>
          </w:p>
        </w:tc>
        <w:tc>
          <w:tcPr>
            <w:tcW w:w="1625"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atLeast"/>
        </w:trPr>
        <w:tc>
          <w:tcPr>
            <w:tcW w:w="950"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7.2.11（2）</w:t>
            </w:r>
          </w:p>
        </w:tc>
        <w:tc>
          <w:tcPr>
            <w:tcW w:w="4350" w:type="dxa"/>
            <w:vAlign w:val="center"/>
          </w:tcPr>
          <w:p>
            <w:pPr>
              <w:rPr>
                <w:rFonts w:hint="default"/>
                <w:lang w:val="en-US" w:eastAsia="zh-CN"/>
              </w:rPr>
            </w:pPr>
            <w:r>
              <w:rPr>
                <w:rFonts w:hint="default"/>
                <w:lang w:val="en-US" w:eastAsia="zh-CN"/>
              </w:rPr>
              <w:t>空调冷却水系统采用节水设备或技术，评价总分值为12分，并按下列规则分别评分并累计：</w:t>
            </w:r>
            <w:r>
              <w:rPr>
                <w:rFonts w:hint="default"/>
                <w:lang w:val="en-US" w:eastAsia="zh-CN"/>
              </w:rPr>
              <w:br w:type="textWrapping"/>
            </w:r>
            <w:r>
              <w:rPr>
                <w:rFonts w:hint="default"/>
                <w:lang w:val="en-US" w:eastAsia="zh-CN"/>
              </w:rPr>
              <w:t>2 空调冷却水系统采用节水设备或技术，并按下列规则评分：</w:t>
            </w:r>
            <w:r>
              <w:rPr>
                <w:rFonts w:hint="default"/>
                <w:lang w:val="en-US" w:eastAsia="zh-CN"/>
              </w:rPr>
              <w:br w:type="textWrapping"/>
            </w:r>
            <w:r>
              <w:rPr>
                <w:rFonts w:hint="default"/>
                <w:lang w:val="en-US" w:eastAsia="zh-CN"/>
              </w:rPr>
              <w:t>1)循环冷却水系统采取设置水处理措施、加大集水盘、设置平衡管或平衡水箱等方式，避免冷却水泵停泵时冷却水溢出，得3分。</w:t>
            </w:r>
          </w:p>
          <w:p>
            <w:pPr>
              <w:rPr>
                <w:rFonts w:hint="default"/>
                <w:lang w:val="en-US" w:eastAsia="zh-CN"/>
              </w:rPr>
            </w:pPr>
            <w:r>
              <w:rPr>
                <w:rFonts w:hint="default"/>
                <w:lang w:val="en-US" w:eastAsia="zh-CN"/>
              </w:rPr>
              <w:t>2)采用无蒸发耗水量的冷却技术，得6分。</w:t>
            </w:r>
          </w:p>
        </w:tc>
        <w:tc>
          <w:tcPr>
            <w:tcW w:w="3725" w:type="dxa"/>
            <w:vAlign w:val="center"/>
          </w:tcPr>
          <w:p>
            <w:pPr>
              <w:rPr>
                <w:rFonts w:hint="default"/>
                <w:lang w:val="en-US" w:eastAsia="zh-CN"/>
              </w:rPr>
            </w:pPr>
            <w:r>
              <w:rPr>
                <w:rFonts w:hint="default"/>
                <w:lang w:val="en-US" w:eastAsia="zh-CN"/>
              </w:rPr>
              <w:t>□竣工图</w:t>
            </w:r>
          </w:p>
          <w:p>
            <w:pPr>
              <w:rPr>
                <w:rFonts w:hint="default"/>
                <w:lang w:val="en-US" w:eastAsia="zh-CN"/>
              </w:rPr>
            </w:pPr>
            <w:r>
              <w:rPr>
                <w:rFonts w:hint="default"/>
                <w:lang w:val="en-US" w:eastAsia="zh-CN"/>
              </w:rPr>
              <w:t>□产品说明书</w:t>
            </w:r>
          </w:p>
          <w:p>
            <w:pPr>
              <w:rPr>
                <w:rFonts w:hint="default"/>
                <w:lang w:val="en-US" w:eastAsia="zh-CN"/>
              </w:rPr>
            </w:pPr>
            <w:r>
              <w:rPr>
                <w:rFonts w:hint="default"/>
                <w:lang w:val="en-US" w:eastAsia="zh-CN"/>
              </w:rPr>
              <w:t>□产品节水性能检测报告</w:t>
            </w:r>
          </w:p>
          <w:p>
            <w:pPr>
              <w:rPr>
                <w:rFonts w:hint="default"/>
                <w:lang w:val="en-US" w:eastAsia="zh-CN"/>
              </w:rPr>
            </w:pPr>
            <w:r>
              <w:rPr>
                <w:rFonts w:hint="default"/>
                <w:lang w:val="en-US" w:eastAsia="zh-CN"/>
              </w:rPr>
              <w:t>□节水产品说明书</w:t>
            </w:r>
          </w:p>
          <w:p>
            <w:pPr>
              <w:rPr>
                <w:rFonts w:hint="default"/>
                <w:lang w:val="en-US" w:eastAsia="zh-CN"/>
              </w:rPr>
            </w:pPr>
          </w:p>
        </w:tc>
        <w:tc>
          <w:tcPr>
            <w:tcW w:w="1625"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50"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9.2.1</w:t>
            </w:r>
          </w:p>
        </w:tc>
        <w:tc>
          <w:tcPr>
            <w:tcW w:w="4350" w:type="dxa"/>
            <w:vAlign w:val="center"/>
          </w:tcPr>
          <w:p>
            <w:pPr>
              <w:rPr>
                <w:rFonts w:hint="default"/>
                <w:lang w:val="en-US" w:eastAsia="zh-CN"/>
              </w:rPr>
            </w:pPr>
            <w:r>
              <w:rPr>
                <w:rFonts w:hint="default"/>
                <w:lang w:val="en-US" w:eastAsia="zh-CN"/>
              </w:rPr>
              <w:t>采取措施进一步降低建筑供暖空调系统的能耗，评价总分值为30分。建筑供暖空调系统能耗相比国家现行有关建筑节能标准降低40％，得10分；每再降低10％，再得5分，最高得30分。</w:t>
            </w:r>
          </w:p>
        </w:tc>
        <w:tc>
          <w:tcPr>
            <w:tcW w:w="3725" w:type="dxa"/>
            <w:vAlign w:val="center"/>
          </w:tcPr>
          <w:p>
            <w:pPr>
              <w:rPr>
                <w:rFonts w:hint="default"/>
                <w:lang w:val="en-US" w:eastAsia="zh-CN"/>
              </w:rPr>
            </w:pPr>
            <w:r>
              <w:rPr>
                <w:rFonts w:hint="default"/>
                <w:lang w:val="en-US" w:eastAsia="zh-CN"/>
              </w:rPr>
              <w:t>□竣工图</w:t>
            </w:r>
          </w:p>
          <w:p>
            <w:pPr>
              <w:rPr>
                <w:rFonts w:hint="default"/>
                <w:lang w:val="en-US" w:eastAsia="zh-CN"/>
              </w:rPr>
            </w:pPr>
            <w:r>
              <w:rPr>
                <w:rFonts w:hint="default"/>
                <w:lang w:val="en-US" w:eastAsia="zh-CN"/>
              </w:rPr>
              <w:t>□相关设计说明</w:t>
            </w:r>
          </w:p>
          <w:p>
            <w:pPr>
              <w:rPr>
                <w:rFonts w:hint="default"/>
                <w:lang w:val="en-US" w:eastAsia="zh-CN"/>
              </w:rPr>
            </w:pPr>
            <w:r>
              <w:rPr>
                <w:rFonts w:hint="default"/>
                <w:lang w:val="en-US" w:eastAsia="zh-CN"/>
              </w:rPr>
              <w:t>□节能计算书</w:t>
            </w:r>
          </w:p>
          <w:p>
            <w:pPr>
              <w:rPr>
                <w:rFonts w:hint="default"/>
                <w:lang w:val="en-US" w:eastAsia="zh-CN"/>
              </w:rPr>
            </w:pPr>
            <w:r>
              <w:rPr>
                <w:rFonts w:hint="default"/>
                <w:lang w:val="en-US" w:eastAsia="zh-CN"/>
              </w:rPr>
              <w:t>□建筑综合能耗节能率分析报告</w:t>
            </w:r>
          </w:p>
        </w:tc>
        <w:tc>
          <w:tcPr>
            <w:tcW w:w="1625"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atLeast"/>
        </w:trPr>
        <w:tc>
          <w:tcPr>
            <w:tcW w:w="13138" w:type="dxa"/>
            <w:gridSpan w:val="6"/>
            <w:vAlign w:val="center"/>
          </w:tcPr>
          <w:p>
            <w:pPr>
              <w:rPr>
                <w:rFonts w:hint="default"/>
                <w:lang w:val="en-US" w:eastAsia="zh-CN"/>
              </w:rPr>
            </w:pPr>
            <w:r>
              <w:rPr>
                <w:rFonts w:hint="default"/>
                <w:lang w:val="en-US" w:eastAsia="zh-CN"/>
              </w:rPr>
              <w:t>评审结论：</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t>评审专家（签字）：</w:t>
            </w:r>
          </w:p>
          <w:p>
            <w:pPr>
              <w:rPr>
                <w:rFonts w:hint="default"/>
                <w:lang w:val="en-US" w:eastAsia="zh-CN"/>
              </w:rPr>
            </w:pPr>
          </w:p>
          <w:p>
            <w:pPr>
              <w:rPr>
                <w:rFonts w:hint="default"/>
                <w:lang w:val="en-US" w:eastAsia="zh-CN"/>
              </w:rPr>
            </w:pPr>
            <w:r>
              <w:rPr>
                <w:rFonts w:hint="default"/>
                <w:lang w:val="en-US" w:eastAsia="zh-CN"/>
              </w:rPr>
              <w:t>日期：</w:t>
            </w:r>
          </w:p>
          <w:p>
            <w:pPr>
              <w:rPr>
                <w:rFonts w:hint="default"/>
                <w:lang w:val="en-US" w:eastAsia="zh-CN"/>
              </w:rPr>
            </w:pPr>
          </w:p>
        </w:tc>
      </w:tr>
    </w:tbl>
    <w:p>
      <w:pPr>
        <w:jc w:val="center"/>
        <w:rPr>
          <w:rFonts w:hint="default"/>
          <w:sz w:val="24"/>
          <w:szCs w:val="32"/>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r>
        <w:rPr>
          <w:rFonts w:hint="default"/>
          <w:sz w:val="28"/>
          <w:szCs w:val="36"/>
          <w:lang w:val="en-US" w:eastAsia="zh-CN"/>
        </w:rPr>
        <w:t>绿色建筑工程验收专家评审意见表——建筑电气与智能建筑</w:t>
      </w:r>
    </w:p>
    <w:tbl>
      <w:tblPr>
        <w:tblStyle w:val="3"/>
        <w:tblW w:w="13112"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150"/>
        <w:gridCol w:w="4350"/>
        <w:gridCol w:w="3738"/>
        <w:gridCol w:w="1625"/>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pPr>
              <w:rPr>
                <w:rFonts w:hint="default"/>
                <w:lang w:val="en-US" w:eastAsia="zh-CN"/>
              </w:rPr>
            </w:pPr>
            <w:r>
              <w:rPr>
                <w:rFonts w:hint="default"/>
                <w:lang w:val="en-US" w:eastAsia="zh-CN"/>
              </w:rPr>
              <w:t>类别</w:t>
            </w:r>
          </w:p>
        </w:tc>
        <w:tc>
          <w:tcPr>
            <w:tcW w:w="1150" w:type="dxa"/>
            <w:vAlign w:val="center"/>
          </w:tcPr>
          <w:p>
            <w:pPr>
              <w:rPr>
                <w:rFonts w:hint="default"/>
                <w:lang w:val="en-US" w:eastAsia="zh-CN"/>
              </w:rPr>
            </w:pPr>
            <w:r>
              <w:rPr>
                <w:rFonts w:hint="default"/>
                <w:lang w:val="en-US" w:eastAsia="zh-CN"/>
              </w:rPr>
              <w:t>评价标准条文编号</w:t>
            </w:r>
          </w:p>
        </w:tc>
        <w:tc>
          <w:tcPr>
            <w:tcW w:w="4350" w:type="dxa"/>
            <w:vAlign w:val="center"/>
          </w:tcPr>
          <w:p>
            <w:pPr>
              <w:rPr>
                <w:rFonts w:hint="default"/>
                <w:lang w:val="en-US" w:eastAsia="zh-CN"/>
              </w:rPr>
            </w:pPr>
            <w:r>
              <w:rPr>
                <w:rFonts w:hint="default"/>
                <w:lang w:val="en-US" w:eastAsia="zh-CN"/>
              </w:rPr>
              <w:t>条文内容及分值</w:t>
            </w:r>
          </w:p>
        </w:tc>
        <w:tc>
          <w:tcPr>
            <w:tcW w:w="3738" w:type="dxa"/>
            <w:vAlign w:val="center"/>
          </w:tcPr>
          <w:p>
            <w:pPr>
              <w:rPr>
                <w:rFonts w:hint="default"/>
                <w:lang w:val="en-US" w:eastAsia="zh-CN"/>
              </w:rPr>
            </w:pPr>
            <w:r>
              <w:rPr>
                <w:rFonts w:hint="default"/>
                <w:lang w:val="en-US" w:eastAsia="zh-CN"/>
              </w:rPr>
              <w:t>证明文件</w:t>
            </w:r>
          </w:p>
        </w:tc>
        <w:tc>
          <w:tcPr>
            <w:tcW w:w="1625" w:type="dxa"/>
            <w:vAlign w:val="center"/>
          </w:tcPr>
          <w:p>
            <w:pPr>
              <w:rPr>
                <w:rFonts w:hint="default"/>
                <w:lang w:val="en-US" w:eastAsia="zh-CN"/>
              </w:rPr>
            </w:pPr>
            <w:r>
              <w:rPr>
                <w:rFonts w:hint="default"/>
                <w:lang w:val="en-US" w:eastAsia="zh-CN"/>
              </w:rPr>
              <w:t>评审结果</w:t>
            </w:r>
          </w:p>
        </w:tc>
        <w:tc>
          <w:tcPr>
            <w:tcW w:w="1312" w:type="dxa"/>
            <w:vAlign w:val="center"/>
          </w:tcPr>
          <w:p>
            <w:pPr>
              <w:rPr>
                <w:rFonts w:hint="default"/>
                <w:lang w:val="en-US" w:eastAsia="zh-CN"/>
              </w:rPr>
            </w:pPr>
            <w:r>
              <w:rPr>
                <w:rFonts w:hint="default"/>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937" w:type="dxa"/>
            <w:vMerge w:val="restart"/>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5.1.5</w:t>
            </w:r>
          </w:p>
        </w:tc>
        <w:tc>
          <w:tcPr>
            <w:tcW w:w="4350" w:type="dxa"/>
            <w:vAlign w:val="center"/>
          </w:tcPr>
          <w:p>
            <w:pPr>
              <w:rPr>
                <w:rFonts w:hint="default"/>
                <w:lang w:val="en-US" w:eastAsia="zh-CN"/>
              </w:rPr>
            </w:pPr>
            <w:r>
              <w:rPr>
                <w:rFonts w:hint="default"/>
                <w:lang w:val="en-US" w:eastAsia="zh-CN"/>
              </w:rPr>
              <w:t>建筑照明应符合下列规定：</w:t>
            </w:r>
          </w:p>
          <w:p>
            <w:pPr>
              <w:rPr>
                <w:rFonts w:hint="default"/>
                <w:lang w:val="en-US" w:eastAsia="zh-CN"/>
              </w:rPr>
            </w:pPr>
            <w:r>
              <w:rPr>
                <w:rFonts w:hint="default"/>
                <w:lang w:val="en-US" w:eastAsia="zh-CN"/>
              </w:rPr>
              <w:t>1 照明数量和质量应符合现行国家标准《建筑照明设计标准》GB 50034的规定；</w:t>
            </w:r>
          </w:p>
          <w:p>
            <w:pPr>
              <w:rPr>
                <w:rFonts w:hint="default"/>
                <w:lang w:val="en-US" w:eastAsia="zh-CN"/>
              </w:rPr>
            </w:pPr>
            <w:r>
              <w:rPr>
                <w:rFonts w:hint="default"/>
                <w:lang w:val="en-US" w:eastAsia="zh-CN"/>
              </w:rPr>
              <w:t>2 人员长期停留的场所应采用符合现行国家标准《灯和灯系统的光生物安全性》GB/T20145规定的无危险类照明产品；</w:t>
            </w:r>
          </w:p>
          <w:p>
            <w:pPr>
              <w:rPr>
                <w:rFonts w:hint="default"/>
                <w:lang w:val="en-US" w:eastAsia="zh-CN"/>
              </w:rPr>
            </w:pPr>
            <w:r>
              <w:rPr>
                <w:rFonts w:hint="default"/>
                <w:lang w:val="en-US" w:eastAsia="zh-CN"/>
              </w:rPr>
              <w:t>3 选用LED照明产品的光输出波形的波动深度应满足现行国家标准《LED室内照明应用技术要求》GB/T31831的规定。</w:t>
            </w:r>
          </w:p>
        </w:tc>
        <w:tc>
          <w:tcPr>
            <w:tcW w:w="3738" w:type="dxa"/>
            <w:vAlign w:val="center"/>
          </w:tcPr>
          <w:p>
            <w:pPr>
              <w:rPr>
                <w:rFonts w:hint="default"/>
                <w:lang w:val="en-US" w:eastAsia="zh-CN"/>
              </w:rPr>
            </w:pPr>
            <w:r>
              <w:rPr>
                <w:rFonts w:hint="default"/>
                <w:lang w:val="en-US" w:eastAsia="zh-CN"/>
              </w:rPr>
              <w:t>□照明平面图</w:t>
            </w:r>
          </w:p>
          <w:p>
            <w:pPr>
              <w:rPr>
                <w:rFonts w:hint="default"/>
                <w:lang w:val="en-US" w:eastAsia="zh-CN"/>
              </w:rPr>
            </w:pPr>
            <w:r>
              <w:rPr>
                <w:rFonts w:hint="default"/>
                <w:lang w:val="en-US" w:eastAsia="zh-CN"/>
              </w:rPr>
              <w:t>□照度计算书</w:t>
            </w:r>
          </w:p>
          <w:p>
            <w:pPr>
              <w:rPr>
                <w:rFonts w:hint="default"/>
                <w:lang w:val="en-US" w:eastAsia="zh-CN"/>
              </w:rPr>
            </w:pPr>
            <w:r>
              <w:rPr>
                <w:rFonts w:hint="default"/>
                <w:lang w:val="en-US" w:eastAsia="zh-CN"/>
              </w:rPr>
              <w:t>□现场照度检测报告</w:t>
            </w:r>
          </w:p>
          <w:p>
            <w:pPr>
              <w:rPr>
                <w:rFonts w:hint="default"/>
                <w:lang w:val="en-US" w:eastAsia="zh-CN"/>
              </w:rPr>
            </w:pPr>
            <w:r>
              <w:rPr>
                <w:rFonts w:hint="default"/>
                <w:lang w:val="en-US" w:eastAsia="zh-CN"/>
              </w:rPr>
              <w:t>□产品说明书及产品型式检验报告</w:t>
            </w:r>
          </w:p>
        </w:tc>
        <w:tc>
          <w:tcPr>
            <w:tcW w:w="1625"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12" w:type="dxa"/>
            <w:vAlign w:val="center"/>
          </w:tcPr>
          <w:p>
            <w:pPr>
              <w:rPr>
                <w:rFonts w:hint="default"/>
                <w:lang w:val="en-US" w:eastAsia="zh-CN"/>
              </w:rPr>
            </w:pPr>
            <w:r>
              <w:rPr>
                <w:rFonts w:hint="default"/>
                <w:lang w:val="en-US" w:eastAsia="zh-CN"/>
              </w:rPr>
              <w:t>健康舒适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7"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5.1.9</w:t>
            </w:r>
          </w:p>
        </w:tc>
        <w:tc>
          <w:tcPr>
            <w:tcW w:w="4350" w:type="dxa"/>
            <w:vAlign w:val="center"/>
          </w:tcPr>
          <w:p>
            <w:pPr>
              <w:rPr>
                <w:rFonts w:hint="default"/>
                <w:lang w:val="en-US" w:eastAsia="zh-CN"/>
              </w:rPr>
            </w:pPr>
            <w:r>
              <w:rPr>
                <w:rFonts w:hint="default"/>
                <w:lang w:val="en-US" w:eastAsia="zh-CN"/>
              </w:rPr>
              <w:t>地下车库应设置与排风设备联动的一氧化碳浓度监测装置。</w:t>
            </w:r>
          </w:p>
        </w:tc>
        <w:tc>
          <w:tcPr>
            <w:tcW w:w="3738" w:type="dxa"/>
            <w:vAlign w:val="center"/>
          </w:tcPr>
          <w:p>
            <w:pPr>
              <w:rPr>
                <w:rFonts w:hint="default"/>
                <w:lang w:val="en-US" w:eastAsia="zh-CN"/>
              </w:rPr>
            </w:pPr>
            <w:r>
              <w:rPr>
                <w:rFonts w:hint="default"/>
                <w:lang w:val="en-US" w:eastAsia="zh-CN"/>
              </w:rPr>
              <w:t>□弱电平面图</w:t>
            </w:r>
          </w:p>
          <w:p>
            <w:pPr>
              <w:rPr>
                <w:rFonts w:hint="default"/>
                <w:lang w:val="en-US" w:eastAsia="zh-CN"/>
              </w:rPr>
            </w:pPr>
            <w:r>
              <w:rPr>
                <w:rFonts w:hint="default"/>
                <w:lang w:val="en-US" w:eastAsia="zh-CN"/>
              </w:rPr>
              <w:t>□系统图</w:t>
            </w:r>
          </w:p>
          <w:p>
            <w:pPr>
              <w:rPr>
                <w:rFonts w:hint="default"/>
                <w:lang w:val="en-US" w:eastAsia="zh-CN"/>
              </w:rPr>
            </w:pPr>
            <w:r>
              <w:rPr>
                <w:rFonts w:hint="default"/>
                <w:lang w:val="en-US" w:eastAsia="zh-CN"/>
              </w:rPr>
              <w:t>□设计说明</w:t>
            </w:r>
          </w:p>
          <w:p>
            <w:pPr>
              <w:rPr>
                <w:rFonts w:hint="default"/>
                <w:lang w:val="en-US" w:eastAsia="zh-CN"/>
              </w:rPr>
            </w:pPr>
            <w:r>
              <w:rPr>
                <w:rFonts w:hint="default"/>
                <w:lang w:val="en-US" w:eastAsia="zh-CN"/>
              </w:rPr>
              <w:t>□检测报告</w:t>
            </w:r>
          </w:p>
          <w:p>
            <w:pPr>
              <w:rPr>
                <w:rFonts w:hint="default"/>
                <w:lang w:val="en-US" w:eastAsia="zh-CN"/>
              </w:rPr>
            </w:pPr>
            <w:r>
              <w:rPr>
                <w:rFonts w:hint="default"/>
                <w:lang w:val="en-US" w:eastAsia="zh-CN"/>
              </w:rPr>
              <w:t>□运行记录</w:t>
            </w:r>
          </w:p>
        </w:tc>
        <w:tc>
          <w:tcPr>
            <w:tcW w:w="1625"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12"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37"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6.1.3</w:t>
            </w:r>
          </w:p>
        </w:tc>
        <w:tc>
          <w:tcPr>
            <w:tcW w:w="4350" w:type="dxa"/>
            <w:vAlign w:val="center"/>
          </w:tcPr>
          <w:p>
            <w:pPr>
              <w:rPr>
                <w:rFonts w:hint="default"/>
                <w:lang w:val="en-US" w:eastAsia="zh-CN"/>
              </w:rPr>
            </w:pPr>
            <w:r>
              <w:rPr>
                <w:rFonts w:hint="default"/>
                <w:lang w:val="en-US" w:eastAsia="zh-CN"/>
              </w:rPr>
              <w:t>停车场应具有电动汽车充电设施或具备充电设施的安装条件，并应合理设置电动汽车和无障碍汽车停车位。</w:t>
            </w:r>
          </w:p>
        </w:tc>
        <w:tc>
          <w:tcPr>
            <w:tcW w:w="3738" w:type="dxa"/>
            <w:vAlign w:val="center"/>
          </w:tcPr>
          <w:p>
            <w:pPr>
              <w:rPr>
                <w:rFonts w:hint="default"/>
                <w:lang w:val="en-US" w:eastAsia="zh-CN"/>
              </w:rPr>
            </w:pPr>
            <w:r>
              <w:rPr>
                <w:rFonts w:hint="default"/>
                <w:lang w:val="en-US" w:eastAsia="zh-CN"/>
              </w:rPr>
              <w:t>□负荷计算书</w:t>
            </w:r>
          </w:p>
          <w:p>
            <w:pPr>
              <w:rPr>
                <w:rFonts w:hint="default"/>
                <w:lang w:val="en-US" w:eastAsia="zh-CN"/>
              </w:rPr>
            </w:pPr>
            <w:r>
              <w:rPr>
                <w:rFonts w:hint="default"/>
                <w:lang w:val="en-US" w:eastAsia="zh-CN"/>
              </w:rPr>
              <w:t>□配电干线平面图</w:t>
            </w:r>
          </w:p>
          <w:p>
            <w:pPr>
              <w:rPr>
                <w:rFonts w:hint="default"/>
                <w:lang w:val="en-US" w:eastAsia="zh-CN"/>
              </w:rPr>
            </w:pPr>
            <w:r>
              <w:rPr>
                <w:rFonts w:hint="default"/>
                <w:lang w:val="en-US" w:eastAsia="zh-CN"/>
              </w:rPr>
              <w:t>□系统图</w:t>
            </w:r>
          </w:p>
        </w:tc>
        <w:tc>
          <w:tcPr>
            <w:tcW w:w="1625"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12"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37"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6.1.5</w:t>
            </w:r>
          </w:p>
        </w:tc>
        <w:tc>
          <w:tcPr>
            <w:tcW w:w="4350" w:type="dxa"/>
            <w:vAlign w:val="center"/>
          </w:tcPr>
          <w:p>
            <w:pPr>
              <w:rPr>
                <w:rFonts w:hint="default"/>
                <w:lang w:val="en-US" w:eastAsia="zh-CN"/>
              </w:rPr>
            </w:pPr>
            <w:r>
              <w:rPr>
                <w:rFonts w:hint="default"/>
                <w:lang w:val="en-US" w:eastAsia="zh-CN"/>
              </w:rPr>
              <w:t>设置建筑设备管理系统应具有自动监控管理功能。</w:t>
            </w:r>
          </w:p>
        </w:tc>
        <w:tc>
          <w:tcPr>
            <w:tcW w:w="3738" w:type="dxa"/>
            <w:vAlign w:val="center"/>
          </w:tcPr>
          <w:p>
            <w:pPr>
              <w:rPr>
                <w:rFonts w:hint="default"/>
                <w:lang w:val="en-US" w:eastAsia="zh-CN"/>
              </w:rPr>
            </w:pPr>
            <w:r>
              <w:rPr>
                <w:rFonts w:hint="default"/>
                <w:lang w:val="en-US" w:eastAsia="zh-CN"/>
              </w:rPr>
              <w:t>□弱电平面图</w:t>
            </w:r>
          </w:p>
          <w:p>
            <w:pPr>
              <w:rPr>
                <w:rFonts w:hint="default"/>
                <w:lang w:val="en-US" w:eastAsia="zh-CN"/>
              </w:rPr>
            </w:pPr>
            <w:r>
              <w:rPr>
                <w:rFonts w:hint="default"/>
                <w:lang w:val="en-US" w:eastAsia="zh-CN"/>
              </w:rPr>
              <w:t>□系统图</w:t>
            </w:r>
          </w:p>
          <w:p>
            <w:pPr>
              <w:rPr>
                <w:rFonts w:hint="default"/>
                <w:lang w:val="en-US" w:eastAsia="zh-CN"/>
              </w:rPr>
            </w:pPr>
            <w:r>
              <w:rPr>
                <w:rFonts w:hint="default"/>
                <w:lang w:val="en-US" w:eastAsia="zh-CN"/>
              </w:rPr>
              <w:t>□设计说明</w:t>
            </w:r>
          </w:p>
          <w:p>
            <w:pPr>
              <w:rPr>
                <w:rFonts w:hint="default"/>
                <w:lang w:val="en-US" w:eastAsia="zh-CN"/>
              </w:rPr>
            </w:pPr>
            <w:r>
              <w:rPr>
                <w:rFonts w:hint="default"/>
                <w:lang w:val="en-US" w:eastAsia="zh-CN"/>
              </w:rPr>
              <w:t>□运行记录</w:t>
            </w:r>
          </w:p>
        </w:tc>
        <w:tc>
          <w:tcPr>
            <w:tcW w:w="1625"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12"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37"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6.1.6</w:t>
            </w:r>
          </w:p>
        </w:tc>
        <w:tc>
          <w:tcPr>
            <w:tcW w:w="4350" w:type="dxa"/>
            <w:vAlign w:val="center"/>
          </w:tcPr>
          <w:p>
            <w:pPr>
              <w:rPr>
                <w:rFonts w:hint="default"/>
                <w:lang w:val="en-US" w:eastAsia="zh-CN"/>
              </w:rPr>
            </w:pPr>
            <w:r>
              <w:rPr>
                <w:rFonts w:hint="default"/>
                <w:lang w:val="en-US" w:eastAsia="zh-CN"/>
              </w:rPr>
              <w:t>建筑应设置信息网络系统。</w:t>
            </w:r>
          </w:p>
        </w:tc>
        <w:tc>
          <w:tcPr>
            <w:tcW w:w="3738" w:type="dxa"/>
            <w:vAlign w:val="center"/>
          </w:tcPr>
          <w:p>
            <w:pPr>
              <w:rPr>
                <w:rFonts w:hint="default"/>
                <w:lang w:val="en-US" w:eastAsia="zh-CN"/>
              </w:rPr>
            </w:pPr>
            <w:r>
              <w:rPr>
                <w:rFonts w:hint="default"/>
                <w:lang w:val="en-US" w:eastAsia="zh-CN"/>
              </w:rPr>
              <w:t>□弱电平面图</w:t>
            </w:r>
          </w:p>
          <w:p>
            <w:pPr>
              <w:rPr>
                <w:rFonts w:hint="default"/>
                <w:lang w:val="en-US" w:eastAsia="zh-CN"/>
              </w:rPr>
            </w:pPr>
            <w:r>
              <w:rPr>
                <w:rFonts w:hint="default"/>
                <w:lang w:val="en-US" w:eastAsia="zh-CN"/>
              </w:rPr>
              <w:t>□系统图</w:t>
            </w:r>
          </w:p>
          <w:p>
            <w:pPr>
              <w:rPr>
                <w:rFonts w:hint="default"/>
                <w:lang w:val="en-US" w:eastAsia="zh-CN"/>
              </w:rPr>
            </w:pPr>
            <w:r>
              <w:rPr>
                <w:rFonts w:hint="default"/>
                <w:lang w:val="en-US" w:eastAsia="zh-CN"/>
              </w:rPr>
              <w:t>□设计说明</w:t>
            </w:r>
          </w:p>
          <w:p>
            <w:pPr>
              <w:rPr>
                <w:rFonts w:hint="default"/>
                <w:lang w:val="en-US" w:eastAsia="zh-CN"/>
              </w:rPr>
            </w:pPr>
            <w:r>
              <w:rPr>
                <w:rFonts w:hint="default"/>
                <w:lang w:val="en-US" w:eastAsia="zh-CN"/>
              </w:rPr>
              <w:t>□运行记录</w:t>
            </w:r>
          </w:p>
        </w:tc>
        <w:tc>
          <w:tcPr>
            <w:tcW w:w="1625"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12"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937"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7.1.4</w:t>
            </w:r>
          </w:p>
        </w:tc>
        <w:tc>
          <w:tcPr>
            <w:tcW w:w="4350" w:type="dxa"/>
            <w:vAlign w:val="center"/>
          </w:tcPr>
          <w:p>
            <w:pPr>
              <w:rPr>
                <w:rFonts w:hint="default"/>
                <w:lang w:val="en-US" w:eastAsia="zh-CN"/>
              </w:rPr>
            </w:pPr>
            <w:r>
              <w:rPr>
                <w:rFonts w:hint="default"/>
                <w:lang w:val="en-US" w:eastAsia="zh-CN"/>
              </w:rPr>
              <w:t>主要功能房间照明功率密度值不应高于现行国家标准《建筑照明设计标准》GB 50034 规定的现行值；公共区域的照明系统应采用分区、定时感应等节能控制；采光区域的照明控制应独立于其他区域的照明控制。</w:t>
            </w:r>
          </w:p>
        </w:tc>
        <w:tc>
          <w:tcPr>
            <w:tcW w:w="3738" w:type="dxa"/>
            <w:vAlign w:val="center"/>
          </w:tcPr>
          <w:p>
            <w:pPr>
              <w:rPr>
                <w:rFonts w:hint="default"/>
                <w:lang w:val="en-US" w:eastAsia="zh-CN"/>
              </w:rPr>
            </w:pPr>
            <w:r>
              <w:rPr>
                <w:rFonts w:hint="default"/>
                <w:lang w:val="en-US" w:eastAsia="zh-CN"/>
              </w:rPr>
              <w:t>□照明平面图</w:t>
            </w:r>
          </w:p>
          <w:p>
            <w:pPr>
              <w:rPr>
                <w:rFonts w:hint="default"/>
                <w:lang w:val="en-US" w:eastAsia="zh-CN"/>
              </w:rPr>
            </w:pPr>
            <w:r>
              <w:rPr>
                <w:rFonts w:hint="default"/>
                <w:lang w:val="en-US" w:eastAsia="zh-CN"/>
              </w:rPr>
              <w:t>□系统图</w:t>
            </w:r>
          </w:p>
          <w:p>
            <w:pPr>
              <w:rPr>
                <w:rFonts w:hint="default"/>
                <w:lang w:val="en-US" w:eastAsia="zh-CN"/>
              </w:rPr>
            </w:pPr>
            <w:r>
              <w:rPr>
                <w:rFonts w:hint="default"/>
                <w:lang w:val="en-US" w:eastAsia="zh-CN"/>
              </w:rPr>
              <w:t>□设计总说明</w:t>
            </w:r>
          </w:p>
          <w:p>
            <w:pPr>
              <w:rPr>
                <w:rFonts w:hint="default"/>
                <w:lang w:val="en-US" w:eastAsia="zh-CN"/>
              </w:rPr>
            </w:pPr>
            <w:r>
              <w:rPr>
                <w:rFonts w:hint="default"/>
                <w:lang w:val="en-US" w:eastAsia="zh-CN"/>
              </w:rPr>
              <w:t>□照度计算书</w:t>
            </w:r>
          </w:p>
          <w:p>
            <w:pPr>
              <w:rPr>
                <w:rFonts w:hint="default"/>
                <w:lang w:val="en-US" w:eastAsia="zh-CN"/>
              </w:rPr>
            </w:pPr>
            <w:r>
              <w:rPr>
                <w:rFonts w:hint="default"/>
                <w:lang w:val="en-US" w:eastAsia="zh-CN"/>
              </w:rPr>
              <w:t>□现场照度检测报告</w:t>
            </w:r>
          </w:p>
          <w:p>
            <w:pPr>
              <w:rPr>
                <w:rFonts w:hint="default"/>
                <w:lang w:val="en-US" w:eastAsia="zh-CN"/>
              </w:rPr>
            </w:pPr>
            <w:r>
              <w:rPr>
                <w:rFonts w:hint="default"/>
                <w:lang w:val="en-US" w:eastAsia="zh-CN"/>
              </w:rPr>
              <w:t>□产品说明书及产品型式检验报告</w:t>
            </w:r>
          </w:p>
        </w:tc>
        <w:tc>
          <w:tcPr>
            <w:tcW w:w="1625"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12"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937"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7.1.5</w:t>
            </w:r>
          </w:p>
        </w:tc>
        <w:tc>
          <w:tcPr>
            <w:tcW w:w="4350" w:type="dxa"/>
            <w:vAlign w:val="center"/>
          </w:tcPr>
          <w:p>
            <w:pPr>
              <w:rPr>
                <w:rFonts w:hint="default"/>
                <w:lang w:val="en-US" w:eastAsia="zh-CN"/>
              </w:rPr>
            </w:pPr>
            <w:r>
              <w:rPr>
                <w:rFonts w:hint="default"/>
                <w:lang w:val="en-US" w:eastAsia="zh-CN"/>
              </w:rPr>
              <w:t>冷热源、输配系统和照明等各部分能耗应进行独立分项计量。</w:t>
            </w:r>
          </w:p>
        </w:tc>
        <w:tc>
          <w:tcPr>
            <w:tcW w:w="3738" w:type="dxa"/>
            <w:vAlign w:val="center"/>
          </w:tcPr>
          <w:p>
            <w:pPr>
              <w:rPr>
                <w:rFonts w:hint="default"/>
                <w:lang w:val="en-US" w:eastAsia="zh-CN"/>
              </w:rPr>
            </w:pPr>
            <w:r>
              <w:rPr>
                <w:rFonts w:hint="default"/>
                <w:lang w:val="en-US" w:eastAsia="zh-CN"/>
              </w:rPr>
              <w:t>□配电平面图</w:t>
            </w:r>
          </w:p>
          <w:p>
            <w:pPr>
              <w:rPr>
                <w:rFonts w:hint="default"/>
                <w:lang w:val="en-US" w:eastAsia="zh-CN"/>
              </w:rPr>
            </w:pPr>
            <w:r>
              <w:rPr>
                <w:rFonts w:hint="default"/>
                <w:lang w:val="en-US" w:eastAsia="zh-CN"/>
              </w:rPr>
              <w:t>□系统图</w:t>
            </w:r>
          </w:p>
          <w:p>
            <w:pPr>
              <w:rPr>
                <w:rFonts w:hint="default"/>
                <w:lang w:val="en-US" w:eastAsia="zh-CN"/>
              </w:rPr>
            </w:pPr>
            <w:r>
              <w:rPr>
                <w:rFonts w:hint="default"/>
                <w:lang w:val="en-US" w:eastAsia="zh-CN"/>
              </w:rPr>
              <w:t>□分项计量记录表</w:t>
            </w:r>
          </w:p>
        </w:tc>
        <w:tc>
          <w:tcPr>
            <w:tcW w:w="1625"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12"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37"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7.1.6</w:t>
            </w:r>
          </w:p>
        </w:tc>
        <w:tc>
          <w:tcPr>
            <w:tcW w:w="4350" w:type="dxa"/>
            <w:vAlign w:val="center"/>
          </w:tcPr>
          <w:p>
            <w:pPr>
              <w:rPr>
                <w:rFonts w:hint="default"/>
                <w:lang w:val="en-US" w:eastAsia="zh-CN"/>
              </w:rPr>
            </w:pPr>
            <w:r>
              <w:rPr>
                <w:rFonts w:hint="default"/>
                <w:lang w:val="en-US" w:eastAsia="zh-CN"/>
              </w:rPr>
              <w:t>垂直电梯应采取群控、变频调速或能量反馈等节能措施；自动扶梯应采用变频感应启动等节能控制措施。</w:t>
            </w:r>
          </w:p>
        </w:tc>
        <w:tc>
          <w:tcPr>
            <w:tcW w:w="3738" w:type="dxa"/>
            <w:vAlign w:val="center"/>
          </w:tcPr>
          <w:p>
            <w:pPr>
              <w:rPr>
                <w:rFonts w:hint="default"/>
                <w:lang w:val="en-US" w:eastAsia="zh-CN"/>
              </w:rPr>
            </w:pPr>
            <w:r>
              <w:rPr>
                <w:rFonts w:hint="default"/>
                <w:lang w:val="en-US" w:eastAsia="zh-CN"/>
              </w:rPr>
              <w:t>□设计说明</w:t>
            </w:r>
          </w:p>
          <w:p>
            <w:pPr>
              <w:rPr>
                <w:rFonts w:hint="default"/>
                <w:lang w:val="en-US" w:eastAsia="zh-CN"/>
              </w:rPr>
            </w:pPr>
            <w:r>
              <w:rPr>
                <w:rFonts w:hint="default"/>
                <w:lang w:val="en-US" w:eastAsia="zh-CN"/>
              </w:rPr>
              <w:t>□电梯与自动扶梯人流平衡计算分析报告</w:t>
            </w:r>
          </w:p>
          <w:p>
            <w:pPr>
              <w:rPr>
                <w:rFonts w:hint="default"/>
                <w:lang w:val="en-US" w:eastAsia="zh-CN"/>
              </w:rPr>
            </w:pPr>
            <w:r>
              <w:rPr>
                <w:rFonts w:hint="default"/>
                <w:lang w:val="en-US" w:eastAsia="zh-CN"/>
              </w:rPr>
              <w:t>□产品型式检验报告</w:t>
            </w:r>
          </w:p>
        </w:tc>
        <w:tc>
          <w:tcPr>
            <w:tcW w:w="1625"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12"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937" w:type="dxa"/>
            <w:vMerge w:val="restart"/>
            <w:vAlign w:val="center"/>
          </w:tcPr>
          <w:p>
            <w:pPr>
              <w:rPr>
                <w:rFonts w:hint="default"/>
                <w:lang w:val="en-US" w:eastAsia="zh-CN"/>
              </w:rPr>
            </w:pPr>
            <w:r>
              <w:rPr>
                <w:rFonts w:hint="default"/>
                <w:lang w:val="en-US" w:eastAsia="zh-CN"/>
              </w:rPr>
              <w:t>评分项</w:t>
            </w:r>
          </w:p>
        </w:tc>
        <w:tc>
          <w:tcPr>
            <w:tcW w:w="1150" w:type="dxa"/>
            <w:vAlign w:val="center"/>
          </w:tcPr>
          <w:p>
            <w:pPr>
              <w:rPr>
                <w:rFonts w:hint="default"/>
                <w:lang w:val="en-US" w:eastAsia="zh-CN"/>
              </w:rPr>
            </w:pPr>
            <w:r>
              <w:rPr>
                <w:rFonts w:hint="default"/>
                <w:lang w:val="en-US" w:eastAsia="zh-CN"/>
              </w:rPr>
              <w:t>4.2.5</w:t>
            </w:r>
          </w:p>
        </w:tc>
        <w:tc>
          <w:tcPr>
            <w:tcW w:w="4350" w:type="dxa"/>
            <w:vAlign w:val="center"/>
          </w:tcPr>
          <w:p>
            <w:pPr>
              <w:rPr>
                <w:rFonts w:hint="default"/>
                <w:lang w:val="en-US" w:eastAsia="zh-CN"/>
              </w:rPr>
            </w:pPr>
            <w:r>
              <w:rPr>
                <w:rFonts w:hint="default"/>
                <w:lang w:val="en-US" w:eastAsia="zh-CN"/>
              </w:rPr>
              <w:t>采取人车分流，且步行和自行车交通系统有充足照明评价分值为8分。</w:t>
            </w:r>
          </w:p>
        </w:tc>
        <w:tc>
          <w:tcPr>
            <w:tcW w:w="3738"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□照度计算书</w:t>
            </w:r>
          </w:p>
          <w:p>
            <w:pPr>
              <w:rPr>
                <w:rFonts w:hint="default"/>
                <w:lang w:val="en-US" w:eastAsia="zh-CN"/>
              </w:rPr>
            </w:pPr>
            <w:r>
              <w:rPr>
                <w:rFonts w:hint="default"/>
                <w:lang w:val="en-US" w:eastAsia="zh-CN"/>
              </w:rPr>
              <w:t>□照度检测报告</w:t>
            </w:r>
          </w:p>
        </w:tc>
        <w:tc>
          <w:tcPr>
            <w:tcW w:w="1625"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12" w:type="dxa"/>
            <w:vAlign w:val="center"/>
          </w:tcPr>
          <w:p>
            <w:pPr>
              <w:rPr>
                <w:rFonts w:hint="default"/>
                <w:lang w:val="en-US" w:eastAsia="zh-CN"/>
              </w:rPr>
            </w:pPr>
            <w:r>
              <w:rPr>
                <w:rFonts w:hint="default"/>
                <w:lang w:val="en-US" w:eastAsia="zh-CN"/>
              </w:rPr>
              <w:t>□安全耐久</w:t>
            </w: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937"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6.2.12（1、2、3）</w:t>
            </w:r>
          </w:p>
        </w:tc>
        <w:tc>
          <w:tcPr>
            <w:tcW w:w="4350" w:type="dxa"/>
            <w:vAlign w:val="center"/>
          </w:tcPr>
          <w:p>
            <w:pPr>
              <w:rPr>
                <w:rFonts w:hint="default"/>
                <w:lang w:val="en-US" w:eastAsia="zh-CN"/>
              </w:rPr>
            </w:pPr>
            <w:r>
              <w:rPr>
                <w:rFonts w:hint="default"/>
                <w:lang w:val="en-US" w:eastAsia="zh-CN"/>
              </w:rPr>
              <w:t>制定绿色建筑运营效果评估的技术方案和计划</w:t>
            </w:r>
          </w:p>
          <w:p>
            <w:pPr>
              <w:rPr>
                <w:rFonts w:hint="default"/>
                <w:lang w:val="en-US" w:eastAsia="zh-CN"/>
              </w:rPr>
            </w:pPr>
            <w:r>
              <w:rPr>
                <w:rFonts w:hint="default"/>
                <w:lang w:val="en-US" w:eastAsia="zh-CN"/>
              </w:rPr>
              <w:t>定期检查、调试公共设施设备，具有检查、调试、运行、标定的记录，且记录完整</w:t>
            </w:r>
          </w:p>
          <w:p>
            <w:pPr>
              <w:rPr>
                <w:rFonts w:hint="default"/>
                <w:lang w:val="en-US" w:eastAsia="zh-CN"/>
              </w:rPr>
            </w:pPr>
            <w:r>
              <w:rPr>
                <w:rFonts w:hint="default"/>
                <w:lang w:val="en-US" w:eastAsia="zh-CN"/>
              </w:rPr>
              <w:t>定期开展节能诊断评估，并根据评估结果制定优化方案并实施</w:t>
            </w:r>
          </w:p>
        </w:tc>
        <w:tc>
          <w:tcPr>
            <w:tcW w:w="3738" w:type="dxa"/>
            <w:vAlign w:val="center"/>
          </w:tcPr>
          <w:p>
            <w:pPr>
              <w:rPr>
                <w:rFonts w:hint="default"/>
                <w:lang w:val="en-US" w:eastAsia="zh-CN"/>
              </w:rPr>
            </w:pPr>
            <w:r>
              <w:rPr>
                <w:rFonts w:hint="default"/>
                <w:lang w:val="en-US" w:eastAsia="zh-CN"/>
              </w:rPr>
              <w:t>□相关管理制定</w:t>
            </w:r>
          </w:p>
          <w:p>
            <w:pPr>
              <w:rPr>
                <w:rFonts w:hint="default"/>
                <w:lang w:val="en-US" w:eastAsia="zh-CN"/>
              </w:rPr>
            </w:pPr>
            <w:r>
              <w:rPr>
                <w:rFonts w:hint="default"/>
                <w:lang w:val="en-US" w:eastAsia="zh-CN"/>
              </w:rPr>
              <w:t>□年度评估报告</w:t>
            </w:r>
          </w:p>
          <w:p>
            <w:pPr>
              <w:rPr>
                <w:rFonts w:hint="default"/>
                <w:lang w:val="en-US" w:eastAsia="zh-CN"/>
              </w:rPr>
            </w:pPr>
            <w:r>
              <w:rPr>
                <w:rFonts w:hint="default"/>
                <w:lang w:val="en-US" w:eastAsia="zh-CN"/>
              </w:rPr>
              <w:t>□历史检测数据</w:t>
            </w:r>
          </w:p>
          <w:p>
            <w:pPr>
              <w:rPr>
                <w:rFonts w:hint="default"/>
                <w:lang w:val="en-US" w:eastAsia="zh-CN"/>
              </w:rPr>
            </w:pPr>
            <w:r>
              <w:rPr>
                <w:rFonts w:hint="default"/>
                <w:lang w:val="en-US" w:eastAsia="zh-CN"/>
              </w:rPr>
              <w:t>□诊断报告</w:t>
            </w:r>
          </w:p>
          <w:p>
            <w:pPr>
              <w:rPr>
                <w:rFonts w:hint="default"/>
                <w:lang w:val="en-US" w:eastAsia="zh-CN"/>
              </w:rPr>
            </w:pPr>
            <w:r>
              <w:rPr>
                <w:rFonts w:hint="default"/>
                <w:lang w:val="en-US" w:eastAsia="zh-CN"/>
              </w:rPr>
              <w:t>□运行记录</w:t>
            </w:r>
          </w:p>
        </w:tc>
        <w:tc>
          <w:tcPr>
            <w:tcW w:w="1625" w:type="dxa"/>
            <w:vAlign w:val="center"/>
          </w:tcPr>
          <w:p>
            <w:pPr>
              <w:rPr>
                <w:rFonts w:hint="default"/>
                <w:lang w:val="en-US" w:eastAsia="zh-CN"/>
              </w:rPr>
            </w:pPr>
            <w:r>
              <w:rPr>
                <w:rFonts w:hint="default"/>
                <w:lang w:val="en-US" w:eastAsia="zh-CN"/>
              </w:rPr>
              <w:t xml:space="preserve">得分：    </w:t>
            </w:r>
          </w:p>
        </w:tc>
        <w:tc>
          <w:tcPr>
            <w:tcW w:w="1312"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937"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6.2.6</w:t>
            </w:r>
          </w:p>
        </w:tc>
        <w:tc>
          <w:tcPr>
            <w:tcW w:w="4350" w:type="dxa"/>
            <w:vAlign w:val="center"/>
          </w:tcPr>
          <w:p>
            <w:pPr>
              <w:rPr>
                <w:rFonts w:hint="default"/>
                <w:lang w:val="en-US" w:eastAsia="zh-CN"/>
              </w:rPr>
            </w:pPr>
            <w:r>
              <w:rPr>
                <w:rFonts w:hint="default"/>
                <w:lang w:val="en-US" w:eastAsia="zh-CN"/>
              </w:rPr>
              <w:t>设置分类、分级用能自动远传计量系统，且设置能源管理系统实现对建筑能耗的监测、数据分析和管理，评价分值为8分。</w:t>
            </w:r>
          </w:p>
        </w:tc>
        <w:tc>
          <w:tcPr>
            <w:tcW w:w="3738" w:type="dxa"/>
            <w:vAlign w:val="center"/>
          </w:tcPr>
          <w:p>
            <w:pPr>
              <w:rPr>
                <w:rFonts w:hint="default"/>
                <w:lang w:val="en-US" w:eastAsia="zh-CN"/>
              </w:rPr>
            </w:pPr>
            <w:r>
              <w:rPr>
                <w:rFonts w:hint="default"/>
                <w:lang w:val="en-US" w:eastAsia="zh-CN"/>
              </w:rPr>
              <w:t>□弱电设计图</w:t>
            </w:r>
          </w:p>
          <w:p>
            <w:pPr>
              <w:rPr>
                <w:rFonts w:hint="default"/>
                <w:lang w:val="en-US" w:eastAsia="zh-CN"/>
              </w:rPr>
            </w:pPr>
            <w:r>
              <w:rPr>
                <w:rFonts w:hint="default"/>
                <w:lang w:val="en-US" w:eastAsia="zh-CN"/>
              </w:rPr>
              <w:t>□产品型式检验报告</w:t>
            </w:r>
          </w:p>
          <w:p>
            <w:pPr>
              <w:rPr>
                <w:rFonts w:hint="default"/>
                <w:lang w:val="en-US" w:eastAsia="zh-CN"/>
              </w:rPr>
            </w:pPr>
            <w:r>
              <w:rPr>
                <w:rFonts w:hint="default"/>
                <w:lang w:val="en-US" w:eastAsia="zh-CN"/>
              </w:rPr>
              <w:t>□能源管理制度</w:t>
            </w:r>
          </w:p>
          <w:p>
            <w:pPr>
              <w:rPr>
                <w:rFonts w:hint="default"/>
                <w:lang w:val="en-US" w:eastAsia="zh-CN"/>
              </w:rPr>
            </w:pPr>
            <w:r>
              <w:rPr>
                <w:rFonts w:hint="default"/>
                <w:lang w:val="en-US" w:eastAsia="zh-CN"/>
              </w:rPr>
              <w:t>□历史监测数据</w:t>
            </w:r>
          </w:p>
          <w:p>
            <w:pPr>
              <w:rPr>
                <w:rFonts w:hint="default"/>
                <w:lang w:val="en-US" w:eastAsia="zh-CN"/>
              </w:rPr>
            </w:pPr>
            <w:r>
              <w:rPr>
                <w:rFonts w:hint="default"/>
                <w:lang w:val="en-US" w:eastAsia="zh-CN"/>
              </w:rPr>
              <w:t>□运行记录</w:t>
            </w:r>
          </w:p>
        </w:tc>
        <w:tc>
          <w:tcPr>
            <w:tcW w:w="1625"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12"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937"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6.2.7</w:t>
            </w:r>
          </w:p>
        </w:tc>
        <w:tc>
          <w:tcPr>
            <w:tcW w:w="4350" w:type="dxa"/>
            <w:vAlign w:val="center"/>
          </w:tcPr>
          <w:p>
            <w:pPr>
              <w:rPr>
                <w:rFonts w:hint="default"/>
                <w:lang w:val="en-US" w:eastAsia="zh-CN"/>
              </w:rPr>
            </w:pPr>
            <w:r>
              <w:rPr>
                <w:rFonts w:hint="default"/>
                <w:lang w:val="en-US" w:eastAsia="zh-CN"/>
              </w:rPr>
              <w:t>设置PM10、PM2.5、CO2浓度的空气质量监测系统，且具有存储至少一年的监测数据和实时显示等功能，评价分值为5分。</w:t>
            </w:r>
          </w:p>
        </w:tc>
        <w:tc>
          <w:tcPr>
            <w:tcW w:w="3738" w:type="dxa"/>
            <w:vAlign w:val="center"/>
          </w:tcPr>
          <w:p>
            <w:pPr>
              <w:rPr>
                <w:rFonts w:hint="default"/>
                <w:lang w:val="en-US" w:eastAsia="zh-CN"/>
              </w:rPr>
            </w:pPr>
            <w:r>
              <w:rPr>
                <w:rFonts w:hint="default"/>
                <w:lang w:val="en-US" w:eastAsia="zh-CN"/>
              </w:rPr>
              <w:t>□弱电设计图</w:t>
            </w:r>
          </w:p>
          <w:p>
            <w:pPr>
              <w:rPr>
                <w:rFonts w:hint="default"/>
                <w:lang w:val="en-US" w:eastAsia="zh-CN"/>
              </w:rPr>
            </w:pPr>
            <w:r>
              <w:rPr>
                <w:rFonts w:hint="default"/>
                <w:lang w:val="en-US" w:eastAsia="zh-CN"/>
              </w:rPr>
              <w:t>□产品型式检验报告</w:t>
            </w:r>
          </w:p>
          <w:p>
            <w:pPr>
              <w:rPr>
                <w:rFonts w:hint="default"/>
                <w:lang w:val="en-US" w:eastAsia="zh-CN"/>
              </w:rPr>
            </w:pPr>
            <w:r>
              <w:rPr>
                <w:rFonts w:hint="default"/>
                <w:lang w:val="en-US" w:eastAsia="zh-CN"/>
              </w:rPr>
              <w:t>□管理制度</w:t>
            </w:r>
          </w:p>
          <w:p>
            <w:pPr>
              <w:rPr>
                <w:rFonts w:hint="default"/>
                <w:lang w:val="en-US" w:eastAsia="zh-CN"/>
              </w:rPr>
            </w:pPr>
            <w:r>
              <w:rPr>
                <w:rFonts w:hint="default"/>
                <w:lang w:val="en-US" w:eastAsia="zh-CN"/>
              </w:rPr>
              <w:t>□历史监测数据</w:t>
            </w:r>
          </w:p>
          <w:p>
            <w:pPr>
              <w:rPr>
                <w:rFonts w:hint="default"/>
                <w:lang w:val="en-US" w:eastAsia="zh-CN"/>
              </w:rPr>
            </w:pPr>
            <w:r>
              <w:rPr>
                <w:rFonts w:hint="default"/>
                <w:lang w:val="en-US" w:eastAsia="zh-CN"/>
              </w:rPr>
              <w:t>□运行记录</w:t>
            </w:r>
          </w:p>
        </w:tc>
        <w:tc>
          <w:tcPr>
            <w:tcW w:w="1625"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12"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37"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6.2.9</w:t>
            </w:r>
          </w:p>
        </w:tc>
        <w:tc>
          <w:tcPr>
            <w:tcW w:w="4350" w:type="dxa"/>
            <w:vAlign w:val="center"/>
          </w:tcPr>
          <w:p>
            <w:pPr>
              <w:rPr>
                <w:rFonts w:hint="default"/>
                <w:lang w:val="en-US" w:eastAsia="zh-CN"/>
              </w:rPr>
            </w:pPr>
            <w:r>
              <w:rPr>
                <w:rFonts w:hint="default"/>
                <w:lang w:val="en-US" w:eastAsia="zh-CN"/>
              </w:rPr>
              <w:t>具有智能化服务系统，评价总分值为9分，并按下列规则分别评分并累计：</w:t>
            </w:r>
          </w:p>
          <w:p>
            <w:pPr>
              <w:rPr>
                <w:rFonts w:hint="default"/>
                <w:lang w:val="en-US" w:eastAsia="zh-CN"/>
              </w:rPr>
            </w:pPr>
            <w:r>
              <w:rPr>
                <w:rFonts w:hint="default"/>
                <w:lang w:val="en-US" w:eastAsia="zh-CN"/>
              </w:rPr>
              <w:t>1 具有家电控制、照明控制、安全报警、环境监测、建筑设备控制、工作生活服务等至少3种类型的服务功能，得3分；</w:t>
            </w:r>
          </w:p>
          <w:p>
            <w:pPr>
              <w:rPr>
                <w:rFonts w:hint="default"/>
                <w:lang w:val="en-US" w:eastAsia="zh-CN"/>
              </w:rPr>
            </w:pPr>
            <w:r>
              <w:rPr>
                <w:rFonts w:hint="default"/>
                <w:lang w:val="en-US" w:eastAsia="zh-CN"/>
              </w:rPr>
              <w:t>2 具有远程监控的功能，得3分；</w:t>
            </w:r>
          </w:p>
          <w:p>
            <w:pPr>
              <w:rPr>
                <w:rFonts w:hint="default"/>
                <w:lang w:val="en-US" w:eastAsia="zh-CN"/>
              </w:rPr>
            </w:pPr>
            <w:r>
              <w:rPr>
                <w:rFonts w:hint="default"/>
                <w:lang w:val="en-US" w:eastAsia="zh-CN"/>
              </w:rPr>
              <w:t>3 具有接入智慧城市（城区、社区）的功能，得3分。</w:t>
            </w:r>
          </w:p>
        </w:tc>
        <w:tc>
          <w:tcPr>
            <w:tcW w:w="3738" w:type="dxa"/>
            <w:vAlign w:val="center"/>
          </w:tcPr>
          <w:p>
            <w:pPr>
              <w:rPr>
                <w:rFonts w:hint="default"/>
                <w:lang w:val="en-US" w:eastAsia="zh-CN"/>
              </w:rPr>
            </w:pPr>
            <w:r>
              <w:rPr>
                <w:rFonts w:hint="default"/>
                <w:lang w:val="en-US" w:eastAsia="zh-CN"/>
              </w:rPr>
              <w:t>□设计文件(智能家居或环境设备监控系统设计方案、智能化服务平台方案、相关智能化设计图纸)</w:t>
            </w:r>
          </w:p>
          <w:p>
            <w:pPr>
              <w:rPr>
                <w:rFonts w:hint="default"/>
                <w:lang w:val="en-US" w:eastAsia="zh-CN"/>
              </w:rPr>
            </w:pPr>
            <w:r>
              <w:rPr>
                <w:rFonts w:hint="default"/>
                <w:lang w:val="en-US" w:eastAsia="zh-CN"/>
              </w:rPr>
              <w:t>□竣工图</w:t>
            </w:r>
          </w:p>
          <w:p>
            <w:pPr>
              <w:rPr>
                <w:rFonts w:hint="default"/>
                <w:lang w:val="en-US" w:eastAsia="zh-CN"/>
              </w:rPr>
            </w:pPr>
            <w:r>
              <w:rPr>
                <w:rFonts w:hint="default"/>
                <w:lang w:val="en-US" w:eastAsia="zh-CN"/>
              </w:rPr>
              <w:t>□产品型式检验报告</w:t>
            </w:r>
          </w:p>
          <w:p>
            <w:pPr>
              <w:rPr>
                <w:rFonts w:hint="default"/>
                <w:lang w:val="en-US" w:eastAsia="zh-CN"/>
              </w:rPr>
            </w:pPr>
            <w:r>
              <w:rPr>
                <w:rFonts w:hint="default"/>
                <w:lang w:val="en-US" w:eastAsia="zh-CN"/>
              </w:rPr>
              <w:t>□投入使用的项目尚应查阅管理制度、历史监测数据、运行记录</w:t>
            </w:r>
          </w:p>
        </w:tc>
        <w:tc>
          <w:tcPr>
            <w:tcW w:w="1625"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12"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937"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7.2.7</w:t>
            </w:r>
          </w:p>
        </w:tc>
        <w:tc>
          <w:tcPr>
            <w:tcW w:w="4350" w:type="dxa"/>
            <w:vAlign w:val="center"/>
          </w:tcPr>
          <w:p>
            <w:pPr>
              <w:rPr>
                <w:rFonts w:hint="default"/>
                <w:lang w:val="en-US" w:eastAsia="zh-CN"/>
              </w:rPr>
            </w:pPr>
            <w:r>
              <w:rPr>
                <w:rFonts w:hint="default"/>
                <w:lang w:val="en-US" w:eastAsia="zh-CN"/>
              </w:rPr>
              <w:t>采用节能型电气设备及节能控制措施，评价总分值为10分，并按下列规则分别评分并累计：</w:t>
            </w:r>
          </w:p>
          <w:p>
            <w:pPr>
              <w:rPr>
                <w:rFonts w:hint="default"/>
                <w:lang w:val="en-US" w:eastAsia="zh-CN"/>
              </w:rPr>
            </w:pPr>
            <w:r>
              <w:rPr>
                <w:rFonts w:hint="default"/>
                <w:lang w:val="en-US" w:eastAsia="zh-CN"/>
              </w:rPr>
              <w:t>1 主要功能房间的照明功率密度值达到《建筑照明设计标准》GB50034规定的目标值，得5分；</w:t>
            </w:r>
          </w:p>
          <w:p>
            <w:pPr>
              <w:rPr>
                <w:rFonts w:hint="default"/>
                <w:lang w:val="en-US" w:eastAsia="zh-CN"/>
              </w:rPr>
            </w:pPr>
            <w:r>
              <w:rPr>
                <w:rFonts w:hint="default"/>
                <w:lang w:val="en-US" w:eastAsia="zh-CN"/>
              </w:rPr>
              <w:t>2 采光区域的人工照明随天然照度变化自动调节，得2分；</w:t>
            </w:r>
          </w:p>
          <w:p>
            <w:pPr>
              <w:rPr>
                <w:rFonts w:hint="default"/>
                <w:lang w:val="en-US" w:eastAsia="zh-CN"/>
              </w:rPr>
            </w:pPr>
            <w:r>
              <w:rPr>
                <w:rFonts w:hint="default"/>
                <w:lang w:val="en-US" w:eastAsia="zh-CN"/>
              </w:rPr>
              <w:t>3.照明产品、三相配电变压器、水泵、风机等设备满足国家现行有关标准的节能评价值的要求，得3分。</w:t>
            </w:r>
          </w:p>
          <w:p>
            <w:pPr>
              <w:rPr>
                <w:rFonts w:hint="default"/>
                <w:lang w:val="en-US" w:eastAsia="zh-CN"/>
              </w:rPr>
            </w:pPr>
          </w:p>
        </w:tc>
        <w:tc>
          <w:tcPr>
            <w:tcW w:w="3738" w:type="dxa"/>
            <w:vAlign w:val="center"/>
          </w:tcPr>
          <w:p>
            <w:pPr>
              <w:rPr>
                <w:rFonts w:hint="default"/>
                <w:lang w:val="en-US" w:eastAsia="zh-CN"/>
              </w:rPr>
            </w:pPr>
            <w:r>
              <w:rPr>
                <w:rFonts w:hint="default"/>
                <w:lang w:val="en-US" w:eastAsia="zh-CN"/>
              </w:rPr>
              <w:t>□设计总说明</w:t>
            </w:r>
          </w:p>
          <w:p>
            <w:pPr>
              <w:rPr>
                <w:rFonts w:hint="default"/>
                <w:lang w:val="en-US" w:eastAsia="zh-CN"/>
              </w:rPr>
            </w:pPr>
            <w:r>
              <w:rPr>
                <w:rFonts w:hint="default"/>
                <w:lang w:val="en-US" w:eastAsia="zh-CN"/>
              </w:rPr>
              <w:t>□主要设备材料表</w:t>
            </w:r>
          </w:p>
          <w:p>
            <w:pPr>
              <w:rPr>
                <w:rFonts w:hint="default"/>
                <w:lang w:val="en-US" w:eastAsia="zh-CN"/>
              </w:rPr>
            </w:pPr>
            <w:r>
              <w:rPr>
                <w:rFonts w:hint="default"/>
                <w:lang w:val="en-US" w:eastAsia="zh-CN"/>
              </w:rPr>
              <w:t>□照度计算书</w:t>
            </w:r>
          </w:p>
          <w:p>
            <w:pPr>
              <w:rPr>
                <w:rFonts w:hint="default"/>
                <w:lang w:val="en-US" w:eastAsia="zh-CN"/>
              </w:rPr>
            </w:pPr>
            <w:r>
              <w:rPr>
                <w:rFonts w:hint="default"/>
                <w:lang w:val="en-US" w:eastAsia="zh-CN"/>
              </w:rPr>
              <w:t>□照度检测报告</w:t>
            </w:r>
          </w:p>
          <w:p>
            <w:pPr>
              <w:rPr>
                <w:rFonts w:hint="default"/>
                <w:lang w:val="en-US" w:eastAsia="zh-CN"/>
              </w:rPr>
            </w:pPr>
            <w:r>
              <w:rPr>
                <w:rFonts w:hint="default"/>
                <w:lang w:val="en-US" w:eastAsia="zh-CN"/>
              </w:rPr>
              <w:t>□产品型式检验报告</w:t>
            </w:r>
          </w:p>
        </w:tc>
        <w:tc>
          <w:tcPr>
            <w:tcW w:w="1625"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12"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37"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9.2.6</w:t>
            </w:r>
          </w:p>
        </w:tc>
        <w:tc>
          <w:tcPr>
            <w:tcW w:w="4350" w:type="dxa"/>
            <w:vAlign w:val="center"/>
          </w:tcPr>
          <w:p>
            <w:pPr>
              <w:rPr>
                <w:rFonts w:hint="default"/>
                <w:lang w:val="en-US" w:eastAsia="zh-CN"/>
              </w:rPr>
            </w:pPr>
            <w:r>
              <w:rPr>
                <w:rFonts w:hint="default"/>
                <w:lang w:val="en-US" w:eastAsia="zh-CN"/>
              </w:rPr>
              <w:t>应用建筑信息模型（BIM）技术，在建筑的规划设计、施工建造、运行维护阶段应用（每一个阶段5分，共15分）</w:t>
            </w:r>
          </w:p>
        </w:tc>
        <w:tc>
          <w:tcPr>
            <w:tcW w:w="3738" w:type="dxa"/>
            <w:vAlign w:val="center"/>
          </w:tcPr>
          <w:p>
            <w:pPr>
              <w:rPr>
                <w:rFonts w:hint="default"/>
                <w:lang w:val="en-US" w:eastAsia="zh-CN"/>
              </w:rPr>
            </w:pPr>
            <w:r>
              <w:rPr>
                <w:rFonts w:hint="default"/>
                <w:lang w:val="en-US" w:eastAsia="zh-CN"/>
              </w:rPr>
              <w:t>□竣工图</w:t>
            </w:r>
          </w:p>
          <w:p>
            <w:pPr>
              <w:rPr>
                <w:rFonts w:hint="default"/>
                <w:lang w:val="en-US" w:eastAsia="zh-CN"/>
              </w:rPr>
            </w:pPr>
            <w:r>
              <w:rPr>
                <w:rFonts w:hint="default"/>
                <w:lang w:val="en-US" w:eastAsia="zh-CN"/>
              </w:rPr>
              <w:t>□BIM技术应用报告</w:t>
            </w:r>
          </w:p>
          <w:p>
            <w:pPr>
              <w:rPr>
                <w:rFonts w:hint="default"/>
                <w:lang w:val="en-US" w:eastAsia="zh-CN"/>
              </w:rPr>
            </w:pPr>
            <w:r>
              <w:rPr>
                <w:rFonts w:hint="default"/>
                <w:lang w:val="en-US" w:eastAsia="zh-CN"/>
              </w:rPr>
              <w:t>□设计方案</w:t>
            </w:r>
          </w:p>
          <w:p>
            <w:pPr>
              <w:rPr>
                <w:rFonts w:hint="default"/>
                <w:lang w:val="en-US" w:eastAsia="zh-CN"/>
              </w:rPr>
            </w:pPr>
            <w:r>
              <w:rPr>
                <w:rFonts w:hint="default"/>
                <w:lang w:val="en-US" w:eastAsia="zh-CN"/>
              </w:rPr>
              <w:t>□施工方案</w:t>
            </w:r>
          </w:p>
          <w:p>
            <w:pPr>
              <w:rPr>
                <w:rFonts w:hint="default"/>
                <w:lang w:val="en-US" w:eastAsia="zh-CN"/>
              </w:rPr>
            </w:pPr>
            <w:r>
              <w:rPr>
                <w:rFonts w:hint="default"/>
                <w:lang w:val="en-US" w:eastAsia="zh-CN"/>
              </w:rPr>
              <w:t>□技术交底</w:t>
            </w:r>
          </w:p>
          <w:p>
            <w:pPr>
              <w:rPr>
                <w:rFonts w:hint="default"/>
                <w:lang w:val="en-US" w:eastAsia="zh-CN"/>
              </w:rPr>
            </w:pPr>
            <w:r>
              <w:rPr>
                <w:rFonts w:hint="default"/>
                <w:lang w:val="en-US" w:eastAsia="zh-CN"/>
              </w:rPr>
              <w:t>□过程资料、图片</w:t>
            </w:r>
          </w:p>
        </w:tc>
        <w:tc>
          <w:tcPr>
            <w:tcW w:w="1625"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p>
        </w:tc>
        <w:tc>
          <w:tcPr>
            <w:tcW w:w="1312"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37" w:type="dxa"/>
            <w:vMerge w:val="continue"/>
            <w:vAlign w:val="center"/>
          </w:tcPr>
          <w:p>
            <w:pPr>
              <w:rPr>
                <w:rFonts w:hint="default"/>
                <w:lang w:val="en-US" w:eastAsia="zh-CN"/>
              </w:rPr>
            </w:pPr>
          </w:p>
        </w:tc>
        <w:tc>
          <w:tcPr>
            <w:tcW w:w="1150" w:type="dxa"/>
            <w:vAlign w:val="center"/>
          </w:tcPr>
          <w:p>
            <w:pPr>
              <w:rPr>
                <w:rFonts w:hint="default"/>
                <w:lang w:val="en-US" w:eastAsia="zh-CN"/>
              </w:rPr>
            </w:pPr>
            <w:r>
              <w:rPr>
                <w:rFonts w:hint="default"/>
                <w:lang w:val="en-US" w:eastAsia="zh-CN"/>
              </w:rPr>
              <w:t>9.2.7</w:t>
            </w:r>
          </w:p>
        </w:tc>
        <w:tc>
          <w:tcPr>
            <w:tcW w:w="4350" w:type="dxa"/>
            <w:vAlign w:val="center"/>
          </w:tcPr>
          <w:p>
            <w:pPr>
              <w:rPr>
                <w:rFonts w:hint="default"/>
                <w:lang w:val="en-US" w:eastAsia="zh-CN"/>
              </w:rPr>
            </w:pPr>
            <w:r>
              <w:rPr>
                <w:rFonts w:hint="default"/>
                <w:lang w:val="en-US" w:eastAsia="zh-CN"/>
              </w:rPr>
              <w:t>进行建筑碳排放计算分析，采取措施降低单位建筑面积碳排放强度，评价分值为12分。</w:t>
            </w:r>
          </w:p>
        </w:tc>
        <w:tc>
          <w:tcPr>
            <w:tcW w:w="3738" w:type="dxa"/>
            <w:vAlign w:val="center"/>
          </w:tcPr>
          <w:p>
            <w:pPr>
              <w:rPr>
                <w:rFonts w:hint="default"/>
                <w:lang w:val="en-US" w:eastAsia="zh-CN"/>
              </w:rPr>
            </w:pPr>
            <w:r>
              <w:rPr>
                <w:rFonts w:hint="default"/>
                <w:lang w:val="en-US" w:eastAsia="zh-CN"/>
              </w:rPr>
              <w:t>□建筑固有碳排放量计算分析报告（含减排措施）</w:t>
            </w:r>
          </w:p>
          <w:p>
            <w:pPr>
              <w:rPr>
                <w:rFonts w:hint="default"/>
                <w:lang w:val="en-US" w:eastAsia="zh-CN"/>
              </w:rPr>
            </w:pPr>
            <w:r>
              <w:rPr>
                <w:rFonts w:hint="default"/>
                <w:lang w:val="en-US" w:eastAsia="zh-CN"/>
              </w:rPr>
              <w:t>□运行工况下的碳排放量计算分析报告（含减排措施）</w:t>
            </w:r>
          </w:p>
        </w:tc>
        <w:tc>
          <w:tcPr>
            <w:tcW w:w="1625" w:type="dxa"/>
            <w:vAlign w:val="center"/>
          </w:tcPr>
          <w:p>
            <w:pPr>
              <w:rPr>
                <w:rFonts w:hint="default"/>
                <w:lang w:val="en-US" w:eastAsia="zh-CN"/>
              </w:rPr>
            </w:pPr>
            <w:r>
              <w:rPr>
                <w:rFonts w:hint="default"/>
                <w:lang w:val="en-US" w:eastAsia="zh-CN"/>
              </w:rPr>
              <w:t>得分：</w:t>
            </w:r>
          </w:p>
        </w:tc>
        <w:tc>
          <w:tcPr>
            <w:tcW w:w="1312"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13112" w:type="dxa"/>
            <w:gridSpan w:val="6"/>
          </w:tcPr>
          <w:p>
            <w:pPr>
              <w:rPr>
                <w:rFonts w:hint="default"/>
                <w:lang w:val="en-US" w:eastAsia="zh-CN"/>
              </w:rPr>
            </w:pPr>
            <w:r>
              <w:rPr>
                <w:rFonts w:hint="default"/>
                <w:lang w:val="en-US" w:eastAsia="zh-CN"/>
              </w:rPr>
              <w:t>评审结论：</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t>评审专家（签字）：</w:t>
            </w:r>
          </w:p>
          <w:p>
            <w:pPr>
              <w:rPr>
                <w:rFonts w:hint="default"/>
                <w:lang w:val="en-US" w:eastAsia="zh-CN"/>
              </w:rPr>
            </w:pPr>
          </w:p>
          <w:p>
            <w:pPr>
              <w:rPr>
                <w:rFonts w:hint="default"/>
                <w:lang w:val="en-US" w:eastAsia="zh-CN"/>
              </w:rPr>
            </w:pPr>
            <w:r>
              <w:rPr>
                <w:rFonts w:hint="default"/>
                <w:lang w:val="en-US" w:eastAsia="zh-CN"/>
              </w:rPr>
              <w:t>日期：</w:t>
            </w:r>
          </w:p>
          <w:p>
            <w:pPr>
              <w:rPr>
                <w:rFonts w:hint="default"/>
                <w:lang w:val="en-US" w:eastAsia="zh-CN"/>
              </w:rPr>
            </w:pPr>
          </w:p>
        </w:tc>
      </w:tr>
    </w:tbl>
    <w:p>
      <w:pPr>
        <w:rPr>
          <w:rFonts w:hint="default"/>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center"/>
        <w:rPr>
          <w:rFonts w:hint="default"/>
          <w:sz w:val="28"/>
          <w:szCs w:val="36"/>
          <w:lang w:val="en-US" w:eastAsia="zh-CN"/>
        </w:rPr>
      </w:pPr>
    </w:p>
    <w:p>
      <w:pPr>
        <w:jc w:val="both"/>
        <w:rPr>
          <w:rFonts w:hint="default"/>
          <w:sz w:val="28"/>
          <w:szCs w:val="36"/>
          <w:lang w:val="en-US" w:eastAsia="zh-CN"/>
        </w:rPr>
      </w:pPr>
    </w:p>
    <w:p>
      <w:pPr>
        <w:jc w:val="center"/>
        <w:rPr>
          <w:rFonts w:hint="default"/>
          <w:sz w:val="28"/>
          <w:szCs w:val="36"/>
          <w:lang w:val="en-US" w:eastAsia="zh-CN"/>
        </w:rPr>
      </w:pPr>
      <w:r>
        <w:rPr>
          <w:rFonts w:hint="default"/>
          <w:sz w:val="28"/>
          <w:szCs w:val="36"/>
          <w:lang w:val="en-US" w:eastAsia="zh-CN"/>
        </w:rPr>
        <w:t>绿色建筑工程验收专家评审意见表——室内外环境</w:t>
      </w:r>
    </w:p>
    <w:tbl>
      <w:tblPr>
        <w:tblStyle w:val="3"/>
        <w:tblW w:w="13025"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163"/>
        <w:gridCol w:w="4350"/>
        <w:gridCol w:w="3725"/>
        <w:gridCol w:w="1612"/>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center"/>
          </w:tcPr>
          <w:p>
            <w:pPr>
              <w:rPr>
                <w:rFonts w:hint="default"/>
                <w:lang w:val="en-US" w:eastAsia="zh-CN"/>
              </w:rPr>
            </w:pPr>
            <w:r>
              <w:rPr>
                <w:rFonts w:hint="default"/>
                <w:lang w:val="en-US" w:eastAsia="zh-CN"/>
              </w:rPr>
              <w:t>类别</w:t>
            </w:r>
          </w:p>
        </w:tc>
        <w:tc>
          <w:tcPr>
            <w:tcW w:w="1163" w:type="dxa"/>
            <w:vAlign w:val="center"/>
          </w:tcPr>
          <w:p>
            <w:pPr>
              <w:rPr>
                <w:rFonts w:hint="default"/>
                <w:lang w:val="en-US" w:eastAsia="zh-CN"/>
              </w:rPr>
            </w:pPr>
            <w:r>
              <w:rPr>
                <w:rFonts w:hint="default"/>
                <w:lang w:val="en-US" w:eastAsia="zh-CN"/>
              </w:rPr>
              <w:t>评价标准条文编号</w:t>
            </w:r>
          </w:p>
        </w:tc>
        <w:tc>
          <w:tcPr>
            <w:tcW w:w="4350" w:type="dxa"/>
            <w:vAlign w:val="center"/>
          </w:tcPr>
          <w:p>
            <w:pPr>
              <w:rPr>
                <w:rFonts w:hint="default"/>
                <w:lang w:val="en-US" w:eastAsia="zh-CN"/>
              </w:rPr>
            </w:pPr>
            <w:r>
              <w:rPr>
                <w:rFonts w:hint="default"/>
                <w:lang w:val="en-US" w:eastAsia="zh-CN"/>
              </w:rPr>
              <w:t>条文内容及分值</w:t>
            </w:r>
          </w:p>
        </w:tc>
        <w:tc>
          <w:tcPr>
            <w:tcW w:w="3725" w:type="dxa"/>
            <w:vAlign w:val="center"/>
          </w:tcPr>
          <w:p>
            <w:pPr>
              <w:rPr>
                <w:rFonts w:hint="default"/>
                <w:lang w:val="en-US" w:eastAsia="zh-CN"/>
              </w:rPr>
            </w:pPr>
            <w:r>
              <w:rPr>
                <w:rFonts w:hint="default"/>
                <w:lang w:val="en-US" w:eastAsia="zh-CN"/>
              </w:rPr>
              <w:t>证明文件</w:t>
            </w:r>
          </w:p>
        </w:tc>
        <w:tc>
          <w:tcPr>
            <w:tcW w:w="1612" w:type="dxa"/>
            <w:vAlign w:val="center"/>
          </w:tcPr>
          <w:p>
            <w:pPr>
              <w:rPr>
                <w:rFonts w:hint="default"/>
                <w:lang w:val="en-US" w:eastAsia="zh-CN"/>
              </w:rPr>
            </w:pPr>
            <w:r>
              <w:rPr>
                <w:rFonts w:hint="default"/>
                <w:lang w:val="en-US" w:eastAsia="zh-CN"/>
              </w:rPr>
              <w:t>评审结果</w:t>
            </w:r>
          </w:p>
        </w:tc>
        <w:tc>
          <w:tcPr>
            <w:tcW w:w="1338" w:type="dxa"/>
            <w:vAlign w:val="center"/>
          </w:tcPr>
          <w:p>
            <w:pPr>
              <w:rPr>
                <w:rFonts w:hint="default"/>
                <w:lang w:val="en-US" w:eastAsia="zh-CN"/>
              </w:rPr>
            </w:pPr>
            <w:r>
              <w:rPr>
                <w:rFonts w:hint="default"/>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7" w:type="dxa"/>
            <w:vMerge w:val="restart"/>
            <w:vAlign w:val="center"/>
          </w:tcPr>
          <w:p>
            <w:pPr>
              <w:rPr>
                <w:rFonts w:hint="default"/>
                <w:lang w:val="en-US" w:eastAsia="zh-CN"/>
              </w:rPr>
            </w:pPr>
            <w:r>
              <w:rPr>
                <w:rFonts w:hint="default"/>
                <w:lang w:val="en-US" w:eastAsia="zh-CN"/>
              </w:rPr>
              <w:t>控制项</w:t>
            </w:r>
          </w:p>
        </w:tc>
        <w:tc>
          <w:tcPr>
            <w:tcW w:w="1163" w:type="dxa"/>
            <w:vAlign w:val="center"/>
          </w:tcPr>
          <w:p>
            <w:pPr>
              <w:rPr>
                <w:rFonts w:hint="default"/>
                <w:lang w:val="en-US" w:eastAsia="zh-CN"/>
              </w:rPr>
            </w:pPr>
            <w:r>
              <w:rPr>
                <w:rFonts w:hint="default"/>
                <w:lang w:val="en-US" w:eastAsia="zh-CN"/>
              </w:rPr>
              <w:t xml:space="preserve">6．1．1 </w:t>
            </w:r>
          </w:p>
        </w:tc>
        <w:tc>
          <w:tcPr>
            <w:tcW w:w="4350" w:type="dxa"/>
            <w:vAlign w:val="center"/>
          </w:tcPr>
          <w:p>
            <w:pPr>
              <w:rPr>
                <w:rFonts w:hint="default"/>
                <w:lang w:val="en-US" w:eastAsia="zh-CN"/>
              </w:rPr>
            </w:pPr>
            <w:r>
              <w:rPr>
                <w:rFonts w:hint="default"/>
                <w:lang w:val="en-US" w:eastAsia="zh-CN"/>
              </w:rPr>
              <w:t>建筑、室外场地、公共绿地、城市道路相互之间应设置连贯的无障碍步行系统。</w:t>
            </w:r>
          </w:p>
        </w:tc>
        <w:tc>
          <w:tcPr>
            <w:tcW w:w="3725" w:type="dxa"/>
            <w:vAlign w:val="center"/>
          </w:tcPr>
          <w:p>
            <w:pPr>
              <w:rPr>
                <w:rFonts w:hint="default"/>
                <w:lang w:val="en-US" w:eastAsia="zh-CN"/>
              </w:rPr>
            </w:pPr>
            <w:r>
              <w:rPr>
                <w:rFonts w:hint="default"/>
                <w:lang w:val="en-US" w:eastAsia="zh-CN"/>
              </w:rPr>
              <w:t>查阅相关竣工图。</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6．1．2</w:t>
            </w:r>
          </w:p>
        </w:tc>
        <w:tc>
          <w:tcPr>
            <w:tcW w:w="4350" w:type="dxa"/>
            <w:vAlign w:val="center"/>
          </w:tcPr>
          <w:p>
            <w:pPr>
              <w:rPr>
                <w:rFonts w:hint="default"/>
                <w:lang w:val="en-US" w:eastAsia="zh-CN"/>
              </w:rPr>
            </w:pPr>
            <w:r>
              <w:rPr>
                <w:rFonts w:hint="default"/>
                <w:lang w:val="en-US" w:eastAsia="zh-CN"/>
              </w:rPr>
              <w:t xml:space="preserve"> 场地人行出入口500m内应设有公共交通站点或配备联系公共交通站点的专用接驳车。</w:t>
            </w:r>
          </w:p>
        </w:tc>
        <w:tc>
          <w:tcPr>
            <w:tcW w:w="3725" w:type="dxa"/>
            <w:vAlign w:val="center"/>
          </w:tcPr>
          <w:p>
            <w:pPr>
              <w:rPr>
                <w:rFonts w:hint="default"/>
                <w:lang w:val="en-US" w:eastAsia="zh-CN"/>
              </w:rPr>
            </w:pPr>
            <w:r>
              <w:rPr>
                <w:rFonts w:hint="default"/>
                <w:lang w:val="en-US" w:eastAsia="zh-CN"/>
              </w:rPr>
              <w:t>查阅相关竣工图。</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6．1．4</w:t>
            </w:r>
          </w:p>
        </w:tc>
        <w:tc>
          <w:tcPr>
            <w:tcW w:w="4350" w:type="dxa"/>
            <w:vAlign w:val="center"/>
          </w:tcPr>
          <w:p>
            <w:pPr>
              <w:rPr>
                <w:rFonts w:hint="default"/>
                <w:lang w:val="en-US" w:eastAsia="zh-CN"/>
              </w:rPr>
            </w:pPr>
            <w:r>
              <w:rPr>
                <w:rFonts w:hint="default"/>
                <w:lang w:val="en-US" w:eastAsia="zh-CN"/>
              </w:rPr>
              <w:t xml:space="preserve"> 自行车停车场所应位置合理、方便出入。</w:t>
            </w:r>
          </w:p>
        </w:tc>
        <w:tc>
          <w:tcPr>
            <w:tcW w:w="3725" w:type="dxa"/>
            <w:vAlign w:val="center"/>
          </w:tcPr>
          <w:p>
            <w:pPr>
              <w:rPr>
                <w:rFonts w:hint="default"/>
                <w:lang w:val="en-US" w:eastAsia="zh-CN"/>
              </w:rPr>
            </w:pPr>
            <w:r>
              <w:rPr>
                <w:rFonts w:hint="default"/>
                <w:lang w:val="en-US" w:eastAsia="zh-CN"/>
              </w:rPr>
              <w:t>查阅相关竣工图。</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8.1.1</w:t>
            </w:r>
          </w:p>
        </w:tc>
        <w:tc>
          <w:tcPr>
            <w:tcW w:w="4350" w:type="dxa"/>
            <w:vAlign w:val="center"/>
          </w:tcPr>
          <w:p>
            <w:pPr>
              <w:rPr>
                <w:rFonts w:hint="default"/>
                <w:lang w:val="en-US" w:eastAsia="zh-CN"/>
              </w:rPr>
            </w:pPr>
            <w:r>
              <w:rPr>
                <w:rFonts w:hint="default"/>
                <w:lang w:val="en-US" w:eastAsia="zh-CN"/>
              </w:rPr>
              <w:t>建筑规划布局应满足日照标准，且不得降低周边建筑的日照标准</w:t>
            </w:r>
          </w:p>
        </w:tc>
        <w:tc>
          <w:tcPr>
            <w:tcW w:w="3725" w:type="dxa"/>
            <w:vAlign w:val="center"/>
          </w:tcPr>
          <w:p>
            <w:pPr>
              <w:rPr>
                <w:rFonts w:hint="default"/>
                <w:lang w:val="en-US" w:eastAsia="zh-CN"/>
              </w:rPr>
            </w:pPr>
            <w:r>
              <w:rPr>
                <w:rFonts w:hint="default"/>
                <w:lang w:val="en-US" w:eastAsia="zh-CN"/>
              </w:rPr>
              <w:t>□施工图总平面图</w:t>
            </w:r>
          </w:p>
          <w:p>
            <w:pPr>
              <w:rPr>
                <w:rFonts w:hint="default"/>
                <w:lang w:val="en-US" w:eastAsia="zh-CN"/>
              </w:rPr>
            </w:pPr>
            <w:r>
              <w:rPr>
                <w:rFonts w:hint="default"/>
                <w:lang w:val="en-US" w:eastAsia="zh-CN"/>
              </w:rPr>
              <w:t>□竣工平面布置图</w:t>
            </w:r>
          </w:p>
          <w:p>
            <w:pPr>
              <w:rPr>
                <w:rFonts w:hint="default"/>
                <w:lang w:val="en-US" w:eastAsia="zh-CN"/>
              </w:rPr>
            </w:pPr>
            <w:r>
              <w:rPr>
                <w:rFonts w:hint="default"/>
                <w:lang w:val="en-US" w:eastAsia="zh-CN"/>
              </w:rPr>
              <w:t>□日照模拟分析报告</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8.1.2</w:t>
            </w:r>
          </w:p>
        </w:tc>
        <w:tc>
          <w:tcPr>
            <w:tcW w:w="4350" w:type="dxa"/>
            <w:vAlign w:val="center"/>
          </w:tcPr>
          <w:p>
            <w:pPr>
              <w:rPr>
                <w:rFonts w:hint="default"/>
                <w:lang w:val="en-US" w:eastAsia="zh-CN"/>
              </w:rPr>
            </w:pPr>
            <w:r>
              <w:rPr>
                <w:rFonts w:hint="default"/>
                <w:lang w:val="en-US" w:eastAsia="zh-CN"/>
              </w:rPr>
              <w:t>室外热环境应满足国家现行有关标准的要求</w:t>
            </w:r>
          </w:p>
        </w:tc>
        <w:tc>
          <w:tcPr>
            <w:tcW w:w="3725" w:type="dxa"/>
            <w:vAlign w:val="center"/>
          </w:tcPr>
          <w:p>
            <w:pPr>
              <w:rPr>
                <w:rFonts w:hint="default"/>
                <w:lang w:val="en-US" w:eastAsia="zh-CN"/>
              </w:rPr>
            </w:pPr>
          </w:p>
          <w:p>
            <w:pPr>
              <w:rPr>
                <w:rFonts w:hint="default"/>
                <w:lang w:val="en-US" w:eastAsia="zh-CN"/>
              </w:rPr>
            </w:pPr>
            <w:r>
              <w:rPr>
                <w:rFonts w:hint="default"/>
                <w:lang w:val="en-US" w:eastAsia="zh-CN"/>
              </w:rPr>
              <w:t>□屋面太阳辐射反射系数检测报告</w:t>
            </w:r>
          </w:p>
          <w:p>
            <w:pPr>
              <w:rPr>
                <w:rFonts w:hint="default"/>
                <w:lang w:val="en-US" w:eastAsia="zh-CN"/>
              </w:rPr>
            </w:pPr>
            <w:r>
              <w:rPr>
                <w:rFonts w:hint="default"/>
                <w:lang w:val="en-US" w:eastAsia="zh-CN"/>
              </w:rPr>
              <w:t>□场地热环境计算报告</w:t>
            </w:r>
          </w:p>
          <w:p>
            <w:pPr>
              <w:rPr>
                <w:rFonts w:hint="default"/>
                <w:lang w:val="en-US" w:eastAsia="zh-CN"/>
              </w:rPr>
            </w:pP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8.1.5</w:t>
            </w:r>
          </w:p>
        </w:tc>
        <w:tc>
          <w:tcPr>
            <w:tcW w:w="4350" w:type="dxa"/>
            <w:vAlign w:val="center"/>
          </w:tcPr>
          <w:p>
            <w:pPr>
              <w:rPr>
                <w:rFonts w:hint="default"/>
                <w:lang w:val="en-US" w:eastAsia="zh-CN"/>
              </w:rPr>
            </w:pPr>
            <w:r>
              <w:rPr>
                <w:rFonts w:hint="default"/>
                <w:lang w:val="en-US" w:eastAsia="zh-CN"/>
              </w:rPr>
              <w:t>建筑内外应设置便利于识别和是用的标识系统。</w:t>
            </w:r>
          </w:p>
        </w:tc>
        <w:tc>
          <w:tcPr>
            <w:tcW w:w="3725" w:type="dxa"/>
            <w:vAlign w:val="center"/>
          </w:tcPr>
          <w:p>
            <w:pPr>
              <w:rPr>
                <w:rFonts w:hint="default"/>
                <w:lang w:val="en-US" w:eastAsia="zh-CN"/>
              </w:rPr>
            </w:pPr>
            <w:r>
              <w:rPr>
                <w:rFonts w:hint="default"/>
                <w:lang w:val="en-US" w:eastAsia="zh-CN"/>
              </w:rPr>
              <w:t>□竣工图</w:t>
            </w:r>
          </w:p>
          <w:p>
            <w:pPr>
              <w:rPr>
                <w:rFonts w:hint="default"/>
                <w:lang w:val="en-US" w:eastAsia="zh-CN"/>
              </w:rPr>
            </w:pPr>
            <w:r>
              <w:rPr>
                <w:rFonts w:hint="default"/>
                <w:lang w:val="en-US" w:eastAsia="zh-CN"/>
              </w:rPr>
              <w:t>□现场核查</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8.1.6</w:t>
            </w:r>
          </w:p>
        </w:tc>
        <w:tc>
          <w:tcPr>
            <w:tcW w:w="4350" w:type="dxa"/>
            <w:vAlign w:val="center"/>
          </w:tcPr>
          <w:p>
            <w:pPr>
              <w:rPr>
                <w:rFonts w:hint="default"/>
                <w:lang w:val="en-US" w:eastAsia="zh-CN"/>
              </w:rPr>
            </w:pPr>
            <w:r>
              <w:rPr>
                <w:rFonts w:hint="default"/>
                <w:lang w:val="en-US" w:eastAsia="zh-CN"/>
              </w:rPr>
              <w:t>场地内不应有排放超标的污染源。</w:t>
            </w:r>
          </w:p>
        </w:tc>
        <w:tc>
          <w:tcPr>
            <w:tcW w:w="3725" w:type="dxa"/>
            <w:vAlign w:val="center"/>
          </w:tcPr>
          <w:p>
            <w:pPr>
              <w:rPr>
                <w:rFonts w:hint="default"/>
                <w:lang w:val="en-US" w:eastAsia="zh-CN"/>
              </w:rPr>
            </w:pPr>
            <w:r>
              <w:rPr>
                <w:rFonts w:hint="default"/>
                <w:lang w:val="en-US" w:eastAsia="zh-CN"/>
              </w:rPr>
              <w:t>□建筑总平面图</w:t>
            </w:r>
          </w:p>
          <w:p>
            <w:pPr>
              <w:rPr>
                <w:rFonts w:hint="default"/>
                <w:lang w:val="en-US" w:eastAsia="zh-CN"/>
              </w:rPr>
            </w:pPr>
            <w:r>
              <w:rPr>
                <w:rFonts w:hint="default"/>
                <w:lang w:val="en-US" w:eastAsia="zh-CN"/>
              </w:rPr>
              <w:t>□环评报告及其批复</w:t>
            </w:r>
          </w:p>
          <w:p>
            <w:pPr>
              <w:rPr>
                <w:rFonts w:hint="default"/>
                <w:lang w:val="en-US" w:eastAsia="zh-CN"/>
              </w:rPr>
            </w:pPr>
            <w:r>
              <w:rPr>
                <w:rFonts w:hint="default"/>
                <w:lang w:val="en-US" w:eastAsia="zh-CN"/>
              </w:rPr>
              <w:t>□治理措施分析报告</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8.1.7</w:t>
            </w:r>
          </w:p>
        </w:tc>
        <w:tc>
          <w:tcPr>
            <w:tcW w:w="4350" w:type="dxa"/>
            <w:vAlign w:val="center"/>
          </w:tcPr>
          <w:p>
            <w:pPr>
              <w:rPr>
                <w:rFonts w:hint="default"/>
                <w:lang w:val="en-US" w:eastAsia="zh-CN"/>
              </w:rPr>
            </w:pPr>
            <w:r>
              <w:rPr>
                <w:rFonts w:hint="default"/>
                <w:lang w:val="en-US" w:eastAsia="zh-CN"/>
              </w:rPr>
              <w:t>生活垃圾应分类收集，垃圾容器和收集点的设置应合理并应与周围景观协调。</w:t>
            </w:r>
          </w:p>
        </w:tc>
        <w:tc>
          <w:tcPr>
            <w:tcW w:w="3725" w:type="dxa"/>
            <w:vAlign w:val="center"/>
          </w:tcPr>
          <w:p>
            <w:pPr>
              <w:rPr>
                <w:rFonts w:hint="default"/>
                <w:lang w:val="en-US" w:eastAsia="zh-CN"/>
              </w:rPr>
            </w:pPr>
            <w:r>
              <w:rPr>
                <w:rFonts w:hint="default"/>
                <w:lang w:val="en-US" w:eastAsia="zh-CN"/>
              </w:rPr>
              <w:t>□垃圾收集布置图</w:t>
            </w:r>
          </w:p>
          <w:p>
            <w:pPr>
              <w:rPr>
                <w:rFonts w:hint="default"/>
                <w:lang w:val="en-US" w:eastAsia="zh-CN"/>
              </w:rPr>
            </w:pPr>
            <w:r>
              <w:rPr>
                <w:rFonts w:hint="default"/>
                <w:lang w:val="en-US" w:eastAsia="zh-CN"/>
              </w:rPr>
              <w:t>□竣工图及相关管理制度</w:t>
            </w:r>
          </w:p>
          <w:p>
            <w:pPr>
              <w:rPr>
                <w:rFonts w:hint="default"/>
                <w:lang w:val="en-US" w:eastAsia="zh-CN"/>
              </w:rPr>
            </w:pPr>
            <w:r>
              <w:rPr>
                <w:rFonts w:hint="default"/>
                <w:lang w:val="en-US" w:eastAsia="zh-CN"/>
              </w:rPr>
              <w:t>□现场核查</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837" w:type="dxa"/>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 xml:space="preserve">6．2．1 </w:t>
            </w:r>
          </w:p>
        </w:tc>
        <w:tc>
          <w:tcPr>
            <w:tcW w:w="4350" w:type="dxa"/>
            <w:vAlign w:val="center"/>
          </w:tcPr>
          <w:p>
            <w:pPr>
              <w:rPr>
                <w:rFonts w:hint="default"/>
                <w:lang w:val="en-US" w:eastAsia="zh-CN"/>
              </w:rPr>
            </w:pPr>
            <w:r>
              <w:rPr>
                <w:rFonts w:hint="default"/>
                <w:lang w:val="en-US" w:eastAsia="zh-CN"/>
              </w:rPr>
              <w:t>场地与公共交通站点联系便捷，评价总分值为8分，并按下列规则分别评分并累计：</w:t>
            </w:r>
            <w:r>
              <w:rPr>
                <w:rFonts w:hint="default"/>
                <w:lang w:val="en-US" w:eastAsia="zh-CN"/>
              </w:rPr>
              <w:br w:type="textWrapping"/>
            </w:r>
            <w:r>
              <w:rPr>
                <w:rFonts w:hint="default"/>
                <w:lang w:val="en-US" w:eastAsia="zh-CN"/>
              </w:rPr>
              <w:t>    1 场地出入口到达公共交通站点的步行距离不超过500m，或到达轨道交通站的步行距离不大于800m，得2分；场地出入口到达公共交通站点的步行距离不超过300m，或到达轨道交通站的步行距离不大于500m，得4分；</w:t>
            </w:r>
            <w:r>
              <w:rPr>
                <w:rFonts w:hint="default"/>
                <w:lang w:val="en-US" w:eastAsia="zh-CN"/>
              </w:rPr>
              <w:br w:type="textWrapping"/>
            </w:r>
            <w:r>
              <w:rPr>
                <w:rFonts w:hint="default"/>
                <w:lang w:val="en-US" w:eastAsia="zh-CN"/>
              </w:rPr>
              <w:t>    2 场地出入口步行距离800m范围内设有不少于2条线路的公共交通站点，得4分。</w:t>
            </w:r>
          </w:p>
        </w:tc>
        <w:tc>
          <w:tcPr>
            <w:tcW w:w="3725" w:type="dxa"/>
            <w:vAlign w:val="center"/>
          </w:tcPr>
          <w:p>
            <w:pPr>
              <w:rPr>
                <w:rFonts w:hint="default"/>
                <w:lang w:val="en-US" w:eastAsia="zh-CN"/>
              </w:rPr>
            </w:pPr>
            <w:r>
              <w:rPr>
                <w:rFonts w:hint="default"/>
                <w:lang w:val="en-US" w:eastAsia="zh-CN"/>
              </w:rPr>
              <w:t>查阅相关竣工图。</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837" w:type="dxa"/>
            <w:vMerge w:val="restart"/>
            <w:vAlign w:val="center"/>
          </w:tcPr>
          <w:p>
            <w:pPr>
              <w:rPr>
                <w:rFonts w:hint="default"/>
                <w:lang w:val="en-US" w:eastAsia="zh-CN"/>
              </w:rPr>
            </w:pPr>
            <w:r>
              <w:rPr>
                <w:rFonts w:hint="default"/>
                <w:lang w:val="en-US" w:eastAsia="zh-CN"/>
              </w:rPr>
              <w:t>评分项</w:t>
            </w:r>
          </w:p>
        </w:tc>
        <w:tc>
          <w:tcPr>
            <w:tcW w:w="1163" w:type="dxa"/>
            <w:vAlign w:val="center"/>
          </w:tcPr>
          <w:p>
            <w:pPr>
              <w:rPr>
                <w:rFonts w:hint="default"/>
                <w:lang w:val="en-US" w:eastAsia="zh-CN"/>
              </w:rPr>
            </w:pPr>
            <w:r>
              <w:rPr>
                <w:rFonts w:hint="default"/>
                <w:lang w:val="en-US" w:eastAsia="zh-CN"/>
              </w:rPr>
              <w:t xml:space="preserve">6．2．3 </w:t>
            </w:r>
          </w:p>
        </w:tc>
        <w:tc>
          <w:tcPr>
            <w:tcW w:w="4350" w:type="dxa"/>
            <w:vAlign w:val="center"/>
          </w:tcPr>
          <w:p>
            <w:pPr>
              <w:rPr>
                <w:rFonts w:hint="default"/>
                <w:lang w:val="en-US" w:eastAsia="zh-CN"/>
              </w:rPr>
            </w:pPr>
            <w:r>
              <w:rPr>
                <w:rFonts w:hint="default"/>
                <w:lang w:val="en-US" w:eastAsia="zh-CN"/>
              </w:rPr>
              <w:t>提供便利的公共服务，评价总分值为10分，并按下列规则评分：</w:t>
            </w:r>
            <w:r>
              <w:rPr>
                <w:rFonts w:hint="default"/>
                <w:lang w:val="en-US" w:eastAsia="zh-CN"/>
              </w:rPr>
              <w:br w:type="textWrapping"/>
            </w:r>
            <w:r>
              <w:rPr>
                <w:rFonts w:hint="default"/>
                <w:lang w:val="en-US" w:eastAsia="zh-CN"/>
              </w:rPr>
              <w:t>    1 住宅建筑，满足下列要求中的4项，得5分；满足6项及以上，得10分。</w:t>
            </w:r>
            <w:r>
              <w:rPr>
                <w:rFonts w:hint="default"/>
                <w:lang w:val="en-US" w:eastAsia="zh-CN"/>
              </w:rPr>
              <w:br w:type="textWrapping"/>
            </w:r>
            <w:r>
              <w:rPr>
                <w:rFonts w:hint="default"/>
                <w:lang w:val="en-US" w:eastAsia="zh-CN"/>
              </w:rPr>
              <w:t>     1)场地出入口到达幼儿园的步行距离不大于300m；</w:t>
            </w:r>
            <w:r>
              <w:rPr>
                <w:rFonts w:hint="default"/>
                <w:lang w:val="en-US" w:eastAsia="zh-CN"/>
              </w:rPr>
              <w:br w:type="textWrapping"/>
            </w:r>
            <w:r>
              <w:rPr>
                <w:rFonts w:hint="default"/>
                <w:lang w:val="en-US" w:eastAsia="zh-CN"/>
              </w:rPr>
              <w:t>     2)场地出入口到达小学的步行距离不大于500m；</w:t>
            </w:r>
            <w:r>
              <w:rPr>
                <w:rFonts w:hint="default"/>
                <w:lang w:val="en-US" w:eastAsia="zh-CN"/>
              </w:rPr>
              <w:br w:type="textWrapping"/>
            </w:r>
            <w:r>
              <w:rPr>
                <w:rFonts w:hint="default"/>
                <w:lang w:val="en-US" w:eastAsia="zh-CN"/>
              </w:rPr>
              <w:t>     3)场地出入口到达中学的步行距离不大于1000m；</w:t>
            </w:r>
            <w:r>
              <w:rPr>
                <w:rFonts w:hint="default"/>
                <w:lang w:val="en-US" w:eastAsia="zh-CN"/>
              </w:rPr>
              <w:br w:type="textWrapping"/>
            </w:r>
            <w:r>
              <w:rPr>
                <w:rFonts w:hint="default"/>
                <w:lang w:val="en-US" w:eastAsia="zh-CN"/>
              </w:rPr>
              <w:t>     4)场地出入口到达医院的步行距离不大于1000m；</w:t>
            </w:r>
            <w:r>
              <w:rPr>
                <w:rFonts w:hint="default"/>
                <w:lang w:val="en-US" w:eastAsia="zh-CN"/>
              </w:rPr>
              <w:br w:type="textWrapping"/>
            </w:r>
            <w:r>
              <w:rPr>
                <w:rFonts w:hint="default"/>
                <w:lang w:val="en-US" w:eastAsia="zh-CN"/>
              </w:rPr>
              <w:t>     5)场地出入口到达群众文化活动设施的步行距离不大于800m；</w:t>
            </w:r>
            <w:r>
              <w:rPr>
                <w:rFonts w:hint="default"/>
                <w:lang w:val="en-US" w:eastAsia="zh-CN"/>
              </w:rPr>
              <w:br w:type="textWrapping"/>
            </w:r>
            <w:r>
              <w:rPr>
                <w:rFonts w:hint="default"/>
                <w:lang w:val="en-US" w:eastAsia="zh-CN"/>
              </w:rPr>
              <w:t>     6)场地出入口到达老年人日间照料设施的步行距离不大于500m；</w:t>
            </w:r>
            <w:r>
              <w:rPr>
                <w:rFonts w:hint="default"/>
                <w:lang w:val="en-US" w:eastAsia="zh-CN"/>
              </w:rPr>
              <w:br w:type="textWrapping"/>
            </w:r>
            <w:r>
              <w:rPr>
                <w:rFonts w:hint="default"/>
                <w:lang w:val="en-US" w:eastAsia="zh-CN"/>
              </w:rPr>
              <w:t>     7)场地周边500m范围内具有不少于3种商业服务设施。</w:t>
            </w:r>
            <w:r>
              <w:rPr>
                <w:rFonts w:hint="default"/>
                <w:lang w:val="en-US" w:eastAsia="zh-CN"/>
              </w:rPr>
              <w:br w:type="textWrapping"/>
            </w:r>
            <w:r>
              <w:rPr>
                <w:rFonts w:hint="default"/>
                <w:lang w:val="en-US" w:eastAsia="zh-CN"/>
              </w:rPr>
              <w:t>    2 公共建筑，满足下列要求中的3项，得5分；满足5项，得10分。</w:t>
            </w:r>
            <w:r>
              <w:rPr>
                <w:rFonts w:hint="default"/>
                <w:lang w:val="en-US" w:eastAsia="zh-CN"/>
              </w:rPr>
              <w:br w:type="textWrapping"/>
            </w:r>
            <w:r>
              <w:rPr>
                <w:rFonts w:hint="default"/>
                <w:lang w:val="en-US" w:eastAsia="zh-CN"/>
              </w:rPr>
              <w:t>     1)建筑内至少兼容2种面向社会的公共服务功能；</w:t>
            </w:r>
            <w:r>
              <w:rPr>
                <w:rFonts w:hint="default"/>
                <w:lang w:val="en-US" w:eastAsia="zh-CN"/>
              </w:rPr>
              <w:br w:type="textWrapping"/>
            </w:r>
            <w:r>
              <w:rPr>
                <w:rFonts w:hint="default"/>
                <w:lang w:val="en-US" w:eastAsia="zh-CN"/>
              </w:rPr>
              <w:t>     2)建筑向社会公众提供开放的公共活动空间；</w:t>
            </w:r>
            <w:r>
              <w:rPr>
                <w:rFonts w:hint="default"/>
                <w:lang w:val="en-US" w:eastAsia="zh-CN"/>
              </w:rPr>
              <w:br w:type="textWrapping"/>
            </w:r>
            <w:r>
              <w:rPr>
                <w:rFonts w:hint="default"/>
                <w:lang w:val="en-US" w:eastAsia="zh-CN"/>
              </w:rPr>
              <w:t>     3)电动汽车充电桩的车位数占总车位数的比例不低于10％；</w:t>
            </w:r>
            <w:r>
              <w:rPr>
                <w:rFonts w:hint="default"/>
                <w:lang w:val="en-US" w:eastAsia="zh-CN"/>
              </w:rPr>
              <w:br w:type="textWrapping"/>
            </w:r>
            <w:r>
              <w:rPr>
                <w:rFonts w:hint="default"/>
                <w:lang w:val="en-US" w:eastAsia="zh-CN"/>
              </w:rPr>
              <w:t>     4)周边500m范围内设有社会公共停车场(库)；</w:t>
            </w:r>
            <w:r>
              <w:rPr>
                <w:rFonts w:hint="default"/>
                <w:lang w:val="en-US" w:eastAsia="zh-CN"/>
              </w:rPr>
              <w:br w:type="textWrapping"/>
            </w:r>
            <w:r>
              <w:rPr>
                <w:rFonts w:hint="default"/>
                <w:lang w:val="en-US" w:eastAsia="zh-CN"/>
              </w:rPr>
              <w:t>     5)场地不封闭或场地内步行公共通道向社会开放。</w:t>
            </w:r>
          </w:p>
        </w:tc>
        <w:tc>
          <w:tcPr>
            <w:tcW w:w="3725" w:type="dxa"/>
            <w:vAlign w:val="center"/>
          </w:tcPr>
          <w:p>
            <w:pPr>
              <w:rPr>
                <w:rFonts w:hint="default"/>
                <w:lang w:val="en-US" w:eastAsia="zh-CN"/>
              </w:rPr>
            </w:pPr>
            <w:r>
              <w:rPr>
                <w:rFonts w:hint="default"/>
                <w:lang w:val="en-US" w:eastAsia="zh-CN"/>
              </w:rPr>
              <w:t>查阅相关竣工图，投入使用的项目尚应查阅设施向社会共享的实施方案、工作记录等。</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 xml:space="preserve">6．2．4 </w:t>
            </w:r>
          </w:p>
        </w:tc>
        <w:tc>
          <w:tcPr>
            <w:tcW w:w="4350" w:type="dxa"/>
            <w:vAlign w:val="center"/>
          </w:tcPr>
          <w:p>
            <w:pPr>
              <w:rPr>
                <w:rFonts w:hint="default"/>
                <w:lang w:val="en-US" w:eastAsia="zh-CN"/>
              </w:rPr>
            </w:pPr>
            <w:r>
              <w:rPr>
                <w:rFonts w:hint="default"/>
                <w:lang w:val="en-US" w:eastAsia="zh-CN"/>
              </w:rPr>
              <w:t>城市绿地、广场及公共运动场地等开敞空间，步行可达，评价总分值为5分，并按下列规则分别评分并累计：</w:t>
            </w:r>
            <w:r>
              <w:rPr>
                <w:rFonts w:hint="default"/>
                <w:lang w:val="en-US" w:eastAsia="zh-CN"/>
              </w:rPr>
              <w:br w:type="textWrapping"/>
            </w:r>
            <w:r>
              <w:rPr>
                <w:rFonts w:hint="default"/>
                <w:lang w:val="en-US" w:eastAsia="zh-CN"/>
              </w:rPr>
              <w:t>    1 场地出入口到达城市公园绿地、居住区公园、广场的步行距离不大于300m，得3分；</w:t>
            </w:r>
            <w:r>
              <w:rPr>
                <w:rFonts w:hint="default"/>
                <w:lang w:val="en-US" w:eastAsia="zh-CN"/>
              </w:rPr>
              <w:br w:type="textWrapping"/>
            </w:r>
            <w:r>
              <w:rPr>
                <w:rFonts w:hint="default"/>
                <w:lang w:val="en-US" w:eastAsia="zh-CN"/>
              </w:rPr>
              <w:t>    2 到达中型多功能运动场地的步行距离不大于500m，得2分。</w:t>
            </w:r>
          </w:p>
        </w:tc>
        <w:tc>
          <w:tcPr>
            <w:tcW w:w="3725" w:type="dxa"/>
            <w:vAlign w:val="center"/>
          </w:tcPr>
          <w:p>
            <w:pPr>
              <w:rPr>
                <w:rFonts w:hint="default"/>
                <w:lang w:val="en-US" w:eastAsia="zh-CN"/>
              </w:rPr>
            </w:pPr>
            <w:r>
              <w:rPr>
                <w:rFonts w:hint="default"/>
                <w:lang w:val="en-US" w:eastAsia="zh-CN"/>
              </w:rPr>
              <w:t>查阅相关竣工图。</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 xml:space="preserve">6．2．5 </w:t>
            </w:r>
          </w:p>
        </w:tc>
        <w:tc>
          <w:tcPr>
            <w:tcW w:w="4350" w:type="dxa"/>
            <w:vAlign w:val="center"/>
          </w:tcPr>
          <w:p>
            <w:pPr>
              <w:rPr>
                <w:rFonts w:hint="default"/>
                <w:lang w:val="en-US" w:eastAsia="zh-CN"/>
              </w:rPr>
            </w:pPr>
            <w:r>
              <w:rPr>
                <w:rFonts w:hint="default"/>
                <w:lang w:val="en-US" w:eastAsia="zh-CN"/>
              </w:rPr>
              <w:t>合理设置健身场地和空间，评价总分值为10分，并按下列规则分别评分并累计：</w:t>
            </w:r>
            <w:r>
              <w:rPr>
                <w:rFonts w:hint="default"/>
                <w:lang w:val="en-US" w:eastAsia="zh-CN"/>
              </w:rPr>
              <w:br w:type="textWrapping"/>
            </w:r>
            <w:r>
              <w:rPr>
                <w:rFonts w:hint="default"/>
                <w:lang w:val="en-US" w:eastAsia="zh-CN"/>
              </w:rPr>
              <w:t>    1 室外健身场地面积不少于总用地面积的0．5％，得3分；</w:t>
            </w:r>
            <w:r>
              <w:rPr>
                <w:rFonts w:hint="default"/>
                <w:lang w:val="en-US" w:eastAsia="zh-CN"/>
              </w:rPr>
              <w:br w:type="textWrapping"/>
            </w:r>
            <w:r>
              <w:rPr>
                <w:rFonts w:hint="default"/>
                <w:lang w:val="en-US" w:eastAsia="zh-CN"/>
              </w:rPr>
              <w:t>    2 设置宽度不少于1．25m的专用健身慢行道，健身慢行道长度不少于用地红线周长的1/4且不少于1OOm，得2分；</w:t>
            </w:r>
            <w:r>
              <w:rPr>
                <w:rFonts w:hint="default"/>
                <w:lang w:val="en-US" w:eastAsia="zh-CN"/>
              </w:rPr>
              <w:br w:type="textWrapping"/>
            </w:r>
            <w:r>
              <w:rPr>
                <w:rFonts w:hint="default"/>
                <w:lang w:val="en-US" w:eastAsia="zh-CN"/>
              </w:rPr>
              <w:t>    3 室内健身空间的面积不少于地上建筑面积的0．3％且不少于60m2，得3分；</w:t>
            </w:r>
            <w:r>
              <w:rPr>
                <w:rFonts w:hint="default"/>
                <w:lang w:val="en-US" w:eastAsia="zh-CN"/>
              </w:rPr>
              <w:br w:type="textWrapping"/>
            </w:r>
            <w:r>
              <w:rPr>
                <w:rFonts w:hint="default"/>
                <w:lang w:val="en-US" w:eastAsia="zh-CN"/>
              </w:rPr>
              <w:t>    4 楼梯间具有天然采光和良好的视野，且距离主入口的距离不大于15m，得2分。</w:t>
            </w:r>
          </w:p>
        </w:tc>
        <w:tc>
          <w:tcPr>
            <w:tcW w:w="3725"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□产品说明书</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 xml:space="preserve">6．2．10 </w:t>
            </w:r>
          </w:p>
        </w:tc>
        <w:tc>
          <w:tcPr>
            <w:tcW w:w="4350" w:type="dxa"/>
            <w:vAlign w:val="center"/>
          </w:tcPr>
          <w:p>
            <w:pPr>
              <w:rPr>
                <w:rFonts w:hint="default"/>
                <w:lang w:val="en-US" w:eastAsia="zh-CN"/>
              </w:rPr>
            </w:pPr>
            <w:r>
              <w:rPr>
                <w:rFonts w:hint="default"/>
                <w:lang w:val="en-US" w:eastAsia="zh-CN"/>
              </w:rPr>
              <w:t>制定完善的节能、节水、节材、绿化的操作规程、应急预案，实施能源资源管理激励机制，且有效实施，评价总分值为5分，并按下列规则分别评分并累计：</w:t>
            </w:r>
            <w:r>
              <w:rPr>
                <w:rFonts w:hint="default"/>
                <w:lang w:val="en-US" w:eastAsia="zh-CN"/>
              </w:rPr>
              <w:br w:type="textWrapping"/>
            </w:r>
            <w:r>
              <w:rPr>
                <w:rFonts w:hint="default"/>
                <w:lang w:val="en-US" w:eastAsia="zh-CN"/>
              </w:rPr>
              <w:t>    1 相关设施具有完善的操作规程和应急预案，得2分；</w:t>
            </w:r>
            <w:r>
              <w:rPr>
                <w:rFonts w:hint="default"/>
                <w:lang w:val="en-US" w:eastAsia="zh-CN"/>
              </w:rPr>
              <w:br w:type="textWrapping"/>
            </w:r>
            <w:r>
              <w:rPr>
                <w:rFonts w:hint="default"/>
                <w:lang w:val="en-US" w:eastAsia="zh-CN"/>
              </w:rPr>
              <w:t>    2 物业管理机构的工作考核体系中包含节能和节水绩效考核激励机制，得3分。</w:t>
            </w:r>
          </w:p>
        </w:tc>
        <w:tc>
          <w:tcPr>
            <w:tcW w:w="3725" w:type="dxa"/>
            <w:vAlign w:val="center"/>
          </w:tcPr>
          <w:p>
            <w:pPr>
              <w:rPr>
                <w:rFonts w:hint="default"/>
                <w:lang w:val="en-US" w:eastAsia="zh-CN"/>
              </w:rPr>
            </w:pPr>
            <w:r>
              <w:rPr>
                <w:rFonts w:hint="default"/>
                <w:lang w:val="en-US" w:eastAsia="zh-CN"/>
              </w:rPr>
              <w:t>查阅相关竣工图、产品说明书。</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6．2．13</w:t>
            </w:r>
          </w:p>
        </w:tc>
        <w:tc>
          <w:tcPr>
            <w:tcW w:w="4350" w:type="dxa"/>
            <w:vAlign w:val="center"/>
          </w:tcPr>
          <w:p>
            <w:pPr>
              <w:rPr>
                <w:rFonts w:hint="default"/>
                <w:lang w:val="en-US" w:eastAsia="zh-CN"/>
              </w:rPr>
            </w:pPr>
            <w:r>
              <w:rPr>
                <w:rFonts w:hint="default"/>
                <w:lang w:val="en-US" w:eastAsia="zh-CN"/>
              </w:rPr>
              <w:t xml:space="preserve"> 建立绿色教育宣传和实践机制，编制绿色设施使用手册，形成良好的绿色氛围，并定期开展使用者满意度调查，评价总分值为8分，并按下列规则分别评分并累计：</w:t>
            </w:r>
            <w:r>
              <w:rPr>
                <w:rFonts w:hint="default"/>
                <w:lang w:val="en-US" w:eastAsia="zh-CN"/>
              </w:rPr>
              <w:br w:type="textWrapping"/>
            </w:r>
            <w:r>
              <w:rPr>
                <w:rFonts w:hint="default"/>
                <w:lang w:val="en-US" w:eastAsia="zh-CN"/>
              </w:rPr>
              <w:t>    1 每年组织不少于2次的绿色建筑技术宣传、绿色生活引导、灾害应急演练等绿色教育宣传和实践活动，并有活动记录，得2分；</w:t>
            </w:r>
            <w:r>
              <w:rPr>
                <w:rFonts w:hint="default"/>
                <w:lang w:val="en-US" w:eastAsia="zh-CN"/>
              </w:rPr>
              <w:br w:type="textWrapping"/>
            </w:r>
            <w:r>
              <w:rPr>
                <w:rFonts w:hint="default"/>
                <w:lang w:val="en-US" w:eastAsia="zh-CN"/>
              </w:rPr>
              <w:t>    2 具有绿色生活展示、体验或交流分享的平台，并向使用者提供绿色设施使用手册，得3分；</w:t>
            </w:r>
          </w:p>
          <w:p>
            <w:pPr>
              <w:rPr>
                <w:rFonts w:hint="default"/>
                <w:lang w:val="en-US" w:eastAsia="zh-CN"/>
              </w:rPr>
            </w:pPr>
            <w:r>
              <w:rPr>
                <w:rFonts w:hint="default"/>
                <w:lang w:val="en-US" w:eastAsia="zh-CN"/>
              </w:rPr>
              <w:t>3.每年开展1次针对建筑绿色性能的使用者满意度调查，且根据调查结果制定改进措施并实施、公示，得3分。</w:t>
            </w:r>
          </w:p>
        </w:tc>
        <w:tc>
          <w:tcPr>
            <w:tcW w:w="3725" w:type="dxa"/>
            <w:vAlign w:val="center"/>
          </w:tcPr>
          <w:p>
            <w:pPr>
              <w:rPr>
                <w:rFonts w:hint="default"/>
                <w:lang w:val="en-US" w:eastAsia="zh-CN"/>
              </w:rPr>
            </w:pPr>
            <w:r>
              <w:rPr>
                <w:rFonts w:hint="default"/>
                <w:lang w:val="en-US" w:eastAsia="zh-CN"/>
              </w:rPr>
              <w:t>查阅相关管理制度、工作记录、活动宣传和推送材料、绿色设施使用手册、影像材料、年度调查报告及整改方案。</w:t>
            </w:r>
          </w:p>
        </w:tc>
        <w:tc>
          <w:tcPr>
            <w:tcW w:w="1612" w:type="dxa"/>
            <w:vAlign w:val="center"/>
          </w:tcPr>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7.2.3</w:t>
            </w:r>
          </w:p>
        </w:tc>
        <w:tc>
          <w:tcPr>
            <w:tcW w:w="4350" w:type="dxa"/>
            <w:vAlign w:val="center"/>
          </w:tcPr>
          <w:p>
            <w:pPr>
              <w:rPr>
                <w:rFonts w:hint="default"/>
                <w:lang w:val="en-US" w:eastAsia="zh-CN"/>
              </w:rPr>
            </w:pPr>
            <w:r>
              <w:rPr>
                <w:rFonts w:hint="default"/>
                <w:lang w:val="en-US" w:eastAsia="zh-CN"/>
              </w:rPr>
              <w:t>采用机械式停车设施、地下停车库或地面停车楼等方式。（总分8分）</w:t>
            </w:r>
          </w:p>
        </w:tc>
        <w:tc>
          <w:tcPr>
            <w:tcW w:w="3725" w:type="dxa"/>
            <w:vAlign w:val="center"/>
          </w:tcPr>
          <w:p>
            <w:pPr>
              <w:rPr>
                <w:rFonts w:hint="default"/>
                <w:lang w:val="en-US" w:eastAsia="zh-CN"/>
              </w:rPr>
            </w:pPr>
            <w:r>
              <w:rPr>
                <w:rFonts w:hint="default"/>
                <w:lang w:val="en-US" w:eastAsia="zh-CN"/>
              </w:rPr>
              <w:t>□竣工图</w:t>
            </w:r>
          </w:p>
          <w:p>
            <w:pPr>
              <w:rPr>
                <w:rFonts w:hint="default"/>
                <w:lang w:val="en-US" w:eastAsia="zh-CN"/>
              </w:rPr>
            </w:pPr>
            <w:r>
              <w:rPr>
                <w:rFonts w:hint="default"/>
                <w:lang w:val="en-US" w:eastAsia="zh-CN"/>
              </w:rPr>
              <w:t>□相关计算书</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7.2.4</w:t>
            </w:r>
          </w:p>
        </w:tc>
        <w:tc>
          <w:tcPr>
            <w:tcW w:w="4350" w:type="dxa"/>
            <w:vAlign w:val="center"/>
          </w:tcPr>
          <w:p>
            <w:pPr>
              <w:rPr>
                <w:rFonts w:hint="default"/>
                <w:lang w:val="en-US" w:eastAsia="zh-CN"/>
              </w:rPr>
            </w:pPr>
            <w:r>
              <w:rPr>
                <w:rFonts w:hint="default"/>
                <w:lang w:val="en-US" w:eastAsia="zh-CN"/>
              </w:rPr>
              <w:t>优化建筑围护结构的热工性能：</w:t>
            </w:r>
          </w:p>
          <w:p>
            <w:pPr>
              <w:rPr>
                <w:rFonts w:hint="default"/>
                <w:lang w:val="en-US" w:eastAsia="zh-CN"/>
              </w:rPr>
            </w:pPr>
            <w:r>
              <w:rPr>
                <w:rFonts w:hint="default"/>
                <w:lang w:val="en-US" w:eastAsia="zh-CN"/>
              </w:rPr>
              <w:t>围护结构热工性能比国家现行相关建筑节能设计标准规定的提高幅度达到5%，得5分；达到10%，得10分；达到15%，得15分。或建筑供暖空调负荷降低5%，得5分；降低10%，得10分；降低15%，得15分。</w:t>
            </w:r>
          </w:p>
        </w:tc>
        <w:tc>
          <w:tcPr>
            <w:tcW w:w="3725" w:type="dxa"/>
            <w:vAlign w:val="center"/>
          </w:tcPr>
          <w:p>
            <w:pPr>
              <w:rPr>
                <w:rFonts w:hint="default"/>
                <w:lang w:val="en-US" w:eastAsia="zh-CN"/>
              </w:rPr>
            </w:pPr>
            <w:r>
              <w:rPr>
                <w:rFonts w:hint="default"/>
                <w:lang w:val="en-US" w:eastAsia="zh-CN"/>
              </w:rPr>
              <w:t>□节能工程验收文件</w:t>
            </w:r>
          </w:p>
          <w:p>
            <w:pPr>
              <w:rPr>
                <w:rFonts w:hint="default"/>
                <w:lang w:val="en-US" w:eastAsia="zh-CN"/>
              </w:rPr>
            </w:pPr>
            <w:r>
              <w:rPr>
                <w:rFonts w:hint="default"/>
                <w:lang w:val="en-US" w:eastAsia="zh-CN"/>
              </w:rPr>
              <w:t>□节能计算规定性指标相关的检验报告</w:t>
            </w:r>
          </w:p>
          <w:p>
            <w:pPr>
              <w:rPr>
                <w:rFonts w:hint="default"/>
                <w:lang w:val="en-US" w:eastAsia="zh-CN"/>
              </w:rPr>
            </w:pPr>
            <w:r>
              <w:rPr>
                <w:rFonts w:hint="default"/>
                <w:lang w:val="en-US" w:eastAsia="zh-CN"/>
              </w:rPr>
              <w:t>□供暖空调全年计算负荷报告</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□一星级</w:t>
            </w:r>
          </w:p>
          <w:p>
            <w:pPr>
              <w:rPr>
                <w:rFonts w:hint="default"/>
                <w:lang w:val="en-US" w:eastAsia="zh-CN"/>
              </w:rPr>
            </w:pPr>
            <w:r>
              <w:rPr>
                <w:rFonts w:hint="default"/>
                <w:lang w:val="en-US" w:eastAsia="zh-CN"/>
              </w:rPr>
              <w:t>□二星级</w:t>
            </w:r>
          </w:p>
          <w:p>
            <w:pPr>
              <w:rPr>
                <w:rFonts w:hint="default"/>
                <w:lang w:val="en-US" w:eastAsia="zh-CN"/>
              </w:rPr>
            </w:pPr>
            <w:r>
              <w:rPr>
                <w:rFonts w:hint="default"/>
                <w:lang w:val="en-US" w:eastAsia="zh-CN"/>
              </w:rPr>
              <w:t>□三星级</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8.2.3</w:t>
            </w:r>
          </w:p>
        </w:tc>
        <w:tc>
          <w:tcPr>
            <w:tcW w:w="4350" w:type="dxa"/>
            <w:vAlign w:val="center"/>
          </w:tcPr>
          <w:p>
            <w:pPr>
              <w:rPr>
                <w:rFonts w:hint="default"/>
                <w:lang w:val="en-US" w:eastAsia="zh-CN"/>
              </w:rPr>
            </w:pPr>
          </w:p>
          <w:p>
            <w:pPr>
              <w:rPr>
                <w:rFonts w:hint="default"/>
                <w:lang w:val="en-US" w:eastAsia="zh-CN"/>
              </w:rPr>
            </w:pPr>
            <w:r>
              <w:rPr>
                <w:rFonts w:hint="default"/>
                <w:lang w:val="en-US" w:eastAsia="zh-CN"/>
              </w:rPr>
              <w:t>充分利用场地空间设置绿化用地，评价总分值16分。</w:t>
            </w:r>
            <w:r>
              <w:rPr>
                <w:rFonts w:hint="default"/>
                <w:lang w:val="en-US" w:eastAsia="zh-CN"/>
              </w:rPr>
              <w:br w:type="textWrapping"/>
            </w:r>
            <w:r>
              <w:rPr>
                <w:rFonts w:hint="default"/>
                <w:lang w:val="en-US" w:eastAsia="zh-CN"/>
              </w:rPr>
              <w:t>1.住宅建筑按下列规则评分并累计：绿地率达到规划指标105%及以上，得10分；</w:t>
            </w:r>
            <w:r>
              <w:rPr>
                <w:rFonts w:hint="default"/>
                <w:lang w:val="en-US" w:eastAsia="zh-CN"/>
              </w:rPr>
              <w:br w:type="textWrapping"/>
            </w:r>
            <w:r>
              <w:rPr>
                <w:rFonts w:hint="default"/>
                <w:lang w:val="en-US" w:eastAsia="zh-CN"/>
              </w:rPr>
              <w:t>住宅建筑锁在居住街坊内人均集中绿地面积，按表8.2.3的规则评分，最高得6分。</w:t>
            </w:r>
          </w:p>
          <w:p>
            <w:pPr>
              <w:rPr>
                <w:rFonts w:hint="default"/>
                <w:lang w:val="en-US" w:eastAsia="zh-CN"/>
              </w:rPr>
            </w:pPr>
          </w:p>
          <w:p>
            <w:pPr>
              <w:rPr>
                <w:rFonts w:hint="default"/>
                <w:lang w:val="en-US" w:eastAsia="zh-CN"/>
              </w:rPr>
            </w:pPr>
            <w:r>
              <w:rPr>
                <w:rFonts w:hint="default"/>
                <w:lang w:val="en-US" w:eastAsia="zh-CN"/>
              </w:rPr>
              <w:t>表8.2.3住宅建筑人均集中绿地面积规则评分</w:t>
            </w:r>
          </w:p>
          <w:p>
            <w:pPr>
              <w:rPr>
                <w:rFonts w:hint="default"/>
                <w:lang w:val="en-US" w:eastAsia="zh-CN"/>
              </w:rPr>
            </w:pPr>
          </w:p>
          <w:p>
            <w:pPr>
              <w:rPr>
                <w:rFonts w:hint="default"/>
                <w:lang w:val="en-US" w:eastAsia="zh-CN"/>
              </w:rPr>
            </w:pPr>
            <w:r>
              <w:rPr>
                <w:rFonts w:hint="default"/>
                <w:lang w:val="en-US" w:eastAsia="zh-CN"/>
              </w:rPr>
              <w:t>2.公共建筑按下列规则评分并累计：公共建筑绿地率达到规划指标105%及以上，得10分；</w:t>
            </w:r>
          </w:p>
          <w:p>
            <w:pPr>
              <w:rPr>
                <w:rFonts w:hint="default"/>
                <w:lang w:val="en-US" w:eastAsia="zh-CN"/>
              </w:rPr>
            </w:pPr>
            <w:r>
              <w:rPr>
                <w:rFonts w:hint="default"/>
                <w:lang w:val="en-US" w:eastAsia="zh-CN"/>
              </w:rPr>
              <w:t>绿地向公众开放，得6分。</w:t>
            </w:r>
          </w:p>
        </w:tc>
        <w:tc>
          <w:tcPr>
            <w:tcW w:w="3725"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□绿地率计算书</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8.2.4</w:t>
            </w:r>
          </w:p>
        </w:tc>
        <w:tc>
          <w:tcPr>
            <w:tcW w:w="4350" w:type="dxa"/>
            <w:vAlign w:val="center"/>
          </w:tcPr>
          <w:p>
            <w:pPr>
              <w:rPr>
                <w:rFonts w:hint="default"/>
                <w:lang w:val="en-US" w:eastAsia="zh-CN"/>
              </w:rPr>
            </w:pPr>
            <w:r>
              <w:rPr>
                <w:rFonts w:hint="default"/>
                <w:lang w:val="en-US" w:eastAsia="zh-CN"/>
              </w:rPr>
              <w:t>室外吸烟区位置布局合理，评价总分值为9分，并按下列规则分别评分并累计：</w:t>
            </w:r>
            <w:r>
              <w:rPr>
                <w:rFonts w:hint="default"/>
                <w:lang w:val="en-US" w:eastAsia="zh-CN"/>
              </w:rPr>
              <w:br w:type="textWrapping"/>
            </w:r>
            <w:r>
              <w:rPr>
                <w:rFonts w:hint="default"/>
                <w:lang w:val="en-US" w:eastAsia="zh-CN"/>
              </w:rPr>
              <w:t>1 室外吸烟区布置在建筑主出入口的主导风的下风向，与所有建筑出入口、新风进气口和可开启窗扇的距离不少于8m,且距离儿童和老人活动场地不少于8m, 得5分；</w:t>
            </w:r>
            <w:r>
              <w:rPr>
                <w:rFonts w:hint="default"/>
                <w:lang w:val="en-US" w:eastAsia="zh-CN"/>
              </w:rPr>
              <w:br w:type="textWrapping"/>
            </w:r>
            <w:r>
              <w:rPr>
                <w:rFonts w:hint="default"/>
                <w:lang w:val="en-US" w:eastAsia="zh-CN"/>
              </w:rPr>
              <w:t>2 室外吸烟区与绿植结合布置，并合理配置座椅和带烟头收集的垃圾筒，从建筑主出入口至室外吸烟区的导向标识完整、定位标识醒目，吸烟区设置吸烟有害健康的警示标识，得4分。</w:t>
            </w:r>
          </w:p>
        </w:tc>
        <w:tc>
          <w:tcPr>
            <w:tcW w:w="3725" w:type="dxa"/>
            <w:vAlign w:val="center"/>
          </w:tcPr>
          <w:p>
            <w:pPr>
              <w:rPr>
                <w:rFonts w:hint="default"/>
                <w:lang w:val="en-US" w:eastAsia="zh-CN"/>
              </w:rPr>
            </w:pPr>
            <w:r>
              <w:rPr>
                <w:rFonts w:hint="default"/>
                <w:lang w:val="en-US" w:eastAsia="zh-CN"/>
              </w:rPr>
              <w:t>□相关竣工图</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8.2.6</w:t>
            </w:r>
          </w:p>
        </w:tc>
        <w:tc>
          <w:tcPr>
            <w:tcW w:w="4350" w:type="dxa"/>
            <w:vAlign w:val="center"/>
          </w:tcPr>
          <w:p>
            <w:pPr>
              <w:rPr>
                <w:rFonts w:hint="default"/>
                <w:lang w:val="en-US" w:eastAsia="zh-CN"/>
              </w:rPr>
            </w:pPr>
            <w:r>
              <w:rPr>
                <w:rFonts w:hint="default"/>
                <w:lang w:val="en-US" w:eastAsia="zh-CN"/>
              </w:rPr>
              <w:t>场地内的环境噪声优于现行国家标准《声环境质量标准》GB 3096的要求，评价总分值为10分，并按下列规则评分：</w:t>
            </w:r>
            <w:r>
              <w:rPr>
                <w:rFonts w:hint="default"/>
                <w:lang w:val="en-US" w:eastAsia="zh-CN"/>
              </w:rPr>
              <w:br w:type="textWrapping"/>
            </w:r>
            <w:r>
              <w:rPr>
                <w:rFonts w:hint="default"/>
                <w:lang w:val="en-US" w:eastAsia="zh-CN"/>
              </w:rPr>
              <w:t>1 环境噪声值大于 2 类声环境功能区标准限值，且小千或等于3类声环境功能区标准限值，得5分。</w:t>
            </w:r>
            <w:r>
              <w:rPr>
                <w:rFonts w:hint="default"/>
                <w:lang w:val="en-US" w:eastAsia="zh-CN"/>
              </w:rPr>
              <w:br w:type="textWrapping"/>
            </w:r>
            <w:r>
              <w:rPr>
                <w:rFonts w:hint="default"/>
                <w:lang w:val="en-US" w:eastAsia="zh-CN"/>
              </w:rPr>
              <w:t>2 环境噪声值小于或等于2类声环境功能区标准限值，得10分。</w:t>
            </w:r>
          </w:p>
        </w:tc>
        <w:tc>
          <w:tcPr>
            <w:tcW w:w="3725"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□声环境检测报告</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8.2.7</w:t>
            </w:r>
          </w:p>
        </w:tc>
        <w:tc>
          <w:tcPr>
            <w:tcW w:w="4350" w:type="dxa"/>
            <w:vAlign w:val="center"/>
          </w:tcPr>
          <w:p>
            <w:pPr>
              <w:rPr>
                <w:rFonts w:hint="default"/>
                <w:lang w:val="en-US" w:eastAsia="zh-CN"/>
              </w:rPr>
            </w:pPr>
            <w:r>
              <w:rPr>
                <w:rFonts w:hint="default"/>
                <w:lang w:val="en-US" w:eastAsia="zh-CN"/>
              </w:rPr>
              <w:t>建筑及照明设计避免产生光污染，评价总分值为 10 分，并按下列规则分别评分并累计：</w:t>
            </w:r>
            <w:r>
              <w:rPr>
                <w:rFonts w:hint="default"/>
                <w:lang w:val="en-US" w:eastAsia="zh-CN"/>
              </w:rPr>
              <w:br w:type="textWrapping"/>
            </w:r>
            <w:r>
              <w:rPr>
                <w:rFonts w:hint="default"/>
                <w:lang w:val="en-US" w:eastAsia="zh-CN"/>
              </w:rPr>
              <w:t>1 玻璃幕墙的可见光反射比及反射光对周边环境的影响符合《玻璃幕墙光热性能》 GB/T 18091的规定，得5分；</w:t>
            </w:r>
            <w:r>
              <w:rPr>
                <w:rFonts w:hint="default"/>
                <w:lang w:val="en-US" w:eastAsia="zh-CN"/>
              </w:rPr>
              <w:br w:type="textWrapping"/>
            </w:r>
            <w:r>
              <w:rPr>
                <w:rFonts w:hint="default"/>
                <w:lang w:val="en-US" w:eastAsia="zh-CN"/>
              </w:rPr>
              <w:t>2 室外夜景照明光污染的限制符合现行国家标准《室外照明干扰光限制规范》 GB/T 35626和现行行业标准《城市夜景照明设计规范》 JGJ/T 163 的规定,得 5分。</w:t>
            </w:r>
          </w:p>
        </w:tc>
        <w:tc>
          <w:tcPr>
            <w:tcW w:w="3725"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□光污染分析报告</w:t>
            </w:r>
          </w:p>
          <w:p>
            <w:pPr>
              <w:rPr>
                <w:rFonts w:hint="default"/>
                <w:lang w:val="en-US" w:eastAsia="zh-CN"/>
              </w:rPr>
            </w:pPr>
            <w:r>
              <w:rPr>
                <w:rFonts w:hint="default"/>
                <w:lang w:val="en-US" w:eastAsia="zh-CN"/>
              </w:rPr>
              <w:t>□现场检测报告</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8.2.8</w:t>
            </w:r>
          </w:p>
        </w:tc>
        <w:tc>
          <w:tcPr>
            <w:tcW w:w="4350" w:type="dxa"/>
            <w:vAlign w:val="center"/>
          </w:tcPr>
          <w:p>
            <w:pPr>
              <w:rPr>
                <w:rFonts w:hint="default"/>
                <w:lang w:val="en-US" w:eastAsia="zh-CN"/>
              </w:rPr>
            </w:pPr>
            <w:r>
              <w:rPr>
                <w:rFonts w:hint="default"/>
                <w:lang w:val="en-US" w:eastAsia="zh-CN"/>
              </w:rPr>
              <w:t>场地内风环境有利于室外行走、活动舒适,建筑自然通风,评价总分值为10分,并按下列规则分别评分并累计：</w:t>
            </w:r>
            <w:r>
              <w:rPr>
                <w:rFonts w:hint="default"/>
                <w:lang w:val="en-US" w:eastAsia="zh-CN"/>
              </w:rPr>
              <w:br w:type="textWrapping"/>
            </w:r>
            <w:r>
              <w:rPr>
                <w:rFonts w:hint="default"/>
                <w:lang w:val="en-US" w:eastAsia="zh-CN"/>
              </w:rPr>
              <w:t>1.在冬季典型风速和风向条件下，按下列规则分别评分并累计：</w:t>
            </w:r>
            <w:r>
              <w:rPr>
                <w:rFonts w:hint="default"/>
                <w:lang w:val="en-US" w:eastAsia="zh-CN"/>
              </w:rPr>
              <w:br w:type="textWrapping"/>
            </w:r>
            <w:r>
              <w:rPr>
                <w:rFonts w:hint="default"/>
                <w:lang w:val="en-US" w:eastAsia="zh-CN"/>
              </w:rPr>
              <w:t>1)建筑物周围人行区距地高1. 5m处风速小于5m/s, 户外休息区、儿童娱乐区风速小于2m/s, 且室外风速放大系数小于2, 得3分；</w:t>
            </w:r>
            <w:r>
              <w:rPr>
                <w:rFonts w:hint="default"/>
                <w:lang w:val="en-US" w:eastAsia="zh-CN"/>
              </w:rPr>
              <w:br w:type="textWrapping"/>
            </w:r>
            <w:r>
              <w:rPr>
                <w:rFonts w:hint="default"/>
                <w:lang w:val="en-US" w:eastAsia="zh-CN"/>
              </w:rPr>
              <w:t>2)除迎风第一排建筑外，建筑迎风面与背风面表面风压差不大于5Pa, 得2分。</w:t>
            </w:r>
            <w:r>
              <w:rPr>
                <w:rFonts w:hint="default"/>
                <w:lang w:val="en-US" w:eastAsia="zh-CN"/>
              </w:rPr>
              <w:br w:type="textWrapping"/>
            </w:r>
            <w:r>
              <w:rPr>
                <w:rFonts w:hint="default"/>
                <w:lang w:val="en-US" w:eastAsia="zh-CN"/>
              </w:rPr>
              <w:t>2.过渡季、夏季典型风速和风向条件下，按下列规则分别评分并累计：</w:t>
            </w:r>
            <w:r>
              <w:rPr>
                <w:rFonts w:hint="default"/>
                <w:lang w:val="en-US" w:eastAsia="zh-CN"/>
              </w:rPr>
              <w:br w:type="textWrapping"/>
            </w:r>
            <w:r>
              <w:rPr>
                <w:rFonts w:hint="default"/>
                <w:lang w:val="en-US" w:eastAsia="zh-CN"/>
              </w:rPr>
              <w:t>1)场地内人活动区不出现涡旋或无风区，得3分；</w:t>
            </w:r>
            <w:r>
              <w:rPr>
                <w:rFonts w:hint="default"/>
                <w:lang w:val="en-US" w:eastAsia="zh-CN"/>
              </w:rPr>
              <w:br w:type="textWrapping"/>
            </w:r>
            <w:r>
              <w:rPr>
                <w:rFonts w:hint="default"/>
                <w:lang w:val="en-US" w:eastAsia="zh-CN"/>
              </w:rPr>
              <w:t>2)50%以上可开启外窗室内外表面的风压差大于0. 5Pa, 得2分。</w:t>
            </w:r>
          </w:p>
        </w:tc>
        <w:tc>
          <w:tcPr>
            <w:tcW w:w="3725"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□风环境分析报告</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837" w:type="dxa"/>
            <w:vMerge w:val="continue"/>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8.2.9</w:t>
            </w:r>
          </w:p>
        </w:tc>
        <w:tc>
          <w:tcPr>
            <w:tcW w:w="4350" w:type="dxa"/>
            <w:vAlign w:val="center"/>
          </w:tcPr>
          <w:p>
            <w:pPr>
              <w:rPr>
                <w:rFonts w:hint="default"/>
                <w:lang w:val="en-US" w:eastAsia="zh-CN"/>
              </w:rPr>
            </w:pPr>
            <w:r>
              <w:rPr>
                <w:rFonts w:hint="default"/>
                <w:lang w:val="en-US" w:eastAsia="zh-CN"/>
              </w:rPr>
              <w:t>采取措施降低热岛强度，评价总分值为10分，按下列规则分别评分并累计：</w:t>
            </w:r>
            <w:r>
              <w:rPr>
                <w:rFonts w:hint="default"/>
                <w:lang w:val="en-US" w:eastAsia="zh-CN"/>
              </w:rPr>
              <w:br w:type="textWrapping"/>
            </w:r>
            <w:r>
              <w:rPr>
                <w:rFonts w:hint="default"/>
                <w:lang w:val="en-US" w:eastAsia="zh-CN"/>
              </w:rPr>
              <w:t>1.场地中处于建筑阴影区外的步道、游憩场、庭院、广场等室外活动场地设有乔木、花架等遮阴措施的面积比例,住宅建筑达到30%,,公共建筑达到10%,,得2分;住宅建筑达到50%,公共建筑达到20%,得3分；</w:t>
            </w:r>
            <w:r>
              <w:rPr>
                <w:rFonts w:hint="default"/>
                <w:lang w:val="en-US" w:eastAsia="zh-CN"/>
              </w:rPr>
              <w:br w:type="textWrapping"/>
            </w:r>
            <w:r>
              <w:rPr>
                <w:rFonts w:hint="default"/>
                <w:lang w:val="en-US" w:eastAsia="zh-CN"/>
              </w:rPr>
              <w:t>2.场地中处于建筑阴影区外的机动车道，路面太阳辐射反射系数不小于0.4或设有遮阴面积较大的行道树的路段长度超过70%, 得3分；</w:t>
            </w:r>
            <w:r>
              <w:rPr>
                <w:rFonts w:hint="default"/>
                <w:lang w:val="en-US" w:eastAsia="zh-CN"/>
              </w:rPr>
              <w:br w:type="textWrapping"/>
            </w:r>
            <w:r>
              <w:rPr>
                <w:rFonts w:hint="default"/>
                <w:lang w:val="en-US" w:eastAsia="zh-CN"/>
              </w:rPr>
              <w:t>3.屋顶的绿化面积、太阳能板水平投影面积以及太阳辐射反射系数不小于0.4屋面面积合计达到75%,得4分。</w:t>
            </w:r>
          </w:p>
        </w:tc>
        <w:tc>
          <w:tcPr>
            <w:tcW w:w="3725"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□日照分析报告、计算书</w:t>
            </w:r>
          </w:p>
          <w:p>
            <w:pPr>
              <w:rPr>
                <w:rFonts w:hint="default"/>
                <w:lang w:val="en-US" w:eastAsia="zh-CN"/>
              </w:rPr>
            </w:pPr>
            <w:r>
              <w:rPr>
                <w:rFonts w:hint="default"/>
                <w:lang w:val="en-US" w:eastAsia="zh-CN"/>
              </w:rPr>
              <w:t>□材料性能检测报告</w:t>
            </w:r>
          </w:p>
        </w:tc>
        <w:tc>
          <w:tcPr>
            <w:tcW w:w="1612" w:type="dxa"/>
            <w:vAlign w:val="center"/>
          </w:tcPr>
          <w:p>
            <w:pPr>
              <w:rPr>
                <w:rFonts w:hint="default"/>
                <w:lang w:val="en-US" w:eastAsia="zh-CN"/>
              </w:rPr>
            </w:pPr>
            <w:r>
              <w:rPr>
                <w:rFonts w:hint="default"/>
                <w:lang w:val="en-US" w:eastAsia="zh-CN"/>
              </w:rPr>
              <w:t xml:space="preserve">得分：    </w:t>
            </w:r>
          </w:p>
          <w:p>
            <w:pPr>
              <w:rPr>
                <w:rFonts w:hint="default"/>
                <w:lang w:val="en-US" w:eastAsia="zh-CN"/>
              </w:rPr>
            </w:pPr>
            <w:r>
              <w:rPr>
                <w:rFonts w:hint="default"/>
                <w:lang w:val="en-US" w:eastAsia="zh-CN"/>
              </w:rPr>
              <w:t>□通过</w:t>
            </w:r>
          </w:p>
          <w:p>
            <w:pPr>
              <w:rPr>
                <w:rFonts w:hint="default"/>
                <w:lang w:val="en-US" w:eastAsia="zh-CN"/>
              </w:rPr>
            </w:pPr>
            <w:r>
              <w:rPr>
                <w:rFonts w:hint="default"/>
                <w:lang w:val="en-US" w:eastAsia="zh-CN"/>
              </w:rPr>
              <w:t>□不通过</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37" w:type="dxa"/>
            <w:vAlign w:val="center"/>
          </w:tcPr>
          <w:p>
            <w:pPr>
              <w:rPr>
                <w:rFonts w:hint="default"/>
                <w:lang w:val="en-US" w:eastAsia="zh-CN"/>
              </w:rPr>
            </w:pPr>
          </w:p>
        </w:tc>
        <w:tc>
          <w:tcPr>
            <w:tcW w:w="1163" w:type="dxa"/>
            <w:vAlign w:val="center"/>
          </w:tcPr>
          <w:p>
            <w:pPr>
              <w:rPr>
                <w:rFonts w:hint="default"/>
                <w:lang w:val="en-US" w:eastAsia="zh-CN"/>
              </w:rPr>
            </w:pPr>
            <w:r>
              <w:rPr>
                <w:rFonts w:hint="default"/>
                <w:lang w:val="en-US" w:eastAsia="zh-CN"/>
              </w:rPr>
              <w:t>9.2.4</w:t>
            </w:r>
          </w:p>
        </w:tc>
        <w:tc>
          <w:tcPr>
            <w:tcW w:w="4350" w:type="dxa"/>
            <w:vAlign w:val="center"/>
          </w:tcPr>
          <w:p>
            <w:pPr>
              <w:rPr>
                <w:rFonts w:hint="default"/>
                <w:lang w:val="en-US" w:eastAsia="zh-CN"/>
              </w:rPr>
            </w:pPr>
            <w:r>
              <w:rPr>
                <w:rFonts w:hint="default"/>
                <w:lang w:val="en-US" w:eastAsia="zh-CN"/>
              </w:rPr>
              <w:t>场地绿容率不低于3.0，评价总分值为5分，并按下列规则评分：</w:t>
            </w:r>
          </w:p>
          <w:p>
            <w:pPr>
              <w:rPr>
                <w:rFonts w:hint="default"/>
                <w:lang w:val="en-US" w:eastAsia="zh-CN"/>
              </w:rPr>
            </w:pPr>
            <w:r>
              <w:rPr>
                <w:rFonts w:hint="default"/>
                <w:lang w:val="en-US" w:eastAsia="zh-CN"/>
              </w:rPr>
              <w:t>场地绿容率计算值不低于3.0，得3分。</w:t>
            </w:r>
          </w:p>
          <w:p>
            <w:pPr>
              <w:rPr>
                <w:rFonts w:hint="default"/>
                <w:lang w:val="en-US" w:eastAsia="zh-CN"/>
              </w:rPr>
            </w:pPr>
            <w:r>
              <w:rPr>
                <w:rFonts w:hint="default"/>
                <w:lang w:val="en-US" w:eastAsia="zh-CN"/>
              </w:rPr>
              <w:t>场地绿容率实测值不低于3.0，得5分。</w:t>
            </w:r>
          </w:p>
        </w:tc>
        <w:tc>
          <w:tcPr>
            <w:tcW w:w="3725" w:type="dxa"/>
            <w:vAlign w:val="center"/>
          </w:tcPr>
          <w:p>
            <w:pPr>
              <w:rPr>
                <w:rFonts w:hint="default"/>
                <w:lang w:val="en-US" w:eastAsia="zh-CN"/>
              </w:rPr>
            </w:pPr>
            <w:r>
              <w:rPr>
                <w:rFonts w:hint="default"/>
                <w:lang w:val="en-US" w:eastAsia="zh-CN"/>
              </w:rPr>
              <w:t>□相关竣工图</w:t>
            </w:r>
          </w:p>
          <w:p>
            <w:pPr>
              <w:rPr>
                <w:rFonts w:hint="default"/>
                <w:lang w:val="en-US" w:eastAsia="zh-CN"/>
              </w:rPr>
            </w:pPr>
            <w:r>
              <w:rPr>
                <w:rFonts w:hint="default"/>
                <w:lang w:val="en-US" w:eastAsia="zh-CN"/>
              </w:rPr>
              <w:t>□绿容率计算书/植被叶面积测量报告</w:t>
            </w:r>
          </w:p>
          <w:p>
            <w:pPr>
              <w:rPr>
                <w:rFonts w:hint="default"/>
                <w:lang w:val="en-US" w:eastAsia="zh-CN"/>
              </w:rPr>
            </w:pPr>
            <w:r>
              <w:rPr>
                <w:rFonts w:hint="default"/>
                <w:lang w:val="en-US" w:eastAsia="zh-CN"/>
              </w:rPr>
              <w:t>□相关证明材料</w:t>
            </w:r>
          </w:p>
        </w:tc>
        <w:tc>
          <w:tcPr>
            <w:tcW w:w="1612" w:type="dxa"/>
            <w:vAlign w:val="center"/>
          </w:tcPr>
          <w:p>
            <w:pPr>
              <w:rPr>
                <w:rFonts w:hint="default"/>
                <w:lang w:val="en-US" w:eastAsia="zh-CN"/>
              </w:rPr>
            </w:pPr>
            <w:r>
              <w:rPr>
                <w:rFonts w:hint="default"/>
                <w:lang w:val="en-US" w:eastAsia="zh-CN"/>
              </w:rPr>
              <w:t>得分：</w:t>
            </w:r>
          </w:p>
        </w:tc>
        <w:tc>
          <w:tcPr>
            <w:tcW w:w="1338" w:type="dxa"/>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3025" w:type="dxa"/>
            <w:gridSpan w:val="6"/>
            <w:vAlign w:val="center"/>
          </w:tcPr>
          <w:p>
            <w:pPr>
              <w:rPr>
                <w:rFonts w:hint="default"/>
                <w:lang w:val="en-US" w:eastAsia="zh-CN"/>
              </w:rPr>
            </w:pPr>
            <w:r>
              <w:rPr>
                <w:rFonts w:hint="default"/>
                <w:lang w:val="en-US" w:eastAsia="zh-CN"/>
              </w:rPr>
              <w:t>评审结论：</w:t>
            </w:r>
          </w:p>
          <w:p>
            <w:pPr>
              <w:rPr>
                <w:rFonts w:hint="default"/>
                <w:lang w:val="en-US" w:eastAsia="zh-CN"/>
              </w:rPr>
            </w:pPr>
          </w:p>
          <w:p>
            <w:pPr>
              <w:rPr>
                <w:rFonts w:hint="default"/>
                <w:lang w:val="en-US" w:eastAsia="zh-CN"/>
              </w:rPr>
            </w:pPr>
            <w:r>
              <w:rPr>
                <w:rFonts w:hint="default"/>
                <w:lang w:val="en-US" w:eastAsia="zh-CN"/>
              </w:rPr>
              <w:t>评审专家（签字）：</w:t>
            </w:r>
          </w:p>
          <w:p>
            <w:pPr>
              <w:rPr>
                <w:rFonts w:hint="default"/>
                <w:lang w:val="en-US" w:eastAsia="zh-CN"/>
              </w:rPr>
            </w:pPr>
            <w:r>
              <w:rPr>
                <w:rFonts w:hint="default"/>
                <w:lang w:val="en-US" w:eastAsia="zh-CN"/>
              </w:rPr>
              <w:t>日期：</w:t>
            </w:r>
          </w:p>
          <w:p>
            <w:pPr>
              <w:rPr>
                <w:rFonts w:hint="default"/>
                <w:lang w:val="en-US" w:eastAsia="zh-CN"/>
              </w:rPr>
            </w:pPr>
          </w:p>
        </w:tc>
      </w:tr>
    </w:tbl>
    <w:p>
      <w:pPr>
        <w:spacing w:line="560" w:lineRule="exact"/>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1-4</w:t>
      </w:r>
      <w:r>
        <w:rPr>
          <w:rFonts w:hint="eastAsia" w:ascii="黑体" w:hAnsi="黑体" w:eastAsia="黑体" w:cs="黑体"/>
          <w:sz w:val="32"/>
          <w:szCs w:val="32"/>
        </w:rPr>
        <w:t>：</w:t>
      </w:r>
    </w:p>
    <w:p>
      <w:pPr>
        <w:jc w:val="center"/>
        <w:rPr>
          <w:rFonts w:hint="eastAsia" w:eastAsia="黑体"/>
          <w:color w:val="000000"/>
          <w:sz w:val="36"/>
          <w:szCs w:val="36"/>
        </w:rPr>
      </w:pPr>
    </w:p>
    <w:p>
      <w:pPr>
        <w:jc w:val="center"/>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rPr>
        <w:t>绿色建筑工程验收承诺书</w:t>
      </w:r>
      <w:r>
        <w:rPr>
          <w:rFonts w:hint="eastAsia" w:ascii="方正小标宋_GBK" w:hAnsi="方正小标宋_GBK" w:eastAsia="方正小标宋_GBK" w:cs="方正小标宋_GBK"/>
          <w:color w:val="000000"/>
          <w:sz w:val="44"/>
          <w:szCs w:val="44"/>
          <w:lang w:eastAsia="zh-CN"/>
        </w:rPr>
        <w:t>（修改）</w:t>
      </w:r>
    </w:p>
    <w:p>
      <w:pPr>
        <w:jc w:val="center"/>
        <w:rPr>
          <w:rFonts w:eastAsia="黑体"/>
          <w:color w:val="000000"/>
          <w:sz w:val="32"/>
          <w:szCs w:val="32"/>
        </w:rPr>
      </w:pP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县</w:t>
      </w:r>
      <w:r>
        <w:rPr>
          <w:rFonts w:hint="eastAsia" w:ascii="仿宋_GB2312" w:hAnsi="仿宋_GB2312" w:eastAsia="仿宋_GB2312" w:cs="仿宋_GB2312"/>
          <w:sz w:val="32"/>
          <w:szCs w:val="32"/>
          <w:lang w:eastAsia="zh-CN"/>
        </w:rPr>
        <w:t>（区）住房和城乡建设局</w:t>
      </w:r>
      <w:r>
        <w:rPr>
          <w:rFonts w:hint="eastAsia" w:ascii="仿宋_GB2312" w:hAnsi="仿宋_GB2312" w:eastAsia="仿宋_GB2312" w:cs="仿宋_GB2312"/>
          <w:sz w:val="32"/>
          <w:szCs w:val="32"/>
        </w:rPr>
        <w:t>：</w:t>
      </w:r>
    </w:p>
    <w:p>
      <w:pPr>
        <w:ind w:firstLine="640" w:firstLineChars="200"/>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根据《关于开展惠州市绿色建筑验收工作的通知》，</w:t>
      </w:r>
      <w:r>
        <w:rPr>
          <w:rFonts w:hint="eastAsia" w:ascii="仿宋_GB2312" w:hAnsi="仿宋_GB2312" w:eastAsia="仿宋_GB2312" w:cs="仿宋_GB2312"/>
          <w:sz w:val="32"/>
          <w:szCs w:val="32"/>
          <w:u w:val="single"/>
          <w:lang w:eastAsia="zh-CN"/>
        </w:rPr>
        <w:t>〔项目业主单位名称〕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p>
    <w:p>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日申报</w:t>
      </w:r>
      <w:r>
        <w:rPr>
          <w:rFonts w:hint="eastAsia" w:ascii="仿宋_GB2312" w:hAnsi="仿宋_GB2312" w:eastAsia="仿宋_GB2312" w:cs="仿宋_GB2312"/>
          <w:sz w:val="32"/>
          <w:szCs w:val="32"/>
          <w:u w:val="single"/>
          <w:lang w:val="en-US" w:eastAsia="zh-CN"/>
        </w:rPr>
        <w:t>〔项目名称〕</w:t>
      </w:r>
      <w:r>
        <w:rPr>
          <w:rFonts w:hint="eastAsia" w:ascii="仿宋_GB2312" w:hAnsi="仿宋_GB2312" w:eastAsia="仿宋_GB2312" w:cs="仿宋_GB2312"/>
          <w:sz w:val="32"/>
          <w:szCs w:val="32"/>
          <w:u w:val="none"/>
          <w:lang w:val="en-US" w:eastAsia="zh-CN"/>
        </w:rPr>
        <w:t>项目（二星级及以上绿色建筑项目），申请按照承诺制方式办理</w:t>
      </w:r>
      <w:r>
        <w:rPr>
          <w:rFonts w:hint="eastAsia" w:ascii="仿宋_GB2312" w:hAnsi="仿宋_GB2312" w:eastAsia="仿宋_GB2312" w:cs="仿宋_GB2312"/>
          <w:sz w:val="32"/>
          <w:szCs w:val="32"/>
          <w:u w:val="single"/>
          <w:lang w:val="en-US" w:eastAsia="zh-CN"/>
        </w:rPr>
        <w:t>绿色建筑验收事项，</w:t>
      </w:r>
      <w:r>
        <w:rPr>
          <w:rFonts w:hint="eastAsia" w:ascii="仿宋_GB2312" w:hAnsi="仿宋_GB2312" w:eastAsia="仿宋_GB2312" w:cs="仿宋_GB2312"/>
          <w:sz w:val="32"/>
          <w:szCs w:val="32"/>
          <w:u w:val="none"/>
          <w:lang w:val="en-US" w:eastAsia="zh-CN"/>
        </w:rPr>
        <w:t>现就有关事项作出如下承诺：</w:t>
      </w:r>
    </w:p>
    <w:p>
      <w:pPr>
        <w:ind w:firstLine="640" w:firstLineChars="200"/>
        <w:jc w:val="left"/>
        <w:rPr>
          <w:rFonts w:hint="eastAsia" w:ascii="仿宋_GB2312" w:hAnsi="仿宋_GB2312" w:eastAsia="仿宋_GB2312" w:cs="仿宋_GB2312"/>
          <w:sz w:val="32"/>
          <w:szCs w:val="32"/>
          <w:u w:val="single"/>
          <w:lang w:val="en-US" w:eastAsia="zh-CN"/>
        </w:rPr>
      </w:pPr>
      <w:r>
        <w:rPr>
          <w:rFonts w:hint="default" w:ascii="仿宋_GB2312" w:hAnsi="仿宋_GB2312" w:eastAsia="仿宋_GB2312" w:cs="仿宋_GB2312"/>
          <w:sz w:val="32"/>
          <w:szCs w:val="32"/>
          <w:u w:val="none"/>
          <w:lang w:val="en-US" w:eastAsia="zh-CN"/>
        </w:rPr>
        <w:t>（一）承诺单位明确未履行承诺将承担</w:t>
      </w:r>
      <w:r>
        <w:rPr>
          <w:rFonts w:hint="eastAsia" w:ascii="仿宋_GB2312" w:hAnsi="仿宋_GB2312" w:eastAsia="仿宋_GB2312" w:cs="仿宋_GB2312"/>
          <w:sz w:val="32"/>
          <w:szCs w:val="32"/>
          <w:u w:val="none"/>
          <w:lang w:val="en-US" w:eastAsia="zh-CN"/>
        </w:rPr>
        <w:t>的</w:t>
      </w:r>
      <w:r>
        <w:rPr>
          <w:rFonts w:hint="default" w:ascii="仿宋_GB2312" w:hAnsi="仿宋_GB2312" w:eastAsia="仿宋_GB2312" w:cs="仿宋_GB2312"/>
          <w:sz w:val="32"/>
          <w:szCs w:val="32"/>
          <w:u w:val="none"/>
          <w:lang w:val="en-US" w:eastAsia="zh-CN"/>
        </w:rPr>
        <w:t>责任</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 xml:space="preserve">                                                                            </w:t>
      </w:r>
    </w:p>
    <w:p>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（住建部门将把失信行为抄送同级信用主管部门载入信用档案并实施联合惩戒，同时按照《广东省城乡规划条例》第八十条，处建设工程造价百分之五以上百分之十以下的罚款）。</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eastAsia="仿宋_GB2312"/>
          <w:kern w:val="0"/>
          <w:sz w:val="32"/>
          <w:szCs w:val="32"/>
          <w:highlight w:val="none"/>
          <w:lang w:val="en-US" w:eastAsia="zh-CN"/>
        </w:rPr>
      </w:pPr>
      <w:r>
        <w:rPr>
          <w:rFonts w:hint="eastAsia" w:ascii="仿宋_GB2312" w:hAnsi="仿宋_GB2312" w:eastAsia="仿宋_GB2312" w:cs="仿宋_GB2312"/>
          <w:sz w:val="32"/>
          <w:szCs w:val="32"/>
          <w:u w:val="none"/>
          <w:lang w:val="en-US" w:eastAsia="zh-CN"/>
        </w:rPr>
        <w:t>（二）</w:t>
      </w:r>
      <w:r>
        <w:rPr>
          <w:rFonts w:hint="eastAsia" w:eastAsia="仿宋_GB2312"/>
          <w:kern w:val="0"/>
          <w:sz w:val="32"/>
          <w:szCs w:val="32"/>
          <w:highlight w:val="none"/>
          <w:lang w:val="en-US" w:eastAsia="zh-CN"/>
        </w:rPr>
        <w:t>承诺单位对所提交资料和填报内容的真实性、合法性、准确性、完整性负责。</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三）承诺单位同意按按基本级和一星级绿色建筑项目要求对该项目先行开展验收工作，并承诺在项目通过竣工验收后3年内取得相应等级及以上的绿色建筑运行标识（《绿色建筑评价标准》（GB/T50378-2019）中称“绿色建筑标识</w:t>
      </w:r>
      <w:bookmarkStart w:id="0" w:name="_GoBack"/>
      <w:bookmarkEnd w:id="0"/>
      <w:r>
        <w:rPr>
          <w:rFonts w:hint="eastAsia" w:eastAsia="仿宋_GB2312"/>
          <w:kern w:val="0"/>
          <w:sz w:val="32"/>
          <w:szCs w:val="32"/>
          <w:highlight w:val="none"/>
          <w:lang w:val="en-US" w:eastAsia="zh-CN"/>
        </w:rPr>
        <w:t>”）。</w:t>
      </w:r>
    </w:p>
    <w:p>
      <w:pPr>
        <w:ind w:firstLine="640" w:firstLineChars="200"/>
        <w:jc w:val="left"/>
        <w:rPr>
          <w:rFonts w:hint="default"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rPr>
      </w:pPr>
    </w:p>
    <w:p>
      <w:pPr>
        <w:wordWrap w:val="0"/>
        <w:ind w:right="560"/>
        <w:jc w:val="righ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建设单位（代建单位）盖章：</w:t>
      </w:r>
      <w:r>
        <w:rPr>
          <w:rFonts w:hint="eastAsia" w:ascii="仿宋_GB2312" w:hAnsi="仿宋_GB2312" w:eastAsia="仿宋_GB2312" w:cs="仿宋_GB2312"/>
          <w:kern w:val="0"/>
          <w:sz w:val="32"/>
          <w:szCs w:val="32"/>
          <w:lang w:eastAsia="zh-CN"/>
        </w:rPr>
        <w:t>　　　　</w:t>
      </w:r>
    </w:p>
    <w:p>
      <w:pPr>
        <w:wordWrap w:val="0"/>
        <w:ind w:right="560" w:firstLine="4480" w:firstLineChars="1400"/>
        <w:jc w:val="right"/>
        <w:rPr>
          <w:rFonts w:hint="eastAsia" w:ascii="仿宋_GB2312" w:hAnsi="仿宋_GB2312" w:eastAsia="仿宋_GB2312" w:cs="仿宋_GB2312"/>
          <w:kern w:val="0"/>
          <w:sz w:val="32"/>
          <w:szCs w:val="32"/>
        </w:rPr>
      </w:pPr>
    </w:p>
    <w:p>
      <w:pPr>
        <w:wordWrap w:val="0"/>
        <w:ind w:right="560" w:firstLine="4480" w:firstLineChars="1400"/>
        <w:jc w:val="right"/>
        <w:rPr>
          <w:rFonts w:hint="eastAsia" w:ascii="仿宋_GB2312" w:hAnsi="仿宋_GB2312" w:eastAsia="仿宋_GB2312" w:cs="仿宋_GB2312"/>
          <w:kern w:val="0"/>
          <w:sz w:val="32"/>
          <w:szCs w:val="32"/>
        </w:rPr>
      </w:pPr>
    </w:p>
    <w:p>
      <w:pPr>
        <w:wordWrap w:val="0"/>
        <w:ind w:right="560"/>
        <w:jc w:val="righ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项目负责人（签字）：</w:t>
      </w:r>
      <w:r>
        <w:rPr>
          <w:rFonts w:hint="eastAsia" w:ascii="仿宋_GB2312" w:hAnsi="仿宋_GB2312" w:eastAsia="仿宋_GB2312" w:cs="仿宋_GB2312"/>
          <w:kern w:val="0"/>
          <w:sz w:val="32"/>
          <w:szCs w:val="32"/>
          <w:lang w:eastAsia="zh-CN"/>
        </w:rPr>
        <w:t>　　　　</w:t>
      </w:r>
    </w:p>
    <w:p>
      <w:pPr>
        <w:wordWrap w:val="0"/>
        <w:ind w:right="560"/>
        <w:jc w:val="righ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联系电话：</w:t>
      </w:r>
      <w:r>
        <w:rPr>
          <w:rFonts w:hint="eastAsia" w:ascii="仿宋_GB2312" w:hAnsi="仿宋_GB2312" w:eastAsia="仿宋_GB2312" w:cs="仿宋_GB2312"/>
          <w:kern w:val="0"/>
          <w:sz w:val="32"/>
          <w:szCs w:val="32"/>
          <w:lang w:eastAsia="zh-CN"/>
        </w:rPr>
        <w:t>　　　　</w:t>
      </w:r>
    </w:p>
    <w:p>
      <w:pPr>
        <w:wordWrap w:val="0"/>
        <w:ind w:right="560"/>
        <w:jc w:val="righ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日期：</w:t>
      </w:r>
      <w:r>
        <w:rPr>
          <w:rFonts w:hint="eastAsia" w:ascii="仿宋_GB2312" w:hAnsi="仿宋_GB2312" w:eastAsia="仿宋_GB2312" w:cs="仿宋_GB2312"/>
          <w:kern w:val="0"/>
          <w:sz w:val="32"/>
          <w:szCs w:val="32"/>
          <w:lang w:eastAsia="zh-CN"/>
        </w:rPr>
        <w:t>　　　　</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附件1-5</w:t>
      </w:r>
    </w:p>
    <w:p>
      <w:pPr>
        <w:jc w:val="center"/>
        <w:rPr>
          <w:rFonts w:hint="eastAsia" w:eastAsiaTheme="minorEastAsia"/>
          <w:b/>
          <w:bCs/>
          <w:sz w:val="40"/>
          <w:szCs w:val="48"/>
          <w:lang w:val="en-US" w:eastAsia="zh-CN"/>
        </w:rPr>
      </w:pPr>
      <w:r>
        <w:rPr>
          <w:rFonts w:hint="eastAsia" w:eastAsiaTheme="minorEastAsia"/>
          <w:b/>
          <w:bCs/>
          <w:sz w:val="40"/>
          <w:szCs w:val="48"/>
          <w:lang w:val="en-US" w:eastAsia="zh-CN"/>
        </w:rPr>
        <w:t>惠州市_____县（区）</w:t>
      </w:r>
      <w:r>
        <w:rPr>
          <w:rFonts w:hint="eastAsia"/>
          <w:b/>
          <w:bCs/>
          <w:sz w:val="40"/>
          <w:szCs w:val="48"/>
          <w:lang w:val="en-US" w:eastAsia="zh-CN"/>
        </w:rPr>
        <w:t>绿色建筑</w:t>
      </w:r>
      <w:r>
        <w:rPr>
          <w:rFonts w:hint="eastAsia" w:eastAsiaTheme="minorEastAsia"/>
          <w:b/>
          <w:bCs/>
          <w:sz w:val="40"/>
          <w:szCs w:val="48"/>
          <w:lang w:val="en-US" w:eastAsia="zh-CN"/>
        </w:rPr>
        <w:t>专项验收</w:t>
      </w:r>
      <w:r>
        <w:rPr>
          <w:rFonts w:hint="eastAsia"/>
          <w:b/>
          <w:bCs/>
          <w:sz w:val="40"/>
          <w:szCs w:val="48"/>
          <w:lang w:val="en-US" w:eastAsia="zh-CN"/>
        </w:rPr>
        <w:t>报告</w:t>
      </w:r>
    </w:p>
    <w:tbl>
      <w:tblPr>
        <w:tblStyle w:val="3"/>
        <w:tblW w:w="13080" w:type="dxa"/>
        <w:tblInd w:w="0" w:type="dxa"/>
        <w:shd w:val="clear" w:color="auto" w:fill="auto"/>
        <w:tblLayout w:type="fixed"/>
        <w:tblCellMar>
          <w:top w:w="0" w:type="dxa"/>
          <w:left w:w="0" w:type="dxa"/>
          <w:bottom w:w="0" w:type="dxa"/>
          <w:right w:w="0" w:type="dxa"/>
        </w:tblCellMar>
      </w:tblPr>
      <w:tblGrid>
        <w:gridCol w:w="690"/>
        <w:gridCol w:w="462"/>
        <w:gridCol w:w="33"/>
        <w:gridCol w:w="504"/>
        <w:gridCol w:w="488"/>
        <w:gridCol w:w="403"/>
        <w:gridCol w:w="1035"/>
        <w:gridCol w:w="690"/>
        <w:gridCol w:w="123"/>
        <w:gridCol w:w="2112"/>
        <w:gridCol w:w="574"/>
        <w:gridCol w:w="563"/>
        <w:gridCol w:w="558"/>
        <w:gridCol w:w="555"/>
        <w:gridCol w:w="465"/>
        <w:gridCol w:w="123"/>
        <w:gridCol w:w="222"/>
        <w:gridCol w:w="735"/>
        <w:gridCol w:w="435"/>
        <w:gridCol w:w="885"/>
        <w:gridCol w:w="450"/>
        <w:gridCol w:w="975"/>
      </w:tblGrid>
      <w:tr>
        <w:tblPrEx>
          <w:shd w:val="clear" w:color="auto" w:fill="auto"/>
          <w:tblCellMar>
            <w:top w:w="0" w:type="dxa"/>
            <w:left w:w="0" w:type="dxa"/>
            <w:bottom w:w="0" w:type="dxa"/>
            <w:right w:w="0" w:type="dxa"/>
          </w:tblCellMar>
        </w:tblPrEx>
        <w:trPr>
          <w:trHeight w:val="702" w:hRule="atLeast"/>
        </w:trPr>
        <w:tc>
          <w:tcPr>
            <w:tcW w:w="13080" w:type="dxa"/>
            <w:gridSpan w:val="22"/>
            <w:tcBorders>
              <w:top w:val="single" w:color="000000" w:sz="12"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项 目 总 体 情 况</w:t>
            </w:r>
          </w:p>
        </w:tc>
      </w:tr>
      <w:tr>
        <w:tblPrEx>
          <w:tblCellMar>
            <w:top w:w="0" w:type="dxa"/>
            <w:left w:w="0" w:type="dxa"/>
            <w:bottom w:w="0" w:type="dxa"/>
            <w:right w:w="0" w:type="dxa"/>
          </w:tblCellMar>
        </w:tblPrEx>
        <w:trPr>
          <w:trHeight w:val="46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项目名称</w:t>
            </w:r>
          </w:p>
        </w:tc>
        <w:tc>
          <w:tcPr>
            <w:tcW w:w="7638" w:type="dxa"/>
            <w:gridSpan w:val="1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1980"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工程项目开工时间</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20___年___月___日</w:t>
            </w:r>
          </w:p>
        </w:tc>
      </w:tr>
      <w:tr>
        <w:tblPrEx>
          <w:tblCellMar>
            <w:top w:w="0" w:type="dxa"/>
            <w:left w:w="0" w:type="dxa"/>
            <w:bottom w:w="0" w:type="dxa"/>
            <w:right w:w="0" w:type="dxa"/>
          </w:tblCellMar>
        </w:tblPrEx>
        <w:trPr>
          <w:trHeight w:val="462" w:hRule="atLeast"/>
        </w:trPr>
        <w:tc>
          <w:tcPr>
            <w:tcW w:w="1152" w:type="dxa"/>
            <w:gridSpan w:val="2"/>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项目地址</w:t>
            </w:r>
          </w:p>
        </w:tc>
        <w:tc>
          <w:tcPr>
            <w:tcW w:w="7638" w:type="dxa"/>
            <w:gridSpan w:val="1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4"/>
                <w:szCs w:val="14"/>
                <w:u w:val="none"/>
              </w:rPr>
            </w:pPr>
            <w:r>
              <w:rPr>
                <w:rFonts w:hint="default" w:ascii="仿宋_GB2312" w:hAnsi="宋体" w:eastAsia="仿宋_GB2312" w:cs="仿宋_GB2312"/>
                <w:b/>
                <w:i w:val="0"/>
                <w:color w:val="000000"/>
                <w:kern w:val="0"/>
                <w:sz w:val="18"/>
                <w:szCs w:val="18"/>
                <w:u w:val="none"/>
                <w:lang w:val="en-US" w:eastAsia="zh-CN" w:bidi="ar"/>
              </w:rPr>
              <w:t>惠州市</w:t>
            </w:r>
            <w:r>
              <w:rPr>
                <w:rStyle w:val="5"/>
                <w:rFonts w:hAnsi="宋体"/>
                <w:sz w:val="18"/>
                <w:szCs w:val="18"/>
                <w:lang w:val="en-US" w:eastAsia="zh-CN" w:bidi="ar"/>
              </w:rPr>
              <w:t xml:space="preserve">     </w:t>
            </w:r>
            <w:r>
              <w:rPr>
                <w:rStyle w:val="6"/>
                <w:rFonts w:hAnsi="宋体"/>
                <w:sz w:val="18"/>
                <w:szCs w:val="18"/>
                <w:lang w:val="en-US" w:eastAsia="zh-CN" w:bidi="ar"/>
              </w:rPr>
              <w:t>县（区）</w:t>
            </w:r>
            <w:r>
              <w:rPr>
                <w:rStyle w:val="5"/>
                <w:rFonts w:hAnsi="宋体"/>
                <w:sz w:val="18"/>
                <w:szCs w:val="18"/>
                <w:lang w:val="en-US" w:eastAsia="zh-CN" w:bidi="ar"/>
              </w:rPr>
              <w:t xml:space="preserve">      </w:t>
            </w:r>
            <w:r>
              <w:rPr>
                <w:rStyle w:val="6"/>
                <w:rFonts w:hAnsi="宋体"/>
                <w:sz w:val="18"/>
                <w:szCs w:val="18"/>
                <w:lang w:val="en-US" w:eastAsia="zh-CN" w:bidi="ar"/>
              </w:rPr>
              <w:t>街道（镇）</w:t>
            </w:r>
            <w:r>
              <w:rPr>
                <w:rStyle w:val="5"/>
                <w:rFonts w:hAnsi="宋体"/>
                <w:sz w:val="18"/>
                <w:szCs w:val="18"/>
                <w:lang w:val="en-US" w:eastAsia="zh-CN" w:bidi="ar"/>
              </w:rPr>
              <w:t xml:space="preserve">      </w:t>
            </w:r>
            <w:r>
              <w:rPr>
                <w:rStyle w:val="6"/>
                <w:rFonts w:hAnsi="宋体"/>
                <w:sz w:val="18"/>
                <w:szCs w:val="18"/>
                <w:lang w:val="en-US" w:eastAsia="zh-CN" w:bidi="ar"/>
              </w:rPr>
              <w:t>居（村）</w:t>
            </w:r>
            <w:r>
              <w:rPr>
                <w:rStyle w:val="5"/>
                <w:rFonts w:hAnsi="宋体"/>
                <w:sz w:val="18"/>
                <w:szCs w:val="18"/>
                <w:lang w:val="en-US" w:eastAsia="zh-CN" w:bidi="ar"/>
              </w:rPr>
              <w:t xml:space="preserve">                                   .</w:t>
            </w:r>
          </w:p>
        </w:tc>
        <w:tc>
          <w:tcPr>
            <w:tcW w:w="1980"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工程项目主体      验收时间</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20___年___月___日</w:t>
            </w:r>
          </w:p>
        </w:tc>
      </w:tr>
      <w:tr>
        <w:tblPrEx>
          <w:tblCellMar>
            <w:top w:w="0" w:type="dxa"/>
            <w:left w:w="0" w:type="dxa"/>
            <w:bottom w:w="0" w:type="dxa"/>
            <w:right w:w="0" w:type="dxa"/>
          </w:tblCellMar>
        </w:tblPrEx>
        <w:trPr>
          <w:trHeight w:val="462" w:hRule="atLeast"/>
        </w:trPr>
        <w:tc>
          <w:tcPr>
            <w:tcW w:w="1152" w:type="dxa"/>
            <w:gridSpan w:val="2"/>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7638" w:type="dxa"/>
            <w:gridSpan w:val="1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14"/>
                <w:szCs w:val="14"/>
                <w:u w:val="none"/>
              </w:rPr>
            </w:pPr>
          </w:p>
        </w:tc>
        <w:tc>
          <w:tcPr>
            <w:tcW w:w="1980"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0"/>
                <w:szCs w:val="20"/>
                <w:u w:val="none"/>
                <w:lang w:val="en-US" w:eastAsia="zh-CN" w:bidi="ar"/>
              </w:rPr>
            </w:pPr>
            <w:r>
              <w:rPr>
                <w:rFonts w:hint="default" w:ascii="仿宋_GB2312" w:hAnsi="宋体" w:eastAsia="仿宋_GB2312" w:cs="仿宋_GB2312"/>
                <w:b/>
                <w:i w:val="0"/>
                <w:color w:val="000000"/>
                <w:kern w:val="0"/>
                <w:sz w:val="20"/>
                <w:szCs w:val="20"/>
                <w:u w:val="none"/>
                <w:lang w:val="en-US" w:eastAsia="zh-CN" w:bidi="ar"/>
              </w:rPr>
              <w:t>工程项目节</w:t>
            </w:r>
            <w:r>
              <w:rPr>
                <w:rFonts w:hint="eastAsia" w:ascii="仿宋_GB2312" w:hAnsi="宋体" w:eastAsia="仿宋_GB2312" w:cs="仿宋_GB2312"/>
                <w:b/>
                <w:i w:val="0"/>
                <w:color w:val="000000"/>
                <w:kern w:val="0"/>
                <w:sz w:val="20"/>
                <w:szCs w:val="20"/>
                <w:u w:val="none"/>
                <w:lang w:val="en-US" w:eastAsia="zh-CN" w:bidi="ar"/>
              </w:rPr>
              <w:t>绿色建筑</w:t>
            </w:r>
            <w:r>
              <w:rPr>
                <w:rFonts w:hint="default" w:ascii="仿宋_GB2312" w:hAnsi="宋体" w:eastAsia="仿宋_GB2312" w:cs="仿宋_GB2312"/>
                <w:b/>
                <w:i w:val="0"/>
                <w:color w:val="000000"/>
                <w:kern w:val="0"/>
                <w:sz w:val="20"/>
                <w:szCs w:val="20"/>
                <w:u w:val="none"/>
                <w:lang w:val="en-US" w:eastAsia="zh-CN" w:bidi="ar"/>
              </w:rPr>
              <w:t xml:space="preserve">   </w:t>
            </w:r>
          </w:p>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 xml:space="preserve"> 验收时间</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20___年___月___日</w:t>
            </w:r>
          </w:p>
        </w:tc>
      </w:tr>
      <w:tr>
        <w:tblPrEx>
          <w:tblCellMar>
            <w:top w:w="0" w:type="dxa"/>
            <w:left w:w="0" w:type="dxa"/>
            <w:bottom w:w="0" w:type="dxa"/>
            <w:right w:w="0" w:type="dxa"/>
          </w:tblCellMar>
        </w:tblPrEx>
        <w:trPr>
          <w:trHeight w:val="46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建设单位</w:t>
            </w:r>
          </w:p>
        </w:tc>
        <w:tc>
          <w:tcPr>
            <w:tcW w:w="7638" w:type="dxa"/>
            <w:gridSpan w:val="1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r>
      <w:tr>
        <w:tblPrEx>
          <w:tblCellMar>
            <w:top w:w="0" w:type="dxa"/>
            <w:left w:w="0" w:type="dxa"/>
            <w:bottom w:w="0" w:type="dxa"/>
            <w:right w:w="0" w:type="dxa"/>
          </w:tblCellMar>
        </w:tblPrEx>
        <w:trPr>
          <w:trHeight w:val="46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设计单位</w:t>
            </w:r>
          </w:p>
        </w:tc>
        <w:tc>
          <w:tcPr>
            <w:tcW w:w="7638" w:type="dxa"/>
            <w:gridSpan w:val="1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r>
      <w:tr>
        <w:tblPrEx>
          <w:tblCellMar>
            <w:top w:w="0" w:type="dxa"/>
            <w:left w:w="0" w:type="dxa"/>
            <w:bottom w:w="0" w:type="dxa"/>
            <w:right w:w="0" w:type="dxa"/>
          </w:tblCellMar>
        </w:tblPrEx>
        <w:trPr>
          <w:trHeight w:val="46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施工图审查机构</w:t>
            </w:r>
          </w:p>
        </w:tc>
        <w:tc>
          <w:tcPr>
            <w:tcW w:w="7638" w:type="dxa"/>
            <w:gridSpan w:val="1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r>
      <w:tr>
        <w:tblPrEx>
          <w:tblCellMar>
            <w:top w:w="0" w:type="dxa"/>
            <w:left w:w="0" w:type="dxa"/>
            <w:bottom w:w="0" w:type="dxa"/>
            <w:right w:w="0" w:type="dxa"/>
          </w:tblCellMar>
        </w:tblPrEx>
        <w:trPr>
          <w:trHeight w:val="46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施工单位</w:t>
            </w:r>
          </w:p>
        </w:tc>
        <w:tc>
          <w:tcPr>
            <w:tcW w:w="7638" w:type="dxa"/>
            <w:gridSpan w:val="1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r>
      <w:tr>
        <w:tblPrEx>
          <w:tblCellMar>
            <w:top w:w="0" w:type="dxa"/>
            <w:left w:w="0" w:type="dxa"/>
            <w:bottom w:w="0" w:type="dxa"/>
            <w:right w:w="0" w:type="dxa"/>
          </w:tblCellMar>
        </w:tblPrEx>
        <w:trPr>
          <w:trHeight w:val="46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监理单位</w:t>
            </w:r>
          </w:p>
        </w:tc>
        <w:tc>
          <w:tcPr>
            <w:tcW w:w="7638" w:type="dxa"/>
            <w:gridSpan w:val="1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r>
      <w:tr>
        <w:tblPrEx>
          <w:tblCellMar>
            <w:top w:w="0" w:type="dxa"/>
            <w:left w:w="0" w:type="dxa"/>
            <w:bottom w:w="0" w:type="dxa"/>
            <w:right w:w="0" w:type="dxa"/>
          </w:tblCellMar>
        </w:tblPrEx>
        <w:trPr>
          <w:trHeight w:val="46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勘察单位</w:t>
            </w:r>
          </w:p>
        </w:tc>
        <w:tc>
          <w:tcPr>
            <w:tcW w:w="7638" w:type="dxa"/>
            <w:gridSpan w:val="1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20"/>
                <w:szCs w:val="20"/>
                <w:u w:val="none"/>
                <w:lang w:val="en-US" w:eastAsia="zh-CN" w:bidi="ar-SA"/>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kern w:val="2"/>
                <w:sz w:val="20"/>
                <w:szCs w:val="20"/>
                <w:u w:val="none"/>
                <w:lang w:val="en-US" w:eastAsia="zh-CN" w:bidi="ar-SA"/>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20"/>
                <w:szCs w:val="20"/>
                <w:u w:val="none"/>
                <w:lang w:val="en-US" w:eastAsia="zh-CN" w:bidi="ar-SA"/>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46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咨询单位</w:t>
            </w:r>
          </w:p>
        </w:tc>
        <w:tc>
          <w:tcPr>
            <w:tcW w:w="7638" w:type="dxa"/>
            <w:gridSpan w:val="1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0"/>
                <w:szCs w:val="20"/>
                <w:u w:val="none"/>
              </w:rPr>
            </w:pPr>
          </w:p>
        </w:tc>
        <w:tc>
          <w:tcPr>
            <w:tcW w:w="810"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20"/>
                <w:szCs w:val="20"/>
                <w:u w:val="none"/>
                <w:lang w:val="en-US" w:eastAsia="zh-CN" w:bidi="ar-SA"/>
              </w:rPr>
            </w:pPr>
            <w:r>
              <w:rPr>
                <w:rFonts w:hint="default" w:ascii="仿宋_GB2312" w:hAnsi="宋体" w:eastAsia="仿宋_GB2312" w:cs="仿宋_GB2312"/>
                <w:b/>
                <w:i w:val="0"/>
                <w:color w:val="000000"/>
                <w:kern w:val="0"/>
                <w:sz w:val="20"/>
                <w:szCs w:val="20"/>
                <w:u w:val="none"/>
                <w:lang w:val="en-US" w:eastAsia="zh-CN" w:bidi="ar"/>
              </w:rPr>
              <w:t>联系人</w:t>
            </w:r>
          </w:p>
        </w:tc>
        <w:tc>
          <w:tcPr>
            <w:tcW w:w="1170"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kern w:val="2"/>
                <w:sz w:val="20"/>
                <w:szCs w:val="20"/>
                <w:u w:val="none"/>
                <w:lang w:val="en-US" w:eastAsia="zh-CN" w:bidi="ar-SA"/>
              </w:rPr>
            </w:pPr>
          </w:p>
        </w:tc>
        <w:tc>
          <w:tcPr>
            <w:tcW w:w="88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2"/>
                <w:sz w:val="20"/>
                <w:szCs w:val="20"/>
                <w:u w:val="none"/>
                <w:lang w:val="en-US" w:eastAsia="zh-CN" w:bidi="ar-SA"/>
              </w:rPr>
            </w:pPr>
            <w:r>
              <w:rPr>
                <w:rFonts w:hint="default" w:ascii="仿宋_GB2312" w:hAnsi="宋体" w:eastAsia="仿宋_GB2312" w:cs="仿宋_GB2312"/>
                <w:b/>
                <w:i w:val="0"/>
                <w:color w:val="000000"/>
                <w:kern w:val="0"/>
                <w:sz w:val="20"/>
                <w:szCs w:val="20"/>
                <w:u w:val="none"/>
                <w:lang w:val="en-US" w:eastAsia="zh-CN" w:bidi="ar"/>
              </w:rPr>
              <w:t>电话</w:t>
            </w:r>
          </w:p>
        </w:tc>
        <w:tc>
          <w:tcPr>
            <w:tcW w:w="14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3365"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spacing w:line="360" w:lineRule="auto"/>
              <w:rPr>
                <w:rFonts w:hint="eastAsia" w:ascii="仿宋" w:hAnsi="仿宋" w:eastAsia="仿宋" w:cs="仿宋"/>
                <w:sz w:val="24"/>
              </w:rPr>
            </w:pPr>
            <w:r>
              <w:rPr>
                <w:rFonts w:hint="eastAsia" w:ascii="仿宋" w:hAnsi="仿宋" w:eastAsia="仿宋" w:cs="仿宋"/>
                <w:sz w:val="24"/>
              </w:rPr>
              <w:t>绿色建筑建设目标：</w:t>
            </w:r>
            <w:r>
              <w:rPr>
                <w:rFonts w:hint="eastAsia" w:ascii="仿宋" w:hAnsi="仿宋" w:eastAsia="仿宋" w:cs="仿宋"/>
                <w:sz w:val="24"/>
                <w:lang w:val="en-US" w:eastAsia="zh-CN"/>
              </w:rPr>
              <w:t xml:space="preserve">国标   </w:t>
            </w:r>
            <w:r>
              <w:rPr>
                <w:rFonts w:hint="eastAsia" w:ascii="仿宋" w:hAnsi="仿宋" w:eastAsia="仿宋" w:cs="仿宋"/>
                <w:sz w:val="24"/>
              </w:rPr>
              <w:t>□基本级  □一星  □二星  □三星</w:t>
            </w:r>
          </w:p>
          <w:p>
            <w:pPr>
              <w:spacing w:line="360" w:lineRule="auto"/>
              <w:rPr>
                <w:rFonts w:hint="default" w:ascii="仿宋" w:hAnsi="仿宋" w:eastAsia="仿宋" w:cs="仿宋"/>
                <w:sz w:val="24"/>
                <w:lang w:val="en-US" w:eastAsia="zh-CN"/>
              </w:rPr>
            </w:pPr>
            <w:r>
              <w:rPr>
                <w:rFonts w:hint="eastAsia" w:ascii="仿宋" w:hAnsi="仿宋" w:eastAsia="仿宋" w:cs="仿宋"/>
                <w:sz w:val="24"/>
                <w:lang w:val="en-US" w:eastAsia="zh-CN"/>
              </w:rPr>
              <w:t xml:space="preserve">                  省标   </w:t>
            </w:r>
            <w:r>
              <w:rPr>
                <w:rFonts w:hint="eastAsia" w:ascii="仿宋" w:hAnsi="仿宋" w:eastAsia="仿宋" w:cs="仿宋"/>
                <w:sz w:val="24"/>
              </w:rPr>
              <w:t>□基本级  □一星  □二星  □三星</w:t>
            </w:r>
          </w:p>
          <w:p>
            <w:pPr>
              <w:spacing w:line="360" w:lineRule="auto"/>
              <w:rPr>
                <w:rFonts w:hint="eastAsia" w:ascii="仿宋" w:hAnsi="仿宋" w:eastAsia="仿宋" w:cs="仿宋"/>
                <w:sz w:val="24"/>
              </w:rPr>
            </w:pPr>
            <w:r>
              <w:rPr>
                <w:rFonts w:hint="eastAsia" w:ascii="仿宋" w:hAnsi="仿宋" w:eastAsia="仿宋" w:cs="仿宋"/>
                <w:sz w:val="24"/>
              </w:rPr>
              <w:t>建筑</w:t>
            </w:r>
            <w:r>
              <w:rPr>
                <w:rFonts w:hint="eastAsia" w:ascii="仿宋" w:hAnsi="仿宋" w:eastAsia="仿宋" w:cs="仿宋"/>
                <w:sz w:val="24"/>
                <w:lang w:val="en-US" w:eastAsia="zh-CN"/>
              </w:rPr>
              <w:t>类型</w:t>
            </w:r>
            <w:r>
              <w:rPr>
                <w:rFonts w:hint="eastAsia" w:ascii="仿宋" w:hAnsi="仿宋" w:eastAsia="仿宋" w:cs="仿宋"/>
                <w:sz w:val="24"/>
              </w:rPr>
              <w:t>：□居住建筑  □公共建筑  □综合功能建筑</w:t>
            </w:r>
          </w:p>
          <w:p>
            <w:pPr>
              <w:spacing w:line="360" w:lineRule="auto"/>
              <w:rPr>
                <w:rFonts w:hint="default" w:ascii="仿宋" w:hAnsi="仿宋" w:eastAsia="仿宋" w:cs="仿宋"/>
                <w:sz w:val="24"/>
                <w:szCs w:val="24"/>
                <w:u w:val="single"/>
                <w:lang w:val="en-US" w:eastAsia="zh-CN"/>
              </w:rPr>
            </w:pPr>
            <w:r>
              <w:rPr>
                <w:rFonts w:hint="eastAsia" w:ascii="仿宋" w:hAnsi="仿宋" w:eastAsia="仿宋" w:cs="仿宋"/>
                <w:color w:val="000000"/>
                <w:sz w:val="24"/>
                <w:szCs w:val="24"/>
                <w:shd w:val="clear" w:color="auto" w:fill="FFFFFF"/>
              </w:rPr>
              <w:t>结构类型</w:t>
            </w:r>
            <w:r>
              <w:rPr>
                <w:rFonts w:hint="eastAsia" w:ascii="仿宋" w:hAnsi="仿宋" w:eastAsia="仿宋" w:cs="仿宋"/>
                <w:color w:val="000000"/>
                <w:sz w:val="24"/>
                <w:szCs w:val="24"/>
                <w:shd w:val="clear" w:color="auto" w:fill="FFFFFF"/>
                <w:lang w:eastAsia="zh-CN"/>
              </w:rPr>
              <w:t xml:space="preserve">：□框架    □剪力墙   □框架-剪力墙 </w:t>
            </w:r>
            <w:r>
              <w:rPr>
                <w:rFonts w:hint="eastAsia" w:ascii="仿宋" w:hAnsi="仿宋" w:eastAsia="仿宋" w:cs="仿宋"/>
                <w:color w:val="000000"/>
                <w:sz w:val="24"/>
                <w:szCs w:val="24"/>
                <w:shd w:val="clear" w:color="auto" w:fill="FFFFFF"/>
                <w:lang w:val="en-US" w:eastAsia="zh-CN"/>
              </w:rPr>
              <w:t xml:space="preserve">  □钢结构   □砖混   □其他：</w:t>
            </w:r>
            <w:r>
              <w:rPr>
                <w:rFonts w:hint="eastAsia" w:ascii="仿宋" w:hAnsi="仿宋" w:eastAsia="仿宋" w:cs="仿宋"/>
                <w:color w:val="000000"/>
                <w:sz w:val="24"/>
                <w:szCs w:val="24"/>
                <w:u w:val="single"/>
                <w:shd w:val="clear" w:color="auto" w:fill="FFFFFF"/>
                <w:lang w:val="en-US" w:eastAsia="zh-CN"/>
              </w:rPr>
              <w:t xml:space="preserve">         </w:t>
            </w:r>
          </w:p>
          <w:p>
            <w:pPr>
              <w:spacing w:line="360" w:lineRule="auto"/>
              <w:rPr>
                <w:rFonts w:ascii="仿宋" w:hAnsi="仿宋" w:eastAsia="仿宋" w:cs="仿宋"/>
                <w:sz w:val="24"/>
              </w:rPr>
            </w:pPr>
            <w:r>
              <w:rPr>
                <w:rFonts w:hint="eastAsia" w:ascii="仿宋" w:hAnsi="仿宋" w:eastAsia="仿宋" w:cs="仿宋"/>
                <w:sz w:val="24"/>
              </w:rPr>
              <w:t xml:space="preserve">交楼标准：□毛坯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eastAsia="zh-CN"/>
              </w:rPr>
              <w:t>全</w:t>
            </w:r>
            <w:r>
              <w:rPr>
                <w:rFonts w:hint="eastAsia" w:ascii="仿宋" w:hAnsi="仿宋" w:eastAsia="仿宋" w:cs="仿宋"/>
                <w:sz w:val="24"/>
              </w:rPr>
              <w:t>装修</w:t>
            </w:r>
          </w:p>
          <w:p>
            <w:pPr>
              <w:spacing w:line="360" w:lineRule="auto"/>
              <w:rPr>
                <w:rFonts w:ascii="仿宋" w:hAnsi="仿宋" w:eastAsia="仿宋" w:cs="仿宋"/>
                <w:sz w:val="24"/>
              </w:rPr>
            </w:pPr>
            <w:r>
              <w:rPr>
                <w:rFonts w:hint="eastAsia" w:ascii="仿宋" w:hAnsi="仿宋" w:eastAsia="仿宋" w:cs="仿宋"/>
                <w:sz w:val="24"/>
              </w:rPr>
              <w:t>用地面积：</w:t>
            </w:r>
            <w:r>
              <w:rPr>
                <w:rFonts w:hint="eastAsia" w:ascii="仿宋" w:hAnsi="仿宋" w:eastAsia="仿宋" w:cs="仿宋"/>
                <w:sz w:val="24"/>
                <w:u w:val="single"/>
              </w:rPr>
              <w:t xml:space="preserve">          </w:t>
            </w:r>
            <w:r>
              <w:rPr>
                <w:rFonts w:hint="eastAsia" w:ascii="仿宋" w:hAnsi="仿宋" w:eastAsia="仿宋" w:cs="仿宋"/>
                <w:sz w:val="24"/>
              </w:rPr>
              <w:t>㎡</w:t>
            </w:r>
          </w:p>
          <w:p>
            <w:pPr>
              <w:spacing w:line="360" w:lineRule="auto"/>
              <w:rPr>
                <w:rFonts w:hint="default" w:ascii="仿宋" w:hAnsi="仿宋" w:eastAsia="仿宋" w:cs="仿宋"/>
                <w:sz w:val="24"/>
                <w:lang w:val="en-US" w:eastAsia="zh-CN"/>
              </w:rPr>
            </w:pPr>
            <w:r>
              <w:rPr>
                <w:rFonts w:hint="eastAsia" w:ascii="仿宋" w:hAnsi="仿宋" w:eastAsia="仿宋" w:cs="仿宋"/>
                <w:sz w:val="24"/>
              </w:rPr>
              <w:t>建筑面积：地上</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lang w:eastAsia="zh-CN"/>
              </w:rPr>
              <w:t>；</w:t>
            </w:r>
            <w:r>
              <w:rPr>
                <w:rFonts w:hint="eastAsia" w:ascii="仿宋" w:hAnsi="仿宋" w:eastAsia="仿宋" w:cs="仿宋"/>
                <w:sz w:val="24"/>
              </w:rPr>
              <w:t xml:space="preserve"> 地下</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val="en-US" w:eastAsia="zh-CN"/>
              </w:rPr>
              <w:t xml:space="preserve"> ；</w:t>
            </w:r>
            <w:r>
              <w:rPr>
                <w:rFonts w:hint="eastAsia" w:ascii="仿宋" w:hAnsi="仿宋" w:eastAsia="仿宋" w:cs="仿宋"/>
                <w:sz w:val="24"/>
              </w:rPr>
              <w:t>建筑高度：</w:t>
            </w:r>
            <w:r>
              <w:rPr>
                <w:rFonts w:hint="eastAsia" w:ascii="仿宋" w:hAnsi="仿宋" w:eastAsia="仿宋" w:cs="仿宋"/>
                <w:sz w:val="24"/>
                <w:u w:val="single"/>
              </w:rPr>
              <w:t xml:space="preserve">     </w:t>
            </w:r>
            <w:r>
              <w:rPr>
                <w:rFonts w:hint="eastAsia" w:ascii="仿宋" w:hAnsi="仿宋" w:eastAsia="仿宋" w:cs="仿宋"/>
                <w:sz w:val="24"/>
              </w:rPr>
              <w:t xml:space="preserve">m </w:t>
            </w:r>
            <w:r>
              <w:rPr>
                <w:rFonts w:hint="eastAsia" w:ascii="仿宋" w:hAnsi="仿宋" w:eastAsia="仿宋" w:cs="仿宋"/>
                <w:sz w:val="24"/>
                <w:lang w:eastAsia="zh-CN"/>
              </w:rPr>
              <w:t>；</w:t>
            </w:r>
            <w:r>
              <w:rPr>
                <w:rFonts w:hint="eastAsia" w:ascii="仿宋" w:hAnsi="仿宋" w:eastAsia="仿宋" w:cs="仿宋"/>
                <w:sz w:val="24"/>
              </w:rPr>
              <w:t xml:space="preserve"> 层数</w:t>
            </w:r>
            <w:r>
              <w:rPr>
                <w:rFonts w:hint="eastAsia" w:ascii="仿宋" w:hAnsi="仿宋" w:eastAsia="仿宋" w:cs="仿宋"/>
                <w:sz w:val="24"/>
                <w:u w:val="single"/>
              </w:rPr>
              <w:t xml:space="preserve">     </w:t>
            </w:r>
            <w:r>
              <w:rPr>
                <w:rFonts w:hint="eastAsia" w:ascii="仿宋" w:hAnsi="仿宋" w:eastAsia="仿宋" w:cs="仿宋"/>
                <w:sz w:val="24"/>
              </w:rPr>
              <w:t xml:space="preserve">   </w:t>
            </w:r>
          </w:p>
        </w:tc>
      </w:tr>
      <w:tr>
        <w:tblPrEx>
          <w:tblCellMar>
            <w:top w:w="0" w:type="dxa"/>
            <w:left w:w="0" w:type="dxa"/>
            <w:bottom w:w="0" w:type="dxa"/>
            <w:right w:w="0" w:type="dxa"/>
          </w:tblCellMar>
        </w:tblPrEx>
        <w:trPr>
          <w:trHeight w:val="122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 w:hAnsi="仿宋" w:eastAsia="仿宋" w:cs="仿宋"/>
                <w:sz w:val="24"/>
                <w:lang w:val="en-US" w:eastAsia="zh-CN"/>
              </w:rPr>
            </w:pPr>
            <w:r>
              <w:rPr>
                <w:rFonts w:hint="eastAsia" w:ascii="黑体" w:hAnsi="黑体" w:eastAsia="黑体" w:cs="黑体"/>
                <w:sz w:val="24"/>
                <w:lang w:val="en-US" w:eastAsia="zh-CN"/>
              </w:rPr>
              <w:t>项目总评</w:t>
            </w:r>
          </w:p>
        </w:tc>
        <w:tc>
          <w:tcPr>
            <w:tcW w:w="11928" w:type="dxa"/>
            <w:gridSpan w:val="2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 w:hAnsi="仿宋" w:eastAsia="仿宋" w:cs="仿宋"/>
                <w:sz w:val="24"/>
                <w:lang w:val="en-US" w:eastAsia="zh-CN"/>
              </w:rPr>
            </w:pPr>
          </w:p>
        </w:tc>
      </w:tr>
      <w:tr>
        <w:tblPrEx>
          <w:tblCellMar>
            <w:top w:w="0" w:type="dxa"/>
            <w:left w:w="0" w:type="dxa"/>
            <w:bottom w:w="0" w:type="dxa"/>
            <w:right w:w="0" w:type="dxa"/>
          </w:tblCellMar>
        </w:tblPrEx>
        <w:trPr>
          <w:trHeight w:val="752"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 w:hAnsi="仿宋" w:eastAsia="仿宋" w:cs="仿宋"/>
                <w:sz w:val="24"/>
                <w:lang w:val="en-US" w:eastAsia="zh-CN"/>
              </w:rPr>
            </w:pPr>
            <w:r>
              <w:rPr>
                <w:rFonts w:hint="eastAsia" w:ascii="黑体" w:hAnsi="黑体" w:eastAsia="黑体" w:cs="黑体"/>
                <w:b/>
                <w:bCs/>
                <w:sz w:val="28"/>
                <w:szCs w:val="28"/>
              </w:rPr>
              <w:t>地</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基</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基</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础</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与</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结</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构</w:t>
            </w: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控制项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4"/>
                <w:szCs w:val="24"/>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4"/>
                <w:szCs w:val="24"/>
              </w:rPr>
            </w:pP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评分项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4"/>
                <w:szCs w:val="24"/>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4"/>
                <w:szCs w:val="24"/>
              </w:rPr>
            </w:pPr>
          </w:p>
        </w:tc>
      </w:tr>
      <w:tr>
        <w:tblPrEx>
          <w:tblCellMar>
            <w:top w:w="0" w:type="dxa"/>
            <w:left w:w="0" w:type="dxa"/>
            <w:bottom w:w="0" w:type="dxa"/>
            <w:right w:w="0" w:type="dxa"/>
          </w:tblCellMar>
        </w:tblPrEx>
        <w:trPr>
          <w:trHeight w:val="752"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8"/>
                <w:szCs w:val="28"/>
              </w:rPr>
            </w:pPr>
            <w:r>
              <w:rPr>
                <w:rFonts w:hint="eastAsia" w:ascii="黑体" w:hAnsi="黑体" w:eastAsia="黑体" w:cs="黑体"/>
                <w:b/>
                <w:bCs/>
                <w:sz w:val="28"/>
                <w:szCs w:val="28"/>
              </w:rPr>
              <w:t>建</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筑</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装</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饰</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装</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修</w:t>
            </w:r>
          </w:p>
        </w:tc>
      </w:tr>
      <w:tr>
        <w:tblPrEx>
          <w:tblCellMar>
            <w:top w:w="0" w:type="dxa"/>
            <w:left w:w="0" w:type="dxa"/>
            <w:bottom w:w="0" w:type="dxa"/>
            <w:right w:w="0" w:type="dxa"/>
          </w:tblCellMar>
        </w:tblPrEx>
        <w:trPr>
          <w:trHeight w:val="729"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控制项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评分项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52"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8"/>
                <w:szCs w:val="28"/>
              </w:rPr>
            </w:pPr>
            <w:r>
              <w:rPr>
                <w:rFonts w:hint="eastAsia" w:ascii="黑体" w:hAnsi="黑体" w:eastAsia="黑体" w:cs="黑体"/>
                <w:b/>
                <w:bCs/>
                <w:sz w:val="28"/>
                <w:szCs w:val="28"/>
              </w:rPr>
              <w:t>通</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风</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与</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空</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调</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工</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程</w:t>
            </w: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控制项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评分项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52"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8"/>
                <w:szCs w:val="28"/>
              </w:rPr>
            </w:pPr>
            <w:r>
              <w:rPr>
                <w:rFonts w:hint="eastAsia" w:ascii="黑体" w:hAnsi="黑体" w:eastAsia="黑体" w:cs="黑体"/>
                <w:b/>
                <w:bCs/>
                <w:sz w:val="28"/>
                <w:szCs w:val="28"/>
              </w:rPr>
              <w:t>建</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筑</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电</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气</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与</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智</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能</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建</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筑</w:t>
            </w: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控制项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评分项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52"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sz w:val="28"/>
                <w:szCs w:val="28"/>
              </w:rPr>
            </w:pPr>
            <w:r>
              <w:rPr>
                <w:rFonts w:hint="eastAsia" w:ascii="黑体" w:hAnsi="黑体" w:eastAsia="黑体" w:cs="黑体"/>
                <w:b/>
                <w:bCs/>
                <w:sz w:val="28"/>
                <w:szCs w:val="28"/>
              </w:rPr>
              <w:t>室</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内</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rPr>
              <w:t>外</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环</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境</w:t>
            </w: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控制项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5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评分项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02"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黑体" w:hAnsi="宋体" w:eastAsia="黑体" w:cs="黑体"/>
                <w:b/>
                <w:i w:val="0"/>
                <w:color w:val="000000"/>
                <w:kern w:val="0"/>
                <w:sz w:val="28"/>
                <w:szCs w:val="28"/>
                <w:u w:val="none"/>
                <w:lang w:val="en-US" w:eastAsia="zh-CN" w:bidi="ar"/>
              </w:rPr>
            </w:pPr>
            <w:r>
              <w:rPr>
                <w:rFonts w:hint="eastAsia" w:ascii="黑体" w:hAnsi="宋体" w:eastAsia="黑体" w:cs="黑体"/>
                <w:b/>
                <w:i w:val="0"/>
                <w:color w:val="000000"/>
                <w:kern w:val="0"/>
                <w:sz w:val="28"/>
                <w:szCs w:val="28"/>
                <w:u w:val="none"/>
                <w:lang w:val="en-US" w:eastAsia="zh-CN" w:bidi="ar"/>
              </w:rPr>
              <w:t>建 筑 给 水 排 水</w:t>
            </w:r>
          </w:p>
        </w:tc>
      </w:tr>
      <w:tr>
        <w:tblPrEx>
          <w:tblCellMar>
            <w:top w:w="0" w:type="dxa"/>
            <w:left w:w="0" w:type="dxa"/>
            <w:bottom w:w="0" w:type="dxa"/>
            <w:right w:w="0" w:type="dxa"/>
          </w:tblCellMar>
        </w:tblPrEx>
        <w:trPr>
          <w:trHeight w:val="70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控制项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02" w:hRule="atLeast"/>
        </w:trPr>
        <w:tc>
          <w:tcPr>
            <w:tcW w:w="1152"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评分项</w:t>
            </w:r>
          </w:p>
        </w:tc>
        <w:tc>
          <w:tcPr>
            <w:tcW w:w="1025" w:type="dxa"/>
            <w:gridSpan w:val="3"/>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设计情况</w:t>
            </w:r>
          </w:p>
        </w:tc>
        <w:tc>
          <w:tcPr>
            <w:tcW w:w="4363" w:type="dxa"/>
            <w:gridSpan w:val="5"/>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c>
          <w:tcPr>
            <w:tcW w:w="1137" w:type="dxa"/>
            <w:gridSpan w:val="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验收情况</w:t>
            </w:r>
          </w:p>
        </w:tc>
        <w:tc>
          <w:tcPr>
            <w:tcW w:w="5403" w:type="dxa"/>
            <w:gridSpan w:val="10"/>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黑体" w:eastAsia="黑体" w:cs="黑体"/>
                <w:kern w:val="2"/>
                <w:sz w:val="24"/>
                <w:szCs w:val="24"/>
                <w:lang w:val="en-US" w:eastAsia="zh-CN" w:bidi="ar-SA"/>
              </w:rPr>
            </w:pPr>
          </w:p>
        </w:tc>
      </w:tr>
      <w:tr>
        <w:tblPrEx>
          <w:tblCellMar>
            <w:top w:w="0" w:type="dxa"/>
            <w:left w:w="0" w:type="dxa"/>
            <w:bottom w:w="0" w:type="dxa"/>
            <w:right w:w="0" w:type="dxa"/>
          </w:tblCellMar>
        </w:tblPrEx>
        <w:trPr>
          <w:trHeight w:val="702"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围 护 结 构 建 筑 热 工 设 计 与 验 收 情 况</w:t>
            </w:r>
          </w:p>
        </w:tc>
      </w:tr>
      <w:tr>
        <w:tblPrEx>
          <w:tblCellMar>
            <w:top w:w="0" w:type="dxa"/>
            <w:left w:w="0" w:type="dxa"/>
            <w:bottom w:w="0" w:type="dxa"/>
            <w:right w:w="0" w:type="dxa"/>
          </w:tblCellMar>
        </w:tblPrEx>
        <w:trPr>
          <w:trHeight w:val="462" w:hRule="atLeast"/>
        </w:trPr>
        <w:tc>
          <w:tcPr>
            <w:tcW w:w="11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eastAsia"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(包括非透明幕墙)</w:t>
            </w:r>
            <w:r>
              <w:rPr>
                <w:rStyle w:val="8"/>
                <w:lang w:val="en-US" w:eastAsia="zh-CN" w:bidi="ar"/>
              </w:rPr>
              <w:br w:type="textWrapping"/>
            </w:r>
            <w:r>
              <w:rPr>
                <w:rStyle w:val="8"/>
                <w:lang w:val="en-US" w:eastAsia="zh-CN" w:bidi="ar"/>
              </w:rPr>
              <w:t>外墙</w:t>
            </w:r>
          </w:p>
        </w:tc>
        <w:tc>
          <w:tcPr>
            <w:tcW w:w="504"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设计情况</w:t>
            </w:r>
          </w:p>
        </w:tc>
        <w:tc>
          <w:tcPr>
            <w:tcW w:w="4851" w:type="dxa"/>
            <w:gridSpan w:val="6"/>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材料类型、品种、厚度</w:t>
            </w:r>
          </w:p>
        </w:tc>
        <w:tc>
          <w:tcPr>
            <w:tcW w:w="574" w:type="dxa"/>
            <w:vMerge w:val="restart"/>
            <w:tcBorders>
              <w:top w:val="single" w:color="000000" w:sz="8" w:space="0"/>
              <w:left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验收情况</w:t>
            </w:r>
          </w:p>
        </w:tc>
        <w:tc>
          <w:tcPr>
            <w:tcW w:w="4991" w:type="dxa"/>
            <w:gridSpan w:val="10"/>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材料类型、品种、厚度</w:t>
            </w:r>
          </w:p>
        </w:tc>
        <w:tc>
          <w:tcPr>
            <w:tcW w:w="97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使用比例</w:t>
            </w: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8"/>
                <w:szCs w:val="18"/>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488"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填充墙</w:t>
            </w:r>
          </w:p>
        </w:tc>
        <w:tc>
          <w:tcPr>
            <w:tcW w:w="4363"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left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63"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填充墙</w:t>
            </w:r>
          </w:p>
        </w:tc>
        <w:tc>
          <w:tcPr>
            <w:tcW w:w="4428" w:type="dxa"/>
            <w:gridSpan w:val="9"/>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21"/>
                <w:szCs w:val="21"/>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single"/>
              </w:rPr>
            </w:pPr>
            <w:r>
              <w:rPr>
                <w:rFonts w:hint="default" w:ascii="仿宋_GB2312" w:hAnsi="宋体" w:eastAsia="仿宋_GB2312" w:cs="仿宋_GB2312"/>
                <w:b/>
                <w:i w:val="0"/>
                <w:color w:val="000000"/>
                <w:kern w:val="0"/>
                <w:sz w:val="21"/>
                <w:szCs w:val="21"/>
                <w:u w:val="single"/>
                <w:lang w:val="en-US" w:eastAsia="zh-CN" w:bidi="ar"/>
              </w:rPr>
              <w:t xml:space="preserve">    </w:t>
            </w:r>
            <w:r>
              <w:rPr>
                <w:rStyle w:val="9"/>
                <w:rFonts w:hAnsi="宋体"/>
                <w:sz w:val="21"/>
                <w:szCs w:val="21"/>
                <w:u w:val="single"/>
                <w:lang w:val="en-US" w:eastAsia="zh-CN" w:bidi="ar"/>
              </w:rPr>
              <w:t>%</w:t>
            </w: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8"/>
                <w:szCs w:val="18"/>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4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18"/>
                <w:szCs w:val="18"/>
                <w:u w:val="none"/>
              </w:rPr>
            </w:pPr>
          </w:p>
        </w:tc>
        <w:tc>
          <w:tcPr>
            <w:tcW w:w="4363"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left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63"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18"/>
                <w:szCs w:val="18"/>
                <w:u w:val="none"/>
              </w:rPr>
            </w:pPr>
          </w:p>
        </w:tc>
        <w:tc>
          <w:tcPr>
            <w:tcW w:w="4428" w:type="dxa"/>
            <w:gridSpan w:val="9"/>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21"/>
                <w:szCs w:val="21"/>
                <w:u w:val="none"/>
              </w:rPr>
            </w:pPr>
          </w:p>
        </w:tc>
        <w:tc>
          <w:tcPr>
            <w:tcW w:w="97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single"/>
              </w:rPr>
            </w:pPr>
            <w:r>
              <w:rPr>
                <w:rFonts w:hint="default" w:ascii="仿宋_GB2312" w:hAnsi="宋体" w:eastAsia="仿宋_GB2312" w:cs="仿宋_GB2312"/>
                <w:b/>
                <w:i w:val="0"/>
                <w:color w:val="000000"/>
                <w:kern w:val="0"/>
                <w:sz w:val="21"/>
                <w:szCs w:val="21"/>
                <w:u w:val="single"/>
                <w:lang w:val="en-US" w:eastAsia="zh-CN" w:bidi="ar"/>
              </w:rPr>
              <w:t xml:space="preserve">    </w:t>
            </w:r>
            <w:r>
              <w:rPr>
                <w:rStyle w:val="9"/>
                <w:rFonts w:hAnsi="宋体"/>
                <w:sz w:val="21"/>
                <w:szCs w:val="21"/>
                <w:u w:val="single"/>
                <w:lang w:val="en-US" w:eastAsia="zh-CN" w:bidi="ar"/>
              </w:rPr>
              <w:t>%</w:t>
            </w: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8"/>
                <w:szCs w:val="18"/>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488"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隔热层</w:t>
            </w:r>
          </w:p>
        </w:tc>
        <w:tc>
          <w:tcPr>
            <w:tcW w:w="4363"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left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63"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隔热层</w:t>
            </w:r>
          </w:p>
        </w:tc>
        <w:tc>
          <w:tcPr>
            <w:tcW w:w="4428" w:type="dxa"/>
            <w:gridSpan w:val="9"/>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bdr w:val="single" w:color="000000" w:sz="8" w:space="0"/>
                <w:lang w:val="en-US" w:eastAsia="zh-CN" w:bidi="ar"/>
              </w:rPr>
              <w:drawing>
                <wp:anchor distT="0" distB="0" distL="114300" distR="114300" simplePos="0" relativeHeight="251660288" behindDoc="0" locked="0" layoutInCell="1" allowOverlap="1">
                  <wp:simplePos x="0" y="0"/>
                  <wp:positionH relativeFrom="column">
                    <wp:posOffset>2867025</wp:posOffset>
                  </wp:positionH>
                  <wp:positionV relativeFrom="paragraph">
                    <wp:posOffset>0</wp:posOffset>
                  </wp:positionV>
                  <wp:extent cx="628650" cy="293370"/>
                  <wp:effectExtent l="0" t="0" r="0" b="11430"/>
                  <wp:wrapNone/>
                  <wp:docPr id="1" name="Line_1"/>
                  <wp:cNvGraphicFramePr/>
                  <a:graphic xmlns:a="http://schemas.openxmlformats.org/drawingml/2006/main">
                    <a:graphicData uri="http://schemas.openxmlformats.org/drawingml/2006/picture">
                      <pic:pic xmlns:pic="http://schemas.openxmlformats.org/drawingml/2006/picture">
                        <pic:nvPicPr>
                          <pic:cNvPr id="1" name="Line_1"/>
                          <pic:cNvPicPr/>
                        </pic:nvPicPr>
                        <pic:blipFill>
                          <a:blip r:embed="rId4"/>
                          <a:stretch>
                            <a:fillRect/>
                          </a:stretch>
                        </pic:blipFill>
                        <pic:spPr>
                          <a:xfrm>
                            <a:off x="0" y="0"/>
                            <a:ext cx="628650" cy="293370"/>
                          </a:xfrm>
                          <a:prstGeom prst="rect">
                            <a:avLst/>
                          </a:prstGeom>
                          <a:noFill/>
                          <a:ln>
                            <a:noFill/>
                          </a:ln>
                        </pic:spPr>
                      </pic:pic>
                    </a:graphicData>
                  </a:graphic>
                </wp:anchor>
              </w:drawing>
            </w:r>
          </w:p>
        </w:tc>
        <w:tc>
          <w:tcPr>
            <w:tcW w:w="97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8"/>
                <w:szCs w:val="18"/>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4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18"/>
                <w:szCs w:val="18"/>
                <w:u w:val="none"/>
              </w:rPr>
            </w:pPr>
          </w:p>
        </w:tc>
        <w:tc>
          <w:tcPr>
            <w:tcW w:w="4363"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63"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default" w:ascii="仿宋_GB2312" w:hAnsi="宋体" w:eastAsia="仿宋_GB2312" w:cs="仿宋_GB2312"/>
                <w:b/>
                <w:i w:val="0"/>
                <w:color w:val="000000"/>
                <w:sz w:val="18"/>
                <w:szCs w:val="18"/>
                <w:u w:val="none"/>
              </w:rPr>
            </w:pPr>
          </w:p>
        </w:tc>
        <w:tc>
          <w:tcPr>
            <w:tcW w:w="4428" w:type="dxa"/>
            <w:gridSpan w:val="9"/>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bdr w:val="single" w:color="000000" w:sz="8" w:space="0"/>
                <w:lang w:val="en-US" w:eastAsia="zh-CN" w:bidi="ar"/>
              </w:rPr>
              <w:drawing>
                <wp:anchor distT="0" distB="0" distL="114300" distR="114300" simplePos="0" relativeHeight="251660288" behindDoc="0" locked="0" layoutInCell="1" allowOverlap="1">
                  <wp:simplePos x="0" y="0"/>
                  <wp:positionH relativeFrom="column">
                    <wp:posOffset>2795905</wp:posOffset>
                  </wp:positionH>
                  <wp:positionV relativeFrom="paragraph">
                    <wp:posOffset>-5080</wp:posOffset>
                  </wp:positionV>
                  <wp:extent cx="597535" cy="314325"/>
                  <wp:effectExtent l="0" t="0" r="12065" b="9525"/>
                  <wp:wrapNone/>
                  <wp:docPr id="2" name="Line_2"/>
                  <wp:cNvGraphicFramePr/>
                  <a:graphic xmlns:a="http://schemas.openxmlformats.org/drawingml/2006/main">
                    <a:graphicData uri="http://schemas.openxmlformats.org/drawingml/2006/picture">
                      <pic:pic xmlns:pic="http://schemas.openxmlformats.org/drawingml/2006/picture">
                        <pic:nvPicPr>
                          <pic:cNvPr id="2" name="Line_2"/>
                          <pic:cNvPicPr/>
                        </pic:nvPicPr>
                        <pic:blipFill>
                          <a:blip r:embed="rId4"/>
                          <a:stretch>
                            <a:fillRect/>
                          </a:stretch>
                        </pic:blipFill>
                        <pic:spPr>
                          <a:xfrm>
                            <a:off x="0" y="0"/>
                            <a:ext cx="597535" cy="314325"/>
                          </a:xfrm>
                          <a:prstGeom prst="rect">
                            <a:avLst/>
                          </a:prstGeom>
                          <a:noFill/>
                          <a:ln>
                            <a:noFill/>
                          </a:ln>
                        </pic:spPr>
                      </pic:pic>
                    </a:graphicData>
                  </a:graphic>
                </wp:anchor>
              </w:drawing>
            </w:r>
          </w:p>
        </w:tc>
        <w:tc>
          <w:tcPr>
            <w:tcW w:w="975"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462" w:hRule="atLeast"/>
        </w:trPr>
        <w:tc>
          <w:tcPr>
            <w:tcW w:w="11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eastAsia" w:ascii="黑体" w:hAnsi="宋体" w:eastAsia="黑体" w:cs="黑体"/>
                <w:b/>
                <w:i w:val="0"/>
                <w:color w:val="000000"/>
                <w:sz w:val="12"/>
                <w:szCs w:val="12"/>
                <w:u w:val="none"/>
              </w:rPr>
            </w:pPr>
            <w:r>
              <w:rPr>
                <w:rFonts w:hint="eastAsia" w:ascii="黑体" w:hAnsi="宋体" w:eastAsia="黑体" w:cs="黑体"/>
                <w:b/>
                <w:i w:val="0"/>
                <w:color w:val="000000"/>
                <w:kern w:val="0"/>
                <w:sz w:val="12"/>
                <w:szCs w:val="12"/>
                <w:u w:val="none"/>
                <w:lang w:val="en-US" w:eastAsia="zh-CN" w:bidi="ar"/>
              </w:rPr>
              <w:t>(包括透明幕墙)</w:t>
            </w:r>
            <w:r>
              <w:rPr>
                <w:rStyle w:val="10"/>
                <w:lang w:val="en-US" w:eastAsia="zh-CN" w:bidi="ar"/>
              </w:rPr>
              <w:br w:type="textWrapping"/>
            </w:r>
            <w:r>
              <w:rPr>
                <w:rStyle w:val="8"/>
                <w:lang w:val="en-US" w:eastAsia="zh-CN" w:bidi="ar"/>
              </w:rPr>
              <w:t>外窗</w:t>
            </w:r>
          </w:p>
        </w:tc>
        <w:tc>
          <w:tcPr>
            <w:tcW w:w="504"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设计情况</w:t>
            </w:r>
          </w:p>
        </w:tc>
        <w:tc>
          <w:tcPr>
            <w:tcW w:w="1926"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外窗框型材</w:t>
            </w:r>
          </w:p>
        </w:tc>
        <w:tc>
          <w:tcPr>
            <w:tcW w:w="2925"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玻璃品种、厚度、规格</w:t>
            </w:r>
          </w:p>
        </w:tc>
        <w:tc>
          <w:tcPr>
            <w:tcW w:w="574"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验收情况</w:t>
            </w:r>
          </w:p>
        </w:tc>
        <w:tc>
          <w:tcPr>
            <w:tcW w:w="2141" w:type="dxa"/>
            <w:gridSpan w:val="4"/>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外窗框型材</w:t>
            </w:r>
          </w:p>
        </w:tc>
        <w:tc>
          <w:tcPr>
            <w:tcW w:w="3825" w:type="dxa"/>
            <w:gridSpan w:val="7"/>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玻璃品种、厚度、规格</w:t>
            </w: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2"/>
                <w:szCs w:val="12"/>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926"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2925"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2141" w:type="dxa"/>
            <w:gridSpan w:val="4"/>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3825" w:type="dxa"/>
            <w:gridSpan w:val="7"/>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2"/>
                <w:szCs w:val="12"/>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926"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遮阳措施</w:t>
            </w:r>
          </w:p>
        </w:tc>
        <w:tc>
          <w:tcPr>
            <w:tcW w:w="2925"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2141" w:type="dxa"/>
            <w:gridSpan w:val="4"/>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遮阳措施</w:t>
            </w:r>
          </w:p>
        </w:tc>
        <w:tc>
          <w:tcPr>
            <w:tcW w:w="3825" w:type="dxa"/>
            <w:gridSpan w:val="7"/>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462" w:hRule="atLeast"/>
        </w:trPr>
        <w:tc>
          <w:tcPr>
            <w:tcW w:w="11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屋面</w:t>
            </w:r>
          </w:p>
        </w:tc>
        <w:tc>
          <w:tcPr>
            <w:tcW w:w="504"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设计情况</w:t>
            </w:r>
          </w:p>
        </w:tc>
        <w:tc>
          <w:tcPr>
            <w:tcW w:w="89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非透明屋面主要隔热材料</w:t>
            </w:r>
          </w:p>
        </w:tc>
        <w:tc>
          <w:tcPr>
            <w:tcW w:w="1035"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 正置式</w:t>
            </w:r>
            <w:r>
              <w:rPr>
                <w:rFonts w:hint="eastAsia" w:ascii="仿宋" w:hAnsi="仿宋" w:eastAsia="仿宋" w:cs="仿宋"/>
                <w:b/>
                <w:i w:val="0"/>
                <w:color w:val="000000"/>
                <w:kern w:val="0"/>
                <w:sz w:val="21"/>
                <w:szCs w:val="21"/>
                <w:u w:val="none"/>
                <w:lang w:val="en-US" w:eastAsia="zh-CN" w:bidi="ar"/>
              </w:rPr>
              <w:br w:type="textWrapping"/>
            </w:r>
            <w:r>
              <w:rPr>
                <w:rFonts w:hint="eastAsia" w:ascii="仿宋" w:hAnsi="仿宋" w:eastAsia="仿宋" w:cs="仿宋"/>
                <w:b/>
                <w:i w:val="0"/>
                <w:color w:val="000000"/>
                <w:kern w:val="0"/>
                <w:sz w:val="21"/>
                <w:szCs w:val="21"/>
                <w:u w:val="none"/>
                <w:lang w:val="en-US" w:eastAsia="zh-CN" w:bidi="ar"/>
              </w:rPr>
              <w:br w:type="textWrapping"/>
            </w:r>
            <w:r>
              <w:rPr>
                <w:rFonts w:hint="eastAsia" w:ascii="仿宋" w:hAnsi="仿宋" w:eastAsia="仿宋" w:cs="仿宋"/>
                <w:b/>
                <w:i w:val="0"/>
                <w:color w:val="000000"/>
                <w:kern w:val="0"/>
                <w:sz w:val="21"/>
                <w:szCs w:val="21"/>
                <w:u w:val="none"/>
                <w:lang w:val="en-US" w:eastAsia="zh-CN" w:bidi="ar"/>
              </w:rPr>
              <w:t>□ 倒置式</w:t>
            </w:r>
          </w:p>
        </w:tc>
        <w:tc>
          <w:tcPr>
            <w:tcW w:w="2925"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隔热层材料品种、厚度</w:t>
            </w:r>
          </w:p>
        </w:tc>
        <w:tc>
          <w:tcPr>
            <w:tcW w:w="574"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验收情况</w:t>
            </w:r>
          </w:p>
        </w:tc>
        <w:tc>
          <w:tcPr>
            <w:tcW w:w="112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非透明屋面主要隔热材料</w:t>
            </w:r>
          </w:p>
        </w:tc>
        <w:tc>
          <w:tcPr>
            <w:tcW w:w="102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 正置式</w:t>
            </w:r>
            <w:r>
              <w:rPr>
                <w:rFonts w:hint="eastAsia" w:ascii="仿宋" w:hAnsi="仿宋" w:eastAsia="仿宋" w:cs="仿宋"/>
                <w:b/>
                <w:i w:val="0"/>
                <w:color w:val="000000"/>
                <w:kern w:val="0"/>
                <w:sz w:val="21"/>
                <w:szCs w:val="21"/>
                <w:u w:val="none"/>
                <w:lang w:val="en-US" w:eastAsia="zh-CN" w:bidi="ar"/>
              </w:rPr>
              <w:br w:type="textWrapping"/>
            </w:r>
            <w:r>
              <w:rPr>
                <w:rFonts w:hint="eastAsia" w:ascii="仿宋" w:hAnsi="仿宋" w:eastAsia="仿宋" w:cs="仿宋"/>
                <w:b/>
                <w:i w:val="0"/>
                <w:color w:val="000000"/>
                <w:kern w:val="0"/>
                <w:sz w:val="21"/>
                <w:szCs w:val="21"/>
                <w:u w:val="none"/>
                <w:lang w:val="en-US" w:eastAsia="zh-CN" w:bidi="ar"/>
              </w:rPr>
              <w:br w:type="textWrapping"/>
            </w:r>
            <w:r>
              <w:rPr>
                <w:rFonts w:hint="eastAsia" w:ascii="仿宋" w:hAnsi="仿宋" w:eastAsia="仿宋" w:cs="仿宋"/>
                <w:b/>
                <w:i w:val="0"/>
                <w:color w:val="000000"/>
                <w:kern w:val="0"/>
                <w:sz w:val="21"/>
                <w:szCs w:val="21"/>
                <w:u w:val="none"/>
                <w:lang w:val="en-US" w:eastAsia="zh-CN" w:bidi="ar"/>
              </w:rPr>
              <w:t>□ 倒置式</w:t>
            </w:r>
          </w:p>
        </w:tc>
        <w:tc>
          <w:tcPr>
            <w:tcW w:w="3825" w:type="dxa"/>
            <w:gridSpan w:val="7"/>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隔热层材料品种、厚度</w:t>
            </w: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22"/>
                <w:szCs w:val="22"/>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89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2925"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12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02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3825" w:type="dxa"/>
            <w:gridSpan w:val="7"/>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22"/>
                <w:szCs w:val="22"/>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89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2925"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12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02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3825" w:type="dxa"/>
            <w:gridSpan w:val="7"/>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22"/>
                <w:szCs w:val="22"/>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89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0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2925" w:type="dxa"/>
            <w:gridSpan w:val="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12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02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仿宋" w:hAnsi="仿宋" w:eastAsia="仿宋" w:cs="仿宋"/>
                <w:b/>
                <w:i w:val="0"/>
                <w:color w:val="000000"/>
                <w:sz w:val="21"/>
                <w:szCs w:val="21"/>
                <w:u w:val="none"/>
              </w:rPr>
            </w:pPr>
          </w:p>
        </w:tc>
        <w:tc>
          <w:tcPr>
            <w:tcW w:w="3825" w:type="dxa"/>
            <w:gridSpan w:val="7"/>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22"/>
                <w:szCs w:val="22"/>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89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天窗</w:t>
            </w:r>
          </w:p>
        </w:tc>
        <w:tc>
          <w:tcPr>
            <w:tcW w:w="17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窗框型材</w:t>
            </w:r>
          </w:p>
        </w:tc>
        <w:tc>
          <w:tcPr>
            <w:tcW w:w="223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玻璃品种、规格</w:t>
            </w:r>
          </w:p>
        </w:tc>
        <w:tc>
          <w:tcPr>
            <w:tcW w:w="5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12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天窗</w:t>
            </w:r>
          </w:p>
        </w:tc>
        <w:tc>
          <w:tcPr>
            <w:tcW w:w="2100"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窗框型材</w:t>
            </w:r>
          </w:p>
        </w:tc>
        <w:tc>
          <w:tcPr>
            <w:tcW w:w="2745" w:type="dxa"/>
            <w:gridSpan w:val="4"/>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玻璃品种、规格</w:t>
            </w:r>
          </w:p>
        </w:tc>
      </w:tr>
      <w:tr>
        <w:tblPrEx>
          <w:tblCellMar>
            <w:top w:w="0" w:type="dxa"/>
            <w:left w:w="0" w:type="dxa"/>
            <w:bottom w:w="0" w:type="dxa"/>
            <w:right w:w="0" w:type="dxa"/>
          </w:tblCellMar>
        </w:tblPrEx>
        <w:trPr>
          <w:trHeight w:val="46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22"/>
                <w:szCs w:val="22"/>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89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72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2235" w:type="dxa"/>
            <w:gridSpan w:val="2"/>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57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112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2100" w:type="dxa"/>
            <w:gridSpan w:val="5"/>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c>
          <w:tcPr>
            <w:tcW w:w="2745" w:type="dxa"/>
            <w:gridSpan w:val="4"/>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702"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可 再 生 能 源 利 用 情 况</w:t>
            </w:r>
          </w:p>
        </w:tc>
      </w:tr>
      <w:tr>
        <w:tblPrEx>
          <w:tblCellMar>
            <w:top w:w="0" w:type="dxa"/>
            <w:left w:w="0" w:type="dxa"/>
            <w:bottom w:w="0" w:type="dxa"/>
            <w:right w:w="0" w:type="dxa"/>
          </w:tblCellMar>
        </w:tblPrEx>
        <w:trPr>
          <w:trHeight w:val="439" w:hRule="atLeast"/>
        </w:trPr>
        <w:tc>
          <w:tcPr>
            <w:tcW w:w="690" w:type="dxa"/>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设计是否使用可再生能源</w:t>
            </w:r>
          </w:p>
        </w:tc>
        <w:tc>
          <w:tcPr>
            <w:tcW w:w="49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□是</w:t>
            </w:r>
          </w:p>
        </w:tc>
        <w:tc>
          <w:tcPr>
            <w:tcW w:w="504"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hint="eastAsia" w:ascii="黑体" w:hAnsi="宋体" w:eastAsia="黑体" w:cs="黑体"/>
                <w:b/>
                <w:i w:val="0"/>
                <w:color w:val="000000"/>
                <w:sz w:val="16"/>
                <w:szCs w:val="16"/>
                <w:u w:val="none"/>
              </w:rPr>
            </w:pPr>
            <w:r>
              <w:rPr>
                <w:rFonts w:hint="eastAsia" w:ascii="黑体" w:hAnsi="宋体" w:eastAsia="黑体" w:cs="黑体"/>
                <w:b/>
                <w:i w:val="0"/>
                <w:color w:val="000000"/>
                <w:kern w:val="0"/>
                <w:sz w:val="16"/>
                <w:szCs w:val="16"/>
                <w:u w:val="none"/>
                <w:lang w:val="en-US" w:eastAsia="zh-CN" w:bidi="ar"/>
              </w:rPr>
              <w:t>实际是否使用可再生能源</w:t>
            </w:r>
          </w:p>
        </w:tc>
        <w:tc>
          <w:tcPr>
            <w:tcW w:w="89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□是</w:t>
            </w:r>
          </w:p>
        </w:tc>
        <w:tc>
          <w:tcPr>
            <w:tcW w:w="1848"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项目类型</w:t>
            </w:r>
          </w:p>
        </w:tc>
        <w:tc>
          <w:tcPr>
            <w:tcW w:w="8652" w:type="dxa"/>
            <w:gridSpan w:val="13"/>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□太阳能光热应用   □太阳能光电应用   □地源热泵  □其他：</w:t>
            </w:r>
            <w:r>
              <w:rPr>
                <w:rStyle w:val="11"/>
                <w:rFonts w:hAnsi="宋体"/>
                <w:lang w:val="en-US" w:eastAsia="zh-CN" w:bidi="ar"/>
              </w:rPr>
              <w:t xml:space="preserve">                  .</w:t>
            </w:r>
          </w:p>
        </w:tc>
      </w:tr>
      <w:tr>
        <w:tblPrEx>
          <w:tblCellMar>
            <w:top w:w="0" w:type="dxa"/>
            <w:left w:w="0" w:type="dxa"/>
            <w:bottom w:w="0" w:type="dxa"/>
            <w:right w:w="0" w:type="dxa"/>
          </w:tblCellMar>
        </w:tblPrEx>
        <w:trPr>
          <w:trHeight w:val="510" w:hRule="atLeast"/>
        </w:trPr>
        <w:tc>
          <w:tcPr>
            <w:tcW w:w="690" w:type="dxa"/>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6"/>
                <w:szCs w:val="16"/>
                <w:u w:val="none"/>
              </w:rPr>
            </w:pPr>
          </w:p>
        </w:tc>
        <w:tc>
          <w:tcPr>
            <w:tcW w:w="49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18"/>
                <w:szCs w:val="18"/>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6"/>
                <w:szCs w:val="16"/>
                <w:u w:val="none"/>
              </w:rPr>
            </w:pPr>
          </w:p>
        </w:tc>
        <w:tc>
          <w:tcPr>
            <w:tcW w:w="89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18"/>
                <w:szCs w:val="18"/>
                <w:u w:val="none"/>
              </w:rPr>
            </w:pPr>
          </w:p>
        </w:tc>
        <w:tc>
          <w:tcPr>
            <w:tcW w:w="1848"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应用面积</w:t>
            </w:r>
          </w:p>
        </w:tc>
        <w:tc>
          <w:tcPr>
            <w:tcW w:w="2686"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single"/>
              </w:rPr>
            </w:pPr>
            <w:r>
              <w:rPr>
                <w:rFonts w:hint="default" w:ascii="仿宋_GB2312" w:hAnsi="宋体" w:eastAsia="仿宋_GB2312" w:cs="仿宋_GB2312"/>
                <w:b/>
                <w:i w:val="0"/>
                <w:color w:val="000000"/>
                <w:kern w:val="0"/>
                <w:sz w:val="20"/>
                <w:szCs w:val="20"/>
                <w:u w:val="single"/>
                <w:lang w:val="en-US" w:eastAsia="zh-CN" w:bidi="ar"/>
              </w:rPr>
              <w:t xml:space="preserve">              </w:t>
            </w:r>
            <w:r>
              <w:rPr>
                <w:rStyle w:val="9"/>
                <w:rFonts w:hAnsi="宋体"/>
                <w:u w:val="single"/>
                <w:lang w:val="en-US" w:eastAsia="zh-CN" w:bidi="ar"/>
              </w:rPr>
              <w:t>㎡</w:t>
            </w:r>
          </w:p>
        </w:tc>
        <w:tc>
          <w:tcPr>
            <w:tcW w:w="2264"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项目规模</w:t>
            </w:r>
          </w:p>
        </w:tc>
        <w:tc>
          <w:tcPr>
            <w:tcW w:w="3702" w:type="dxa"/>
            <w:gridSpan w:val="6"/>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single"/>
              </w:rPr>
            </w:pPr>
            <w:r>
              <w:rPr>
                <w:rFonts w:hint="default" w:ascii="仿宋_GB2312" w:hAnsi="宋体" w:eastAsia="仿宋_GB2312" w:cs="仿宋_GB2312"/>
                <w:b/>
                <w:i w:val="0"/>
                <w:color w:val="000000"/>
                <w:kern w:val="0"/>
                <w:sz w:val="20"/>
                <w:szCs w:val="20"/>
                <w:u w:val="single"/>
                <w:lang w:val="en-US" w:eastAsia="zh-CN" w:bidi="ar"/>
              </w:rPr>
              <w:t xml:space="preserve">             </w:t>
            </w:r>
            <w:r>
              <w:rPr>
                <w:rStyle w:val="9"/>
                <w:rFonts w:hAnsi="宋体"/>
                <w:u w:val="single"/>
                <w:lang w:val="en-US" w:eastAsia="zh-CN" w:bidi="ar"/>
              </w:rPr>
              <w:t>kW</w:t>
            </w:r>
          </w:p>
        </w:tc>
      </w:tr>
      <w:tr>
        <w:tblPrEx>
          <w:tblCellMar>
            <w:top w:w="0" w:type="dxa"/>
            <w:left w:w="0" w:type="dxa"/>
            <w:bottom w:w="0" w:type="dxa"/>
            <w:right w:w="0" w:type="dxa"/>
          </w:tblCellMar>
        </w:tblPrEx>
        <w:trPr>
          <w:trHeight w:val="439" w:hRule="atLeast"/>
        </w:trPr>
        <w:tc>
          <w:tcPr>
            <w:tcW w:w="690" w:type="dxa"/>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6"/>
                <w:szCs w:val="16"/>
                <w:u w:val="none"/>
              </w:rPr>
            </w:pPr>
          </w:p>
        </w:tc>
        <w:tc>
          <w:tcPr>
            <w:tcW w:w="49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□否</w:t>
            </w: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6"/>
                <w:szCs w:val="16"/>
                <w:u w:val="none"/>
              </w:rPr>
            </w:pPr>
          </w:p>
        </w:tc>
        <w:tc>
          <w:tcPr>
            <w:tcW w:w="89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□否</w:t>
            </w:r>
          </w:p>
        </w:tc>
        <w:tc>
          <w:tcPr>
            <w:tcW w:w="1848"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总 投 资</w:t>
            </w:r>
          </w:p>
        </w:tc>
        <w:tc>
          <w:tcPr>
            <w:tcW w:w="2686"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single"/>
              </w:rPr>
            </w:pPr>
            <w:r>
              <w:rPr>
                <w:rFonts w:hint="default" w:ascii="仿宋_GB2312" w:hAnsi="宋体" w:eastAsia="仿宋_GB2312" w:cs="仿宋_GB2312"/>
                <w:b/>
                <w:i w:val="0"/>
                <w:color w:val="000000"/>
                <w:kern w:val="0"/>
                <w:sz w:val="20"/>
                <w:szCs w:val="20"/>
                <w:u w:val="single"/>
                <w:lang w:val="en-US" w:eastAsia="zh-CN" w:bidi="ar"/>
              </w:rPr>
              <w:t xml:space="preserve">            </w:t>
            </w:r>
            <w:r>
              <w:rPr>
                <w:rStyle w:val="9"/>
                <w:rFonts w:hAnsi="宋体"/>
                <w:u w:val="single"/>
                <w:lang w:val="en-US" w:eastAsia="zh-CN" w:bidi="ar"/>
              </w:rPr>
              <w:t>万元</w:t>
            </w:r>
          </w:p>
        </w:tc>
        <w:tc>
          <w:tcPr>
            <w:tcW w:w="2264"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国家补贴</w:t>
            </w:r>
          </w:p>
        </w:tc>
        <w:tc>
          <w:tcPr>
            <w:tcW w:w="3702" w:type="dxa"/>
            <w:gridSpan w:val="6"/>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single"/>
              </w:rPr>
            </w:pPr>
            <w:r>
              <w:rPr>
                <w:rFonts w:hint="default" w:ascii="仿宋_GB2312" w:hAnsi="宋体" w:eastAsia="仿宋_GB2312" w:cs="仿宋_GB2312"/>
                <w:b/>
                <w:i w:val="0"/>
                <w:color w:val="000000"/>
                <w:kern w:val="0"/>
                <w:sz w:val="20"/>
                <w:szCs w:val="20"/>
                <w:u w:val="single"/>
                <w:lang w:val="en-US" w:eastAsia="zh-CN" w:bidi="ar"/>
              </w:rPr>
              <w:t xml:space="preserve">            </w:t>
            </w:r>
            <w:r>
              <w:rPr>
                <w:rStyle w:val="9"/>
                <w:rFonts w:hAnsi="宋体"/>
                <w:u w:val="single"/>
                <w:lang w:val="en-US" w:eastAsia="zh-CN" w:bidi="ar"/>
              </w:rPr>
              <w:t>万元</w:t>
            </w:r>
          </w:p>
        </w:tc>
      </w:tr>
      <w:tr>
        <w:tblPrEx>
          <w:tblCellMar>
            <w:top w:w="0" w:type="dxa"/>
            <w:left w:w="0" w:type="dxa"/>
            <w:bottom w:w="0" w:type="dxa"/>
            <w:right w:w="0" w:type="dxa"/>
          </w:tblCellMar>
        </w:tblPrEx>
        <w:trPr>
          <w:trHeight w:val="439" w:hRule="atLeast"/>
        </w:trPr>
        <w:tc>
          <w:tcPr>
            <w:tcW w:w="690" w:type="dxa"/>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6"/>
                <w:szCs w:val="16"/>
                <w:u w:val="none"/>
              </w:rPr>
            </w:pPr>
          </w:p>
        </w:tc>
        <w:tc>
          <w:tcPr>
            <w:tcW w:w="49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18"/>
                <w:szCs w:val="18"/>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6"/>
                <w:szCs w:val="16"/>
                <w:u w:val="none"/>
              </w:rPr>
            </w:pPr>
          </w:p>
        </w:tc>
        <w:tc>
          <w:tcPr>
            <w:tcW w:w="89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18"/>
                <w:szCs w:val="18"/>
                <w:u w:val="none"/>
              </w:rPr>
            </w:pPr>
          </w:p>
        </w:tc>
        <w:tc>
          <w:tcPr>
            <w:tcW w:w="1848"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开始时间</w:t>
            </w:r>
          </w:p>
        </w:tc>
        <w:tc>
          <w:tcPr>
            <w:tcW w:w="2686"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20</w:t>
            </w:r>
            <w:r>
              <w:rPr>
                <w:rStyle w:val="11"/>
                <w:rFonts w:hAnsi="宋体"/>
                <w:lang w:val="en-US" w:eastAsia="zh-CN" w:bidi="ar"/>
              </w:rPr>
              <w:t xml:space="preserve">    </w:t>
            </w:r>
            <w:r>
              <w:rPr>
                <w:rStyle w:val="9"/>
                <w:rFonts w:hAnsi="宋体"/>
                <w:lang w:val="en-US" w:eastAsia="zh-CN" w:bidi="ar"/>
              </w:rPr>
              <w:t>年</w:t>
            </w:r>
            <w:r>
              <w:rPr>
                <w:rStyle w:val="11"/>
                <w:rFonts w:hAnsi="宋体"/>
                <w:lang w:val="en-US" w:eastAsia="zh-CN" w:bidi="ar"/>
              </w:rPr>
              <w:t xml:space="preserve">    </w:t>
            </w:r>
            <w:r>
              <w:rPr>
                <w:rStyle w:val="9"/>
                <w:rFonts w:hAnsi="宋体"/>
                <w:lang w:val="en-US" w:eastAsia="zh-CN" w:bidi="ar"/>
              </w:rPr>
              <w:t>月</w:t>
            </w:r>
          </w:p>
        </w:tc>
        <w:tc>
          <w:tcPr>
            <w:tcW w:w="2264"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完成时间</w:t>
            </w:r>
          </w:p>
        </w:tc>
        <w:tc>
          <w:tcPr>
            <w:tcW w:w="3702" w:type="dxa"/>
            <w:gridSpan w:val="6"/>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20</w:t>
            </w:r>
            <w:r>
              <w:rPr>
                <w:rStyle w:val="11"/>
                <w:rFonts w:hAnsi="宋体"/>
                <w:lang w:val="en-US" w:eastAsia="zh-CN" w:bidi="ar"/>
              </w:rPr>
              <w:t xml:space="preserve">    </w:t>
            </w:r>
            <w:r>
              <w:rPr>
                <w:rStyle w:val="9"/>
                <w:rFonts w:hAnsi="宋体"/>
                <w:lang w:val="en-US" w:eastAsia="zh-CN" w:bidi="ar"/>
              </w:rPr>
              <w:t>年</w:t>
            </w:r>
            <w:r>
              <w:rPr>
                <w:rStyle w:val="11"/>
                <w:rFonts w:hAnsi="宋体"/>
                <w:lang w:val="en-US" w:eastAsia="zh-CN" w:bidi="ar"/>
              </w:rPr>
              <w:t xml:space="preserve">    </w:t>
            </w:r>
            <w:r>
              <w:rPr>
                <w:rStyle w:val="9"/>
                <w:rFonts w:hAnsi="宋体"/>
                <w:lang w:val="en-US" w:eastAsia="zh-CN" w:bidi="ar"/>
              </w:rPr>
              <w:t>月</w:t>
            </w:r>
          </w:p>
        </w:tc>
      </w:tr>
      <w:tr>
        <w:tblPrEx>
          <w:tblCellMar>
            <w:top w:w="0" w:type="dxa"/>
            <w:left w:w="0" w:type="dxa"/>
            <w:bottom w:w="0" w:type="dxa"/>
            <w:right w:w="0" w:type="dxa"/>
          </w:tblCellMar>
        </w:tblPrEx>
        <w:trPr>
          <w:trHeight w:val="439" w:hRule="atLeast"/>
        </w:trPr>
        <w:tc>
          <w:tcPr>
            <w:tcW w:w="690" w:type="dxa"/>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6"/>
                <w:szCs w:val="16"/>
                <w:u w:val="none"/>
              </w:rPr>
            </w:pPr>
          </w:p>
        </w:tc>
        <w:tc>
          <w:tcPr>
            <w:tcW w:w="49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18"/>
                <w:szCs w:val="18"/>
                <w:u w:val="none"/>
              </w:rPr>
            </w:pPr>
          </w:p>
        </w:tc>
        <w:tc>
          <w:tcPr>
            <w:tcW w:w="504"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16"/>
                <w:szCs w:val="16"/>
                <w:u w:val="none"/>
              </w:rPr>
            </w:pPr>
          </w:p>
        </w:tc>
        <w:tc>
          <w:tcPr>
            <w:tcW w:w="89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default" w:ascii="仿宋_GB2312" w:hAnsi="宋体" w:eastAsia="仿宋_GB2312" w:cs="仿宋_GB2312"/>
                <w:b/>
                <w:i w:val="0"/>
                <w:color w:val="000000"/>
                <w:sz w:val="18"/>
                <w:szCs w:val="18"/>
                <w:u w:val="none"/>
              </w:rPr>
            </w:pPr>
          </w:p>
        </w:tc>
        <w:tc>
          <w:tcPr>
            <w:tcW w:w="1848"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节 能 量</w:t>
            </w:r>
          </w:p>
        </w:tc>
        <w:tc>
          <w:tcPr>
            <w:tcW w:w="2686"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single"/>
              </w:rPr>
            </w:pPr>
            <w:r>
              <w:rPr>
                <w:rFonts w:hint="default" w:ascii="仿宋_GB2312" w:hAnsi="宋体" w:eastAsia="仿宋_GB2312" w:cs="仿宋_GB2312"/>
                <w:b/>
                <w:i w:val="0"/>
                <w:color w:val="000000"/>
                <w:kern w:val="0"/>
                <w:sz w:val="20"/>
                <w:szCs w:val="20"/>
                <w:u w:val="single"/>
                <w:lang w:val="en-US" w:eastAsia="zh-CN" w:bidi="ar"/>
              </w:rPr>
              <w:t xml:space="preserve">            </w:t>
            </w:r>
            <w:r>
              <w:rPr>
                <w:rStyle w:val="9"/>
                <w:rFonts w:hAnsi="宋体"/>
                <w:u w:val="single"/>
                <w:lang w:val="en-US" w:eastAsia="zh-CN" w:bidi="ar"/>
              </w:rPr>
              <w:t>万吨</w:t>
            </w:r>
          </w:p>
        </w:tc>
        <w:tc>
          <w:tcPr>
            <w:tcW w:w="2264"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减 排 量</w:t>
            </w:r>
          </w:p>
        </w:tc>
        <w:tc>
          <w:tcPr>
            <w:tcW w:w="3702" w:type="dxa"/>
            <w:gridSpan w:val="6"/>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single"/>
              </w:rPr>
            </w:pPr>
            <w:r>
              <w:rPr>
                <w:rFonts w:hint="default" w:ascii="仿宋_GB2312" w:hAnsi="宋体" w:eastAsia="仿宋_GB2312" w:cs="仿宋_GB2312"/>
                <w:b/>
                <w:i w:val="0"/>
                <w:color w:val="000000"/>
                <w:kern w:val="0"/>
                <w:sz w:val="20"/>
                <w:szCs w:val="20"/>
                <w:u w:val="single"/>
                <w:lang w:val="en-US" w:eastAsia="zh-CN" w:bidi="ar"/>
              </w:rPr>
              <w:t xml:space="preserve">            </w:t>
            </w:r>
            <w:r>
              <w:rPr>
                <w:rStyle w:val="9"/>
                <w:rFonts w:hAnsi="宋体"/>
                <w:u w:val="single"/>
                <w:lang w:val="en-US" w:eastAsia="zh-CN" w:bidi="ar"/>
              </w:rPr>
              <w:t>万吨</w:t>
            </w:r>
          </w:p>
        </w:tc>
      </w:tr>
      <w:tr>
        <w:tblPrEx>
          <w:tblCellMar>
            <w:top w:w="0" w:type="dxa"/>
            <w:left w:w="0" w:type="dxa"/>
            <w:bottom w:w="0" w:type="dxa"/>
            <w:right w:w="0" w:type="dxa"/>
          </w:tblCellMar>
        </w:tblPrEx>
        <w:trPr>
          <w:trHeight w:val="465" w:hRule="atLeast"/>
        </w:trPr>
        <w:tc>
          <w:tcPr>
            <w:tcW w:w="13080" w:type="dxa"/>
            <w:gridSpan w:val="22"/>
            <w:tcBorders>
              <w:top w:val="single" w:color="000000" w:sz="8" w:space="0"/>
              <w:left w:val="single" w:color="000000" w:sz="12"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集 中 空 调 系 统 情 况</w:t>
            </w:r>
          </w:p>
        </w:tc>
      </w:tr>
      <w:tr>
        <w:tblPrEx>
          <w:tblCellMar>
            <w:top w:w="0" w:type="dxa"/>
            <w:left w:w="0" w:type="dxa"/>
            <w:bottom w:w="0" w:type="dxa"/>
            <w:right w:w="0" w:type="dxa"/>
          </w:tblCellMar>
        </w:tblPrEx>
        <w:trPr>
          <w:trHeight w:val="462" w:hRule="atLeast"/>
        </w:trPr>
        <w:tc>
          <w:tcPr>
            <w:tcW w:w="4305" w:type="dxa"/>
            <w:gridSpan w:val="8"/>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设计是否采用集中空调系统</w:t>
            </w:r>
          </w:p>
        </w:tc>
        <w:tc>
          <w:tcPr>
            <w:tcW w:w="2235"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□是   □否</w:t>
            </w:r>
          </w:p>
        </w:tc>
        <w:tc>
          <w:tcPr>
            <w:tcW w:w="4230" w:type="dxa"/>
            <w:gridSpan w:val="9"/>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实际是否采用集中空调系统</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□是   □否</w:t>
            </w:r>
          </w:p>
        </w:tc>
      </w:tr>
      <w:tr>
        <w:tblPrEx>
          <w:tblCellMar>
            <w:top w:w="0" w:type="dxa"/>
            <w:left w:w="0" w:type="dxa"/>
            <w:bottom w:w="0" w:type="dxa"/>
            <w:right w:w="0" w:type="dxa"/>
          </w:tblCellMar>
        </w:tblPrEx>
        <w:trPr>
          <w:trHeight w:val="462" w:hRule="atLeast"/>
        </w:trPr>
        <w:tc>
          <w:tcPr>
            <w:tcW w:w="4305" w:type="dxa"/>
            <w:gridSpan w:val="8"/>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设计是否采用空调废热回收利用装置</w:t>
            </w:r>
          </w:p>
        </w:tc>
        <w:tc>
          <w:tcPr>
            <w:tcW w:w="2235"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□是   □否</w:t>
            </w:r>
          </w:p>
        </w:tc>
        <w:tc>
          <w:tcPr>
            <w:tcW w:w="4230" w:type="dxa"/>
            <w:gridSpan w:val="9"/>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实际是否采用空调废热回收利用装置</w:t>
            </w:r>
          </w:p>
        </w:tc>
        <w:tc>
          <w:tcPr>
            <w:tcW w:w="2310"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□是   □否</w:t>
            </w:r>
          </w:p>
        </w:tc>
      </w:tr>
      <w:tr>
        <w:tblPrEx>
          <w:tblCellMar>
            <w:top w:w="0" w:type="dxa"/>
            <w:left w:w="0" w:type="dxa"/>
            <w:bottom w:w="0" w:type="dxa"/>
            <w:right w:w="0" w:type="dxa"/>
          </w:tblCellMar>
        </w:tblPrEx>
        <w:trPr>
          <w:trHeight w:val="525" w:hRule="atLeast"/>
        </w:trPr>
        <w:tc>
          <w:tcPr>
            <w:tcW w:w="1185" w:type="dxa"/>
            <w:gridSpan w:val="3"/>
            <w:vMerge w:val="restart"/>
            <w:tcBorders>
              <w:top w:val="single" w:color="000000" w:sz="8" w:space="0"/>
              <w:left w:val="single" w:color="000000" w:sz="12" w:space="0"/>
              <w:right w:val="single" w:color="000000" w:sz="8" w:space="0"/>
            </w:tcBorders>
            <w:shd w:val="clear" w:color="auto" w:fill="auto"/>
            <w:tcMar>
              <w:top w:w="10" w:type="dxa"/>
              <w:left w:w="10" w:type="dxa"/>
              <w:right w:w="10" w:type="dxa"/>
            </w:tcMar>
            <w:textDirection w:val="tbRlV"/>
            <w:vAlign w:val="center"/>
          </w:tcPr>
          <w:p>
            <w:pPr>
              <w:keepNext w:val="0"/>
              <w:keepLines w:val="0"/>
              <w:widowControl/>
              <w:suppressLineNumbers w:val="0"/>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资料清单</w:t>
            </w:r>
          </w:p>
        </w:tc>
        <w:tc>
          <w:tcPr>
            <w:tcW w:w="11895" w:type="dxa"/>
            <w:gridSpan w:val="19"/>
            <w:tcBorders>
              <w:top w:val="single" w:color="000000" w:sz="8" w:space="0"/>
              <w:left w:val="single" w:color="000000" w:sz="8" w:space="0"/>
              <w:bottom w:val="single" w:color="000000" w:sz="8"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default" w:ascii="仿宋_GB2312" w:hAnsi="宋体" w:eastAsia="仿宋_GB2312" w:cs="仿宋_GB2312"/>
                <w:b/>
                <w:i w:val="0"/>
                <w:color w:val="000000"/>
                <w:sz w:val="20"/>
                <w:szCs w:val="20"/>
                <w:u w:val="none"/>
                <w:lang w:val="en-US"/>
              </w:rPr>
            </w:pPr>
            <w:r>
              <w:rPr>
                <w:rFonts w:hint="default" w:ascii="仿宋_GB2312" w:hAnsi="宋体" w:eastAsia="仿宋_GB2312" w:cs="仿宋_GB2312"/>
                <w:b/>
                <w:i w:val="0"/>
                <w:color w:val="000000"/>
                <w:kern w:val="0"/>
                <w:sz w:val="20"/>
                <w:szCs w:val="20"/>
                <w:u w:val="none"/>
                <w:lang w:val="en-US" w:eastAsia="zh-CN" w:bidi="ar"/>
              </w:rPr>
              <w:t xml:space="preserve">      一、《绿色建筑预评估报告》/获得《绿色建筑设计标识》的绿色建筑设计专篇</w:t>
            </w:r>
            <w:r>
              <w:rPr>
                <w:rFonts w:hint="eastAsia" w:ascii="仿宋_GB2312" w:hAnsi="宋体" w:eastAsia="仿宋_GB2312" w:cs="仿宋_GB2312"/>
                <w:b/>
                <w:i w:val="0"/>
                <w:color w:val="000000"/>
                <w:kern w:val="0"/>
                <w:sz w:val="20"/>
                <w:szCs w:val="20"/>
                <w:u w:val="none"/>
                <w:lang w:val="en-US" w:eastAsia="zh-CN" w:bidi="ar"/>
              </w:rPr>
              <w:t>、节能设计专篇</w:t>
            </w:r>
          </w:p>
        </w:tc>
      </w:tr>
      <w:tr>
        <w:tblPrEx>
          <w:tblCellMar>
            <w:top w:w="0" w:type="dxa"/>
            <w:left w:w="0" w:type="dxa"/>
            <w:bottom w:w="0" w:type="dxa"/>
            <w:right w:w="0" w:type="dxa"/>
          </w:tblCellMar>
        </w:tblPrEx>
        <w:trPr>
          <w:trHeight w:val="525" w:hRule="atLeast"/>
        </w:trPr>
        <w:tc>
          <w:tcPr>
            <w:tcW w:w="1185" w:type="dxa"/>
            <w:gridSpan w:val="3"/>
            <w:vMerge w:val="continue"/>
            <w:tcBorders>
              <w:left w:val="single" w:color="000000" w:sz="12"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single" w:color="000000" w:sz="8" w:space="0"/>
              <w:left w:val="single" w:color="000000" w:sz="8" w:space="0"/>
              <w:bottom w:val="single" w:color="000000" w:sz="8"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1"/>
              </w:numPr>
              <w:suppressLineNumbers w:val="0"/>
              <w:ind w:left="602" w:leftChars="0" w:firstLine="0" w:firstLineChars="0"/>
              <w:jc w:val="left"/>
              <w:textAlignment w:val="center"/>
              <w:rPr>
                <w:rFonts w:hint="default" w:ascii="仿宋_GB2312" w:hAnsi="宋体" w:eastAsia="仿宋_GB2312" w:cs="仿宋_GB2312"/>
                <w:b/>
                <w:i w:val="0"/>
                <w:color w:val="000000"/>
                <w:sz w:val="20"/>
                <w:szCs w:val="20"/>
                <w:u w:val="none"/>
                <w:lang w:val="en-US"/>
              </w:rPr>
            </w:pPr>
            <w:r>
              <w:rPr>
                <w:rFonts w:hint="eastAsia" w:ascii="仿宋_GB2312" w:hAnsi="宋体" w:eastAsia="仿宋_GB2312" w:cs="仿宋_GB2312"/>
                <w:b/>
                <w:i w:val="0"/>
                <w:color w:val="000000"/>
                <w:sz w:val="20"/>
                <w:szCs w:val="20"/>
                <w:u w:val="none"/>
                <w:lang w:val="en-US" w:eastAsia="zh-CN"/>
              </w:rPr>
              <w:t>建设单位绿色建筑与建筑节能工程验收自评估报告（附件1）</w:t>
            </w:r>
          </w:p>
        </w:tc>
      </w:tr>
      <w:tr>
        <w:tblPrEx>
          <w:tblCellMar>
            <w:top w:w="0" w:type="dxa"/>
            <w:left w:w="0" w:type="dxa"/>
            <w:bottom w:w="0" w:type="dxa"/>
            <w:right w:w="0" w:type="dxa"/>
          </w:tblCellMar>
        </w:tblPrEx>
        <w:trPr>
          <w:trHeight w:val="525" w:hRule="atLeast"/>
        </w:trPr>
        <w:tc>
          <w:tcPr>
            <w:tcW w:w="1185" w:type="dxa"/>
            <w:gridSpan w:val="3"/>
            <w:vMerge w:val="continue"/>
            <w:tcBorders>
              <w:left w:val="single" w:color="000000" w:sz="12"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numPr>
                <w:ilvl w:val="0"/>
                <w:numId w:val="1"/>
              </w:numPr>
              <w:suppressLineNumbers w:val="0"/>
              <w:ind w:left="602" w:leftChars="0" w:firstLine="0" w:firstLineChars="0"/>
              <w:jc w:val="left"/>
              <w:textAlignment w:val="center"/>
              <w:rPr>
                <w:rFonts w:hint="default" w:ascii="仿宋_GB2312" w:hAnsi="宋体" w:eastAsia="仿宋_GB2312" w:cs="仿宋_GB2312"/>
                <w:b/>
                <w:i w:val="0"/>
                <w:color w:val="000000"/>
                <w:kern w:val="0"/>
                <w:sz w:val="20"/>
                <w:szCs w:val="20"/>
                <w:u w:val="none"/>
                <w:lang w:val="en-US" w:eastAsia="zh-CN" w:bidi="ar"/>
              </w:rPr>
            </w:pPr>
            <w:r>
              <w:rPr>
                <w:rFonts w:hint="default" w:ascii="仿宋_GB2312" w:hAnsi="宋体" w:eastAsia="仿宋_GB2312" w:cs="仿宋_GB2312"/>
                <w:b/>
                <w:i w:val="0"/>
                <w:color w:val="000000"/>
                <w:kern w:val="0"/>
                <w:sz w:val="20"/>
                <w:szCs w:val="20"/>
                <w:u w:val="none"/>
                <w:lang w:val="en-US" w:eastAsia="zh-CN" w:bidi="ar"/>
              </w:rPr>
              <w:t>绿色建筑工程验收申请表</w:t>
            </w:r>
            <w:r>
              <w:rPr>
                <w:rFonts w:hint="eastAsia" w:ascii="仿宋_GB2312" w:hAnsi="宋体" w:eastAsia="仿宋_GB2312" w:cs="仿宋_GB2312"/>
                <w:b/>
                <w:i w:val="0"/>
                <w:color w:val="000000"/>
                <w:kern w:val="0"/>
                <w:sz w:val="20"/>
                <w:szCs w:val="20"/>
                <w:u w:val="none"/>
                <w:lang w:val="en-US" w:eastAsia="zh-CN" w:bidi="ar"/>
              </w:rPr>
              <w:t>（附件2）</w:t>
            </w:r>
          </w:p>
        </w:tc>
      </w:tr>
      <w:tr>
        <w:tblPrEx>
          <w:tblCellMar>
            <w:top w:w="0" w:type="dxa"/>
            <w:left w:w="0" w:type="dxa"/>
            <w:bottom w:w="0" w:type="dxa"/>
            <w:right w:w="0" w:type="dxa"/>
          </w:tblCellMar>
        </w:tblPrEx>
        <w:trPr>
          <w:trHeight w:val="525" w:hRule="atLeast"/>
        </w:trPr>
        <w:tc>
          <w:tcPr>
            <w:tcW w:w="1185" w:type="dxa"/>
            <w:gridSpan w:val="3"/>
            <w:vMerge w:val="continue"/>
            <w:tcBorders>
              <w:left w:val="single" w:color="000000" w:sz="12"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 xml:space="preserve">      </w:t>
            </w:r>
            <w:r>
              <w:rPr>
                <w:rFonts w:hint="eastAsia" w:ascii="仿宋_GB2312" w:hAnsi="宋体" w:eastAsia="仿宋_GB2312" w:cs="仿宋_GB2312"/>
                <w:b/>
                <w:i w:val="0"/>
                <w:color w:val="000000"/>
                <w:kern w:val="0"/>
                <w:sz w:val="20"/>
                <w:szCs w:val="20"/>
                <w:u w:val="none"/>
                <w:lang w:val="en-US" w:eastAsia="zh-CN" w:bidi="ar"/>
              </w:rPr>
              <w:t>四</w:t>
            </w:r>
            <w:r>
              <w:rPr>
                <w:rFonts w:hint="default" w:ascii="仿宋_GB2312" w:hAnsi="宋体" w:eastAsia="仿宋_GB2312" w:cs="仿宋_GB2312"/>
                <w:b/>
                <w:i w:val="0"/>
                <w:color w:val="000000"/>
                <w:kern w:val="0"/>
                <w:sz w:val="20"/>
                <w:szCs w:val="20"/>
                <w:u w:val="none"/>
                <w:lang w:val="en-US" w:eastAsia="zh-CN" w:bidi="ar"/>
              </w:rPr>
              <w:t>、《</w:t>
            </w:r>
            <w:r>
              <w:rPr>
                <w:rFonts w:hint="eastAsia" w:ascii="仿宋_GB2312" w:hAnsi="宋体" w:eastAsia="仿宋_GB2312" w:cs="仿宋_GB2312"/>
                <w:b/>
                <w:i w:val="0"/>
                <w:color w:val="000000"/>
                <w:kern w:val="0"/>
                <w:sz w:val="20"/>
                <w:szCs w:val="20"/>
                <w:u w:val="none"/>
                <w:lang w:val="en-US" w:eastAsia="zh-CN" w:bidi="ar"/>
              </w:rPr>
              <w:t>绿色建筑与建筑节能</w:t>
            </w:r>
            <w:r>
              <w:rPr>
                <w:rFonts w:hint="default" w:ascii="仿宋_GB2312" w:hAnsi="宋体" w:eastAsia="仿宋_GB2312" w:cs="仿宋_GB2312"/>
                <w:b/>
                <w:i w:val="0"/>
                <w:color w:val="000000"/>
                <w:kern w:val="0"/>
                <w:sz w:val="20"/>
                <w:szCs w:val="20"/>
                <w:u w:val="none"/>
                <w:lang w:val="en-US" w:eastAsia="zh-CN" w:bidi="ar"/>
              </w:rPr>
              <w:t>检测方案》</w:t>
            </w:r>
            <w:r>
              <w:rPr>
                <w:rFonts w:hint="eastAsia" w:ascii="仿宋_GB2312" w:hAnsi="宋体" w:eastAsia="仿宋_GB2312" w:cs="仿宋_GB2312"/>
                <w:b/>
                <w:i w:val="0"/>
                <w:color w:val="000000"/>
                <w:kern w:val="0"/>
                <w:sz w:val="20"/>
                <w:szCs w:val="20"/>
                <w:u w:val="none"/>
                <w:lang w:val="en-US" w:eastAsia="zh-CN" w:bidi="ar"/>
              </w:rPr>
              <w:t>及绿色建筑与建筑节能相关检测报告</w:t>
            </w:r>
          </w:p>
        </w:tc>
      </w:tr>
      <w:tr>
        <w:tblPrEx>
          <w:tblCellMar>
            <w:top w:w="0" w:type="dxa"/>
            <w:left w:w="0" w:type="dxa"/>
            <w:bottom w:w="0" w:type="dxa"/>
            <w:right w:w="0" w:type="dxa"/>
          </w:tblCellMar>
        </w:tblPrEx>
        <w:trPr>
          <w:trHeight w:val="525" w:hRule="atLeast"/>
        </w:trPr>
        <w:tc>
          <w:tcPr>
            <w:tcW w:w="1185" w:type="dxa"/>
            <w:gridSpan w:val="3"/>
            <w:vMerge w:val="continue"/>
            <w:tcBorders>
              <w:left w:val="single" w:color="000000" w:sz="12"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numPr>
                <w:ilvl w:val="0"/>
                <w:numId w:val="2"/>
              </w:numPr>
              <w:suppressLineNumbers w:val="0"/>
              <w:ind w:left="602" w:leftChars="0"/>
              <w:jc w:val="left"/>
              <w:textAlignment w:val="center"/>
              <w:rPr>
                <w:rFonts w:hint="default"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绿色建筑与建筑节能工程验收专家评审意见表（附件3）</w:t>
            </w:r>
          </w:p>
        </w:tc>
      </w:tr>
      <w:tr>
        <w:tblPrEx>
          <w:tblCellMar>
            <w:top w:w="0" w:type="dxa"/>
            <w:left w:w="0" w:type="dxa"/>
            <w:bottom w:w="0" w:type="dxa"/>
            <w:right w:w="0" w:type="dxa"/>
          </w:tblCellMar>
        </w:tblPrEx>
        <w:trPr>
          <w:trHeight w:val="525" w:hRule="atLeast"/>
        </w:trPr>
        <w:tc>
          <w:tcPr>
            <w:tcW w:w="1185" w:type="dxa"/>
            <w:gridSpan w:val="3"/>
            <w:vMerge w:val="continue"/>
            <w:tcBorders>
              <w:left w:val="single" w:color="000000" w:sz="12"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numPr>
                <w:ilvl w:val="0"/>
                <w:numId w:val="2"/>
              </w:numPr>
              <w:suppressLineNumbers w:val="0"/>
              <w:ind w:left="602" w:leftChars="0" w:firstLine="0" w:firstLineChars="0"/>
              <w:jc w:val="left"/>
              <w:textAlignment w:val="center"/>
              <w:rPr>
                <w:rFonts w:hint="eastAsia"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建设工程规划许可证和建筑工程施工许可证复印件</w:t>
            </w:r>
          </w:p>
        </w:tc>
      </w:tr>
      <w:tr>
        <w:tblPrEx>
          <w:tblCellMar>
            <w:top w:w="0" w:type="dxa"/>
            <w:left w:w="0" w:type="dxa"/>
            <w:bottom w:w="0" w:type="dxa"/>
            <w:right w:w="0" w:type="dxa"/>
          </w:tblCellMar>
        </w:tblPrEx>
        <w:trPr>
          <w:trHeight w:val="525" w:hRule="atLeast"/>
        </w:trPr>
        <w:tc>
          <w:tcPr>
            <w:tcW w:w="1185" w:type="dxa"/>
            <w:gridSpan w:val="3"/>
            <w:vMerge w:val="continue"/>
            <w:tcBorders>
              <w:left w:val="single" w:color="000000" w:sz="12" w:space="0"/>
              <w:bottom w:val="single" w:color="000000" w:sz="8" w:space="0"/>
              <w:right w:val="single" w:color="000000" w:sz="8" w:space="0"/>
            </w:tcBorders>
            <w:shd w:val="clear" w:color="auto" w:fill="auto"/>
            <w:tcMar>
              <w:top w:w="10" w:type="dxa"/>
              <w:left w:w="10" w:type="dxa"/>
              <w:right w:w="10" w:type="dxa"/>
            </w:tcMar>
            <w:textDirection w:val="tbRlV"/>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single" w:color="000000" w:sz="8" w:space="0"/>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keepNext w:val="0"/>
              <w:keepLines w:val="0"/>
              <w:widowControl/>
              <w:numPr>
                <w:ilvl w:val="0"/>
                <w:numId w:val="0"/>
              </w:numPr>
              <w:suppressLineNumbers w:val="0"/>
              <w:ind w:left="602" w:leftChars="0"/>
              <w:jc w:val="left"/>
              <w:textAlignment w:val="center"/>
              <w:rPr>
                <w:rFonts w:hint="default"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七、</w:t>
            </w:r>
            <w:r>
              <w:rPr>
                <w:rFonts w:hint="default" w:ascii="仿宋_GB2312" w:hAnsi="宋体" w:eastAsia="仿宋_GB2312" w:cs="仿宋_GB2312"/>
                <w:b/>
                <w:i w:val="0"/>
                <w:color w:val="000000"/>
                <w:kern w:val="0"/>
                <w:sz w:val="20"/>
                <w:szCs w:val="20"/>
                <w:u w:val="none"/>
                <w:lang w:val="en-US" w:eastAsia="zh-CN" w:bidi="ar"/>
              </w:rPr>
              <w:t>《绿色建筑工程验收承诺书》</w:t>
            </w:r>
            <w:r>
              <w:rPr>
                <w:rFonts w:hint="eastAsia" w:ascii="仿宋_GB2312" w:hAnsi="宋体" w:eastAsia="仿宋_GB2312" w:cs="仿宋_GB2312"/>
                <w:b/>
                <w:i w:val="0"/>
                <w:color w:val="000000"/>
                <w:kern w:val="0"/>
                <w:sz w:val="20"/>
                <w:szCs w:val="20"/>
                <w:u w:val="none"/>
                <w:lang w:val="en-US" w:eastAsia="zh-CN" w:bidi="ar"/>
              </w:rPr>
              <w:t>（附件4）</w:t>
            </w:r>
          </w:p>
        </w:tc>
      </w:tr>
      <w:tr>
        <w:tblPrEx>
          <w:tblCellMar>
            <w:top w:w="0" w:type="dxa"/>
            <w:left w:w="0" w:type="dxa"/>
            <w:bottom w:w="0" w:type="dxa"/>
            <w:right w:w="0" w:type="dxa"/>
          </w:tblCellMar>
        </w:tblPrEx>
        <w:trPr>
          <w:trHeight w:val="822" w:hRule="atLeast"/>
        </w:trPr>
        <w:tc>
          <w:tcPr>
            <w:tcW w:w="11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br w:type="textWrapping"/>
            </w:r>
            <w:r>
              <w:rPr>
                <w:rFonts w:hint="eastAsia" w:ascii="黑体" w:hAnsi="宋体" w:eastAsia="黑体" w:cs="黑体"/>
                <w:b/>
                <w:i w:val="0"/>
                <w:color w:val="000000"/>
                <w:kern w:val="0"/>
                <w:sz w:val="22"/>
                <w:szCs w:val="22"/>
                <w:u w:val="none"/>
                <w:lang w:val="en-US" w:eastAsia="zh-CN" w:bidi="ar"/>
              </w:rPr>
              <w:t>设计单位</w:t>
            </w:r>
            <w:r>
              <w:rPr>
                <w:rFonts w:hint="eastAsia" w:ascii="黑体" w:hAnsi="宋体" w:eastAsia="黑体" w:cs="黑体"/>
                <w:b/>
                <w:i w:val="0"/>
                <w:color w:val="000000"/>
                <w:kern w:val="0"/>
                <w:sz w:val="22"/>
                <w:szCs w:val="22"/>
                <w:u w:val="none"/>
                <w:lang w:val="en-US" w:eastAsia="zh-CN" w:bidi="ar"/>
              </w:rPr>
              <w:br w:type="textWrapping"/>
            </w:r>
            <w:r>
              <w:rPr>
                <w:rFonts w:hint="eastAsia" w:ascii="黑体" w:hAnsi="宋体" w:eastAsia="黑体" w:cs="黑体"/>
                <w:b/>
                <w:i w:val="0"/>
                <w:color w:val="000000"/>
                <w:kern w:val="0"/>
                <w:sz w:val="22"/>
                <w:szCs w:val="22"/>
                <w:u w:val="none"/>
                <w:lang w:val="en-US" w:eastAsia="zh-CN" w:bidi="ar"/>
              </w:rPr>
              <w:t>意见</w:t>
            </w:r>
          </w:p>
        </w:tc>
        <w:tc>
          <w:tcPr>
            <w:tcW w:w="11895" w:type="dxa"/>
            <w:gridSpan w:val="19"/>
            <w:tcBorders>
              <w:top w:val="single" w:color="000000" w:sz="8" w:space="0"/>
              <w:left w:val="single" w:color="000000" w:sz="8" w:space="0"/>
              <w:bottom w:val="nil"/>
              <w:right w:val="single" w:color="000000" w:sz="8" w:space="0"/>
            </w:tcBorders>
            <w:shd w:val="clear" w:color="auto" w:fill="auto"/>
            <w:noWrap/>
            <w:tcMar>
              <w:top w:w="10" w:type="dxa"/>
              <w:left w:w="10" w:type="dxa"/>
              <w:right w:w="10" w:type="dxa"/>
            </w:tcMar>
            <w:vAlign w:val="bottom"/>
          </w:tcPr>
          <w:p>
            <w:pPr>
              <w:jc w:val="center"/>
              <w:rPr>
                <w:rFonts w:hint="default"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nil"/>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（盖     章）</w:t>
            </w: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负责人：              年   月   日</w:t>
            </w:r>
          </w:p>
        </w:tc>
      </w:tr>
      <w:tr>
        <w:tblPrEx>
          <w:tblCellMar>
            <w:top w:w="0" w:type="dxa"/>
            <w:left w:w="0" w:type="dxa"/>
            <w:bottom w:w="0" w:type="dxa"/>
            <w:right w:w="0" w:type="dxa"/>
          </w:tblCellMar>
        </w:tblPrEx>
        <w:trPr>
          <w:trHeight w:val="842" w:hRule="atLeast"/>
        </w:trPr>
        <w:tc>
          <w:tcPr>
            <w:tcW w:w="1185" w:type="dxa"/>
            <w:gridSpan w:val="3"/>
            <w:vMerge w:val="restart"/>
            <w:tcBorders>
              <w:top w:val="single" w:color="000000" w:sz="8" w:space="0"/>
              <w:left w:val="single" w:color="000000" w:sz="12"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lang w:val="en-US" w:eastAsia="zh-CN"/>
              </w:rPr>
            </w:pPr>
            <w:r>
              <w:rPr>
                <w:rFonts w:hint="eastAsia" w:ascii="黑体" w:hAnsi="宋体" w:eastAsia="黑体" w:cs="黑体"/>
                <w:b/>
                <w:i w:val="0"/>
                <w:color w:val="000000"/>
                <w:sz w:val="22"/>
                <w:szCs w:val="22"/>
                <w:u w:val="none"/>
                <w:lang w:val="en-US" w:eastAsia="zh-CN"/>
              </w:rPr>
              <w:t>勘察单位</w:t>
            </w:r>
          </w:p>
          <w:p>
            <w:pPr>
              <w:jc w:val="center"/>
              <w:rPr>
                <w:rFonts w:hint="default" w:ascii="黑体" w:hAnsi="宋体" w:eastAsia="黑体" w:cs="黑体"/>
                <w:b/>
                <w:i w:val="0"/>
                <w:color w:val="000000"/>
                <w:sz w:val="22"/>
                <w:szCs w:val="22"/>
                <w:u w:val="none"/>
                <w:lang w:val="en-US" w:eastAsia="zh-CN"/>
              </w:rPr>
            </w:pPr>
            <w:r>
              <w:rPr>
                <w:rFonts w:hint="eastAsia" w:ascii="黑体" w:hAnsi="宋体" w:eastAsia="黑体" w:cs="黑体"/>
                <w:b/>
                <w:i w:val="0"/>
                <w:color w:val="000000"/>
                <w:sz w:val="22"/>
                <w:szCs w:val="22"/>
                <w:u w:val="none"/>
                <w:lang w:val="en-US" w:eastAsia="zh-CN"/>
              </w:rPr>
              <w:t>意见</w:t>
            </w:r>
          </w:p>
        </w:tc>
        <w:tc>
          <w:tcPr>
            <w:tcW w:w="11895" w:type="dxa"/>
            <w:gridSpan w:val="19"/>
            <w:tcBorders>
              <w:top w:val="single" w:color="000000" w:sz="8" w:space="0"/>
              <w:left w:val="single" w:color="000000" w:sz="8" w:space="0"/>
              <w:bottom w:val="nil"/>
              <w:right w:val="single" w:color="000000" w:sz="8" w:space="0"/>
            </w:tcBorders>
            <w:shd w:val="clear" w:color="auto" w:fill="auto"/>
            <w:noWrap/>
            <w:tcMar>
              <w:top w:w="10" w:type="dxa"/>
              <w:left w:w="10" w:type="dxa"/>
              <w:right w:w="10" w:type="dxa"/>
            </w:tcMar>
            <w:vAlign w:val="bottom"/>
          </w:tcPr>
          <w:p>
            <w:pPr>
              <w:jc w:val="center"/>
              <w:rPr>
                <w:rFonts w:hint="default" w:ascii="仿宋_GB2312" w:hAnsi="宋体" w:eastAsia="仿宋_GB2312" w:cs="仿宋_GB2312"/>
                <w:i w:val="0"/>
                <w:color w:val="000000"/>
                <w:kern w:val="0"/>
                <w:sz w:val="24"/>
                <w:szCs w:val="24"/>
                <w:u w:val="none"/>
                <w:lang w:val="en-US" w:eastAsia="zh-CN" w:bidi="ar"/>
              </w:rPr>
            </w:pPr>
          </w:p>
        </w:tc>
      </w:tr>
      <w:tr>
        <w:tblPrEx>
          <w:tblCellMar>
            <w:top w:w="0" w:type="dxa"/>
            <w:left w:w="0" w:type="dxa"/>
            <w:bottom w:w="0" w:type="dxa"/>
            <w:right w:w="0" w:type="dxa"/>
          </w:tblCellMar>
        </w:tblPrEx>
        <w:trPr>
          <w:trHeight w:val="842" w:hRule="atLeast"/>
        </w:trPr>
        <w:tc>
          <w:tcPr>
            <w:tcW w:w="1185" w:type="dxa"/>
            <w:gridSpan w:val="3"/>
            <w:vMerge w:val="continue"/>
            <w:tcBorders>
              <w:left w:val="single" w:color="000000" w:sz="12"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right"/>
              <w:textAlignment w:val="bottom"/>
            </w:pPr>
          </w:p>
        </w:tc>
        <w:tc>
          <w:tcPr>
            <w:tcW w:w="11895" w:type="dxa"/>
            <w:gridSpan w:val="19"/>
            <w:tcBorders>
              <w:top w:val="nil"/>
              <w:left w:val="single" w:color="000000" w:sz="8" w:space="0"/>
              <w:bottom w:val="nil"/>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kern w:val="2"/>
                <w:sz w:val="24"/>
                <w:szCs w:val="24"/>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（盖     章）</w:t>
            </w:r>
          </w:p>
        </w:tc>
      </w:tr>
      <w:tr>
        <w:tblPrEx>
          <w:tblCellMar>
            <w:top w:w="0" w:type="dxa"/>
            <w:left w:w="0" w:type="dxa"/>
            <w:bottom w:w="0" w:type="dxa"/>
            <w:right w:w="0" w:type="dxa"/>
          </w:tblCellMar>
        </w:tblPrEx>
        <w:trPr>
          <w:trHeight w:val="842" w:hRule="atLeast"/>
        </w:trPr>
        <w:tc>
          <w:tcPr>
            <w:tcW w:w="1185" w:type="dxa"/>
            <w:gridSpan w:val="3"/>
            <w:vMerge w:val="continue"/>
            <w:tcBorders>
              <w:left w:val="single" w:color="000000" w:sz="12"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right"/>
              <w:textAlignment w:val="bottom"/>
              <w:rPr>
                <w:rFonts w:hint="default" w:ascii="仿宋_GB2312" w:hAnsi="宋体" w:eastAsia="仿宋_GB2312" w:cs="仿宋_GB2312"/>
                <w:i w:val="0"/>
                <w:color w:val="000000"/>
                <w:kern w:val="0"/>
                <w:sz w:val="24"/>
                <w:szCs w:val="24"/>
                <w:u w:val="none"/>
                <w:lang w:val="en-US" w:eastAsia="zh-CN" w:bidi="ar"/>
              </w:rPr>
            </w:pPr>
          </w:p>
        </w:tc>
        <w:tc>
          <w:tcPr>
            <w:tcW w:w="11895" w:type="dxa"/>
            <w:gridSpan w:val="19"/>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kern w:val="2"/>
                <w:sz w:val="24"/>
                <w:szCs w:val="24"/>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负责人：              年   月   日</w:t>
            </w:r>
          </w:p>
        </w:tc>
      </w:tr>
      <w:tr>
        <w:tblPrEx>
          <w:tblCellMar>
            <w:top w:w="0" w:type="dxa"/>
            <w:left w:w="0" w:type="dxa"/>
            <w:bottom w:w="0" w:type="dxa"/>
            <w:right w:w="0" w:type="dxa"/>
          </w:tblCellMar>
        </w:tblPrEx>
        <w:trPr>
          <w:trHeight w:val="822" w:hRule="atLeast"/>
        </w:trPr>
        <w:tc>
          <w:tcPr>
            <w:tcW w:w="11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br w:type="textWrapping"/>
            </w:r>
            <w:r>
              <w:rPr>
                <w:rFonts w:hint="eastAsia" w:ascii="黑体" w:hAnsi="宋体" w:eastAsia="黑体" w:cs="黑体"/>
                <w:b/>
                <w:i w:val="0"/>
                <w:color w:val="000000"/>
                <w:kern w:val="0"/>
                <w:sz w:val="22"/>
                <w:szCs w:val="22"/>
                <w:u w:val="none"/>
                <w:lang w:val="en-US" w:eastAsia="zh-CN" w:bidi="ar"/>
              </w:rPr>
              <w:t xml:space="preserve"> 施工单位 意见</w:t>
            </w:r>
          </w:p>
        </w:tc>
        <w:tc>
          <w:tcPr>
            <w:tcW w:w="11895" w:type="dxa"/>
            <w:gridSpan w:val="19"/>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jc w:val="both"/>
              <w:rPr>
                <w:rFonts w:hint="eastAsia" w:ascii="黑体" w:hAnsi="宋体" w:eastAsia="黑体" w:cs="黑体"/>
                <w:b/>
                <w:i w:val="0"/>
                <w:color w:val="000000"/>
                <w:sz w:val="22"/>
                <w:szCs w:val="22"/>
                <w:u w:val="none"/>
              </w:rPr>
            </w:pP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nil"/>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（盖     章）</w:t>
            </w: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负责人：              年   月   日</w:t>
            </w:r>
          </w:p>
        </w:tc>
      </w:tr>
      <w:tr>
        <w:tblPrEx>
          <w:tblCellMar>
            <w:top w:w="0" w:type="dxa"/>
            <w:left w:w="0" w:type="dxa"/>
            <w:bottom w:w="0" w:type="dxa"/>
            <w:right w:w="0" w:type="dxa"/>
          </w:tblCellMar>
        </w:tblPrEx>
        <w:trPr>
          <w:trHeight w:val="822" w:hRule="atLeast"/>
        </w:trPr>
        <w:tc>
          <w:tcPr>
            <w:tcW w:w="11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br w:type="textWrapping"/>
            </w:r>
            <w:r>
              <w:rPr>
                <w:rFonts w:hint="eastAsia" w:ascii="黑体" w:hAnsi="宋体" w:eastAsia="黑体" w:cs="黑体"/>
                <w:b/>
                <w:i w:val="0"/>
                <w:color w:val="000000"/>
                <w:kern w:val="0"/>
                <w:sz w:val="22"/>
                <w:szCs w:val="22"/>
                <w:u w:val="none"/>
                <w:lang w:val="en-US" w:eastAsia="zh-CN" w:bidi="ar"/>
              </w:rPr>
              <w:t xml:space="preserve"> 监理单位  意见</w:t>
            </w:r>
          </w:p>
        </w:tc>
        <w:tc>
          <w:tcPr>
            <w:tcW w:w="11895" w:type="dxa"/>
            <w:gridSpan w:val="19"/>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nil"/>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（盖     章）</w:t>
            </w: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负责人：              年   月   日</w:t>
            </w:r>
          </w:p>
        </w:tc>
      </w:tr>
      <w:tr>
        <w:tblPrEx>
          <w:tblCellMar>
            <w:top w:w="0" w:type="dxa"/>
            <w:left w:w="0" w:type="dxa"/>
            <w:bottom w:w="0" w:type="dxa"/>
            <w:right w:w="0" w:type="dxa"/>
          </w:tblCellMar>
        </w:tblPrEx>
        <w:trPr>
          <w:trHeight w:val="822" w:hRule="atLeast"/>
        </w:trPr>
        <w:tc>
          <w:tcPr>
            <w:tcW w:w="11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黑体" w:hAnsi="宋体" w:eastAsia="黑体" w:cs="黑体"/>
                <w:b/>
                <w:i w:val="0"/>
                <w:color w:val="000000"/>
                <w:sz w:val="22"/>
                <w:szCs w:val="22"/>
                <w:u w:val="none"/>
                <w:lang w:val="en-US"/>
              </w:rPr>
            </w:pPr>
            <w:r>
              <w:rPr>
                <w:rFonts w:hint="eastAsia" w:ascii="黑体" w:hAnsi="宋体" w:eastAsia="黑体" w:cs="黑体"/>
                <w:b/>
                <w:i w:val="0"/>
                <w:color w:val="000000"/>
                <w:kern w:val="0"/>
                <w:sz w:val="22"/>
                <w:szCs w:val="22"/>
                <w:u w:val="none"/>
                <w:lang w:val="en-US" w:eastAsia="zh-CN" w:bidi="ar"/>
              </w:rPr>
              <w:br w:type="textWrapping"/>
            </w:r>
            <w:r>
              <w:rPr>
                <w:rFonts w:hint="eastAsia" w:ascii="黑体" w:hAnsi="宋体" w:eastAsia="黑体" w:cs="黑体"/>
                <w:b/>
                <w:i w:val="0"/>
                <w:color w:val="000000"/>
                <w:kern w:val="0"/>
                <w:sz w:val="22"/>
                <w:szCs w:val="22"/>
                <w:u w:val="none"/>
                <w:lang w:val="en-US" w:eastAsia="zh-CN" w:bidi="ar"/>
              </w:rPr>
              <w:t>建设单位</w:t>
            </w:r>
            <w:r>
              <w:rPr>
                <w:rFonts w:hint="eastAsia" w:ascii="黑体" w:hAnsi="宋体" w:eastAsia="黑体" w:cs="黑体"/>
                <w:b/>
                <w:i w:val="0"/>
                <w:color w:val="000000"/>
                <w:kern w:val="0"/>
                <w:sz w:val="22"/>
                <w:szCs w:val="22"/>
                <w:u w:val="none"/>
                <w:lang w:val="en-US" w:eastAsia="zh-CN" w:bidi="ar"/>
              </w:rPr>
              <w:br w:type="textWrapping"/>
            </w:r>
            <w:r>
              <w:rPr>
                <w:rFonts w:hint="eastAsia" w:ascii="黑体" w:hAnsi="宋体" w:eastAsia="黑体" w:cs="黑体"/>
                <w:b/>
                <w:i w:val="0"/>
                <w:color w:val="000000"/>
                <w:kern w:val="0"/>
                <w:sz w:val="22"/>
                <w:szCs w:val="22"/>
                <w:u w:val="none"/>
                <w:lang w:val="en-US" w:eastAsia="zh-CN" w:bidi="ar"/>
              </w:rPr>
              <w:t>自审结论</w:t>
            </w:r>
          </w:p>
        </w:tc>
        <w:tc>
          <w:tcPr>
            <w:tcW w:w="11895" w:type="dxa"/>
            <w:gridSpan w:val="19"/>
            <w:tcBorders>
              <w:top w:val="single" w:color="000000" w:sz="8" w:space="0"/>
              <w:left w:val="single" w:color="000000" w:sz="8" w:space="0"/>
              <w:bottom w:val="nil"/>
              <w:right w:val="single" w:color="000000" w:sz="8" w:space="0"/>
            </w:tcBorders>
            <w:shd w:val="clear" w:color="auto" w:fill="auto"/>
            <w:noWrap/>
            <w:tcMar>
              <w:top w:w="10" w:type="dxa"/>
              <w:left w:w="10" w:type="dxa"/>
              <w:right w:w="10" w:type="dxa"/>
            </w:tcMar>
            <w:vAlign w:val="bottom"/>
          </w:tcPr>
          <w:p>
            <w:pPr>
              <w:jc w:val="center"/>
              <w:rPr>
                <w:rFonts w:hint="default"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nil"/>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（盖     章）</w:t>
            </w: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负责人：              年   月   日</w:t>
            </w:r>
          </w:p>
        </w:tc>
      </w:tr>
      <w:tr>
        <w:tblPrEx>
          <w:tblCellMar>
            <w:top w:w="0" w:type="dxa"/>
            <w:left w:w="0" w:type="dxa"/>
            <w:bottom w:w="0" w:type="dxa"/>
            <w:right w:w="0" w:type="dxa"/>
          </w:tblCellMar>
        </w:tblPrEx>
        <w:trPr>
          <w:trHeight w:val="2516" w:hRule="atLeast"/>
        </w:trPr>
        <w:tc>
          <w:tcPr>
            <w:tcW w:w="1185" w:type="dxa"/>
            <w:gridSpan w:val="3"/>
            <w:vMerge w:val="restart"/>
            <w:tcBorders>
              <w:top w:val="single" w:color="000000" w:sz="8" w:space="0"/>
              <w:left w:val="single" w:color="000000" w:sz="12"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黑体" w:hAnsi="宋体" w:eastAsia="黑体" w:cs="黑体"/>
                <w:b/>
                <w:i w:val="0"/>
                <w:color w:val="000000"/>
                <w:kern w:val="0"/>
                <w:sz w:val="22"/>
                <w:szCs w:val="22"/>
                <w:u w:val="none"/>
                <w:lang w:val="en-US" w:eastAsia="zh-CN" w:bidi="ar"/>
              </w:rPr>
            </w:pPr>
            <w:r>
              <w:rPr>
                <w:rFonts w:hint="eastAsia" w:ascii="黑体" w:hAnsi="宋体" w:eastAsia="黑体" w:cs="黑体"/>
                <w:b/>
                <w:i w:val="0"/>
                <w:color w:val="000000"/>
                <w:kern w:val="0"/>
                <w:sz w:val="22"/>
                <w:szCs w:val="22"/>
                <w:u w:val="none"/>
                <w:lang w:val="en-US" w:eastAsia="zh-CN" w:bidi="ar"/>
              </w:rPr>
              <w:t>专家评审结论（适用于二星三星）</w:t>
            </w:r>
          </w:p>
        </w:tc>
        <w:tc>
          <w:tcPr>
            <w:tcW w:w="11895" w:type="dxa"/>
            <w:gridSpan w:val="19"/>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jc w:val="both"/>
              <w:rPr>
                <w:rFonts w:hint="eastAsia" w:ascii="仿宋_GB2312" w:hAnsi="宋体" w:eastAsia="仿宋_GB2312" w:cs="仿宋_GB2312"/>
                <w:i w:val="0"/>
                <w:color w:val="000000"/>
                <w:kern w:val="0"/>
                <w:sz w:val="24"/>
                <w:szCs w:val="24"/>
                <w:u w:val="none"/>
                <w:lang w:val="en-US" w:eastAsia="zh-CN" w:bidi="ar"/>
              </w:rPr>
            </w:pPr>
          </w:p>
          <w:p>
            <w:pPr>
              <w:jc w:val="both"/>
              <w:rPr>
                <w:rFonts w:hint="eastAsia" w:ascii="仿宋_GB2312" w:hAnsi="宋体" w:eastAsia="仿宋_GB2312" w:cs="仿宋_GB2312"/>
                <w:i w:val="0"/>
                <w:color w:val="000000"/>
                <w:kern w:val="0"/>
                <w:sz w:val="24"/>
                <w:szCs w:val="24"/>
                <w:u w:val="none"/>
                <w:lang w:val="en-US" w:eastAsia="zh-CN" w:bidi="ar"/>
              </w:rPr>
            </w:pPr>
          </w:p>
          <w:p>
            <w:pPr>
              <w:jc w:val="both"/>
              <w:rPr>
                <w:rFonts w:hint="eastAsia" w:ascii="仿宋_GB2312" w:hAnsi="宋体" w:eastAsia="仿宋_GB2312" w:cs="仿宋_GB2312"/>
                <w:i w:val="0"/>
                <w:color w:val="000000"/>
                <w:kern w:val="0"/>
                <w:sz w:val="24"/>
                <w:szCs w:val="24"/>
                <w:u w:val="none"/>
                <w:lang w:val="en-US" w:eastAsia="zh-CN" w:bidi="ar"/>
              </w:rPr>
            </w:pPr>
          </w:p>
          <w:p>
            <w:pPr>
              <w:jc w:val="both"/>
              <w:rPr>
                <w:rFonts w:hint="eastAsia" w:ascii="仿宋_GB2312" w:hAnsi="宋体" w:eastAsia="仿宋_GB2312" w:cs="仿宋_GB2312"/>
                <w:i w:val="0"/>
                <w:color w:val="000000"/>
                <w:kern w:val="0"/>
                <w:sz w:val="24"/>
                <w:szCs w:val="24"/>
                <w:u w:val="none"/>
                <w:lang w:val="en-US" w:eastAsia="zh-CN" w:bidi="ar"/>
              </w:rPr>
            </w:pPr>
          </w:p>
          <w:p>
            <w:pPr>
              <w:jc w:val="both"/>
              <w:rPr>
                <w:rFonts w:hint="eastAsia" w:ascii="仿宋_GB2312" w:hAnsi="宋体" w:eastAsia="仿宋_GB2312" w:cs="仿宋_GB2312"/>
                <w:i w:val="0"/>
                <w:color w:val="000000"/>
                <w:kern w:val="0"/>
                <w:sz w:val="24"/>
                <w:szCs w:val="24"/>
                <w:u w:val="none"/>
                <w:lang w:val="en-US" w:eastAsia="zh-CN" w:bidi="ar"/>
              </w:rPr>
            </w:pPr>
          </w:p>
          <w:p>
            <w:pPr>
              <w:jc w:val="both"/>
              <w:rPr>
                <w:rFonts w:hint="eastAsia" w:ascii="仿宋_GB2312" w:hAnsi="宋体" w:eastAsia="仿宋_GB2312" w:cs="仿宋_GB2312"/>
                <w:i w:val="0"/>
                <w:color w:val="000000"/>
                <w:kern w:val="0"/>
                <w:sz w:val="24"/>
                <w:szCs w:val="24"/>
                <w:u w:val="none"/>
                <w:lang w:val="en-US" w:eastAsia="zh-CN" w:bidi="ar"/>
              </w:rPr>
            </w:pPr>
          </w:p>
          <w:p>
            <w:pPr>
              <w:jc w:val="both"/>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 xml:space="preserve">   </w:t>
            </w:r>
          </w:p>
          <w:p>
            <w:pPr>
              <w:jc w:val="both"/>
              <w:rPr>
                <w:rFonts w:hint="eastAsia" w:ascii="黑体" w:hAnsi="宋体" w:eastAsia="黑体" w:cs="黑体"/>
                <w:b/>
                <w:i w:val="0"/>
                <w:color w:val="000000"/>
                <w:sz w:val="22"/>
                <w:szCs w:val="22"/>
                <w:u w:val="none"/>
              </w:rPr>
            </w:pPr>
            <w:r>
              <w:rPr>
                <w:rFonts w:hint="eastAsia" w:ascii="仿宋_GB2312" w:hAnsi="宋体" w:eastAsia="仿宋_GB2312" w:cs="仿宋_GB2312"/>
                <w:i w:val="0"/>
                <w:color w:val="000000"/>
                <w:kern w:val="0"/>
                <w:sz w:val="24"/>
                <w:szCs w:val="24"/>
                <w:u w:val="none"/>
                <w:lang w:val="en-US" w:eastAsia="zh-CN" w:bidi="ar"/>
              </w:rPr>
              <w:t>专家组长签字：              专家组签字</w:t>
            </w:r>
            <w:r>
              <w:rPr>
                <w:rFonts w:hint="default" w:ascii="仿宋_GB2312" w:hAnsi="宋体" w:eastAsia="仿宋_GB2312" w:cs="仿宋_GB2312"/>
                <w:i w:val="0"/>
                <w:color w:val="000000"/>
                <w:kern w:val="0"/>
                <w:sz w:val="24"/>
                <w:szCs w:val="24"/>
                <w:u w:val="none"/>
                <w:lang w:val="en-US" w:eastAsia="zh-CN" w:bidi="ar"/>
              </w:rPr>
              <w:t xml:space="preserve">：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 年   月   日</w:t>
            </w:r>
          </w:p>
        </w:tc>
      </w:tr>
      <w:tr>
        <w:tblPrEx>
          <w:tblCellMar>
            <w:top w:w="0" w:type="dxa"/>
            <w:left w:w="0" w:type="dxa"/>
            <w:bottom w:w="0" w:type="dxa"/>
            <w:right w:w="0" w:type="dxa"/>
          </w:tblCellMar>
        </w:tblPrEx>
        <w:trPr>
          <w:trHeight w:val="822" w:hRule="atLeast"/>
        </w:trPr>
        <w:tc>
          <w:tcPr>
            <w:tcW w:w="1185" w:type="dxa"/>
            <w:gridSpan w:val="3"/>
            <w:vMerge w:val="restart"/>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黑体" w:hAnsi="宋体" w:eastAsia="黑体" w:cs="黑体"/>
                <w:b/>
                <w:i w:val="0"/>
                <w:color w:val="000000"/>
                <w:sz w:val="22"/>
                <w:szCs w:val="22"/>
                <w:u w:val="none"/>
                <w:lang w:val="en-US"/>
              </w:rPr>
            </w:pPr>
            <w:r>
              <w:rPr>
                <w:rFonts w:hint="eastAsia" w:ascii="黑体" w:hAnsi="宋体" w:eastAsia="黑体" w:cs="黑体"/>
                <w:b/>
                <w:i w:val="0"/>
                <w:color w:val="000000"/>
                <w:kern w:val="0"/>
                <w:sz w:val="22"/>
                <w:szCs w:val="22"/>
                <w:u w:val="none"/>
                <w:lang w:val="en-US" w:eastAsia="zh-CN" w:bidi="ar"/>
              </w:rPr>
              <w:t>主管部门意见</w:t>
            </w:r>
          </w:p>
        </w:tc>
        <w:tc>
          <w:tcPr>
            <w:tcW w:w="11895" w:type="dxa"/>
            <w:gridSpan w:val="19"/>
            <w:tcBorders>
              <w:top w:val="single" w:color="000000" w:sz="8" w:space="0"/>
              <w:left w:val="single" w:color="000000" w:sz="8" w:space="0"/>
              <w:bottom w:val="nil"/>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nil"/>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（盖     章）</w:t>
            </w:r>
          </w:p>
        </w:tc>
      </w:tr>
      <w:tr>
        <w:tblPrEx>
          <w:tblCellMar>
            <w:top w:w="0" w:type="dxa"/>
            <w:left w:w="0" w:type="dxa"/>
            <w:bottom w:w="0" w:type="dxa"/>
            <w:right w:w="0" w:type="dxa"/>
          </w:tblCellMar>
        </w:tblPrEx>
        <w:trPr>
          <w:trHeight w:val="822" w:hRule="atLeast"/>
        </w:trPr>
        <w:tc>
          <w:tcPr>
            <w:tcW w:w="1185" w:type="dxa"/>
            <w:gridSpan w:val="3"/>
            <w:vMerge w:val="continue"/>
            <w:tcBorders>
              <w:top w:val="single" w:color="000000" w:sz="8" w:space="0"/>
              <w:left w:val="single" w:color="000000" w:sz="12"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黑体" w:hAnsi="宋体" w:eastAsia="黑体" w:cs="黑体"/>
                <w:b/>
                <w:i w:val="0"/>
                <w:color w:val="000000"/>
                <w:sz w:val="22"/>
                <w:szCs w:val="22"/>
                <w:u w:val="none"/>
              </w:rPr>
            </w:pPr>
          </w:p>
        </w:tc>
        <w:tc>
          <w:tcPr>
            <w:tcW w:w="11895" w:type="dxa"/>
            <w:gridSpan w:val="19"/>
            <w:tcBorders>
              <w:top w:val="nil"/>
              <w:left w:val="single" w:color="000000" w:sz="8" w:space="0"/>
              <w:bottom w:val="single" w:color="000000" w:sz="12" w:space="0"/>
              <w:right w:val="single" w:color="000000" w:sz="8" w:space="0"/>
            </w:tcBorders>
            <w:shd w:val="clear" w:color="auto" w:fill="auto"/>
            <w:noWrap/>
            <w:tcMar>
              <w:top w:w="10" w:type="dxa"/>
              <w:left w:w="10" w:type="dxa"/>
              <w:right w:w="10" w:type="dxa"/>
            </w:tcMar>
            <w:vAlign w:val="bottom"/>
          </w:tcPr>
          <w:p>
            <w:pPr>
              <w:keepNext w:val="0"/>
              <w:keepLines w:val="0"/>
              <w:widowControl/>
              <w:suppressLineNumbers w:val="0"/>
              <w:jc w:val="center"/>
              <w:textAlignment w:val="bottom"/>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 xml:space="preserve">负责人：         </w:t>
            </w:r>
            <w:r>
              <w:rPr>
                <w:rFonts w:hint="eastAsia"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t>年   月   日</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sectPr>
      <w:pgSz w:w="16783" w:h="23757"/>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64D8A"/>
    <w:multiLevelType w:val="singleLevel"/>
    <w:tmpl w:val="35364D8A"/>
    <w:lvl w:ilvl="0" w:tentative="0">
      <w:start w:val="5"/>
      <w:numFmt w:val="chineseCounting"/>
      <w:suff w:val="space"/>
      <w:lvlText w:val="%1、"/>
      <w:lvlJc w:val="left"/>
      <w:rPr>
        <w:rFonts w:hint="eastAsia"/>
      </w:rPr>
    </w:lvl>
  </w:abstractNum>
  <w:abstractNum w:abstractNumId="1">
    <w:nsid w:val="59DFA114"/>
    <w:multiLevelType w:val="singleLevel"/>
    <w:tmpl w:val="59DFA114"/>
    <w:lvl w:ilvl="0" w:tentative="0">
      <w:start w:val="2"/>
      <w:numFmt w:val="chineseCounting"/>
      <w:suff w:val="space"/>
      <w:lvlText w:val="%1、"/>
      <w:lvlJc w:val="left"/>
      <w:pPr>
        <w:ind w:left="602"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61D6E"/>
    <w:rsid w:val="02224626"/>
    <w:rsid w:val="033B3420"/>
    <w:rsid w:val="04FB40D6"/>
    <w:rsid w:val="0A7E58D2"/>
    <w:rsid w:val="0C75019B"/>
    <w:rsid w:val="0CD04CB4"/>
    <w:rsid w:val="0F414BA8"/>
    <w:rsid w:val="10B0263D"/>
    <w:rsid w:val="12412AAB"/>
    <w:rsid w:val="1A0F21FD"/>
    <w:rsid w:val="1AB630D7"/>
    <w:rsid w:val="1BE86120"/>
    <w:rsid w:val="1E22160C"/>
    <w:rsid w:val="20F20EC8"/>
    <w:rsid w:val="20F73C51"/>
    <w:rsid w:val="21732A85"/>
    <w:rsid w:val="220910A9"/>
    <w:rsid w:val="24875FE5"/>
    <w:rsid w:val="27AC6F63"/>
    <w:rsid w:val="292F363A"/>
    <w:rsid w:val="2DB76335"/>
    <w:rsid w:val="2FDC350C"/>
    <w:rsid w:val="31FF7146"/>
    <w:rsid w:val="39E41CE8"/>
    <w:rsid w:val="3F6C31ED"/>
    <w:rsid w:val="423C2193"/>
    <w:rsid w:val="46E12B63"/>
    <w:rsid w:val="48282A51"/>
    <w:rsid w:val="4AC26FD0"/>
    <w:rsid w:val="4B096D18"/>
    <w:rsid w:val="4C451101"/>
    <w:rsid w:val="4C5C66FE"/>
    <w:rsid w:val="4DE15198"/>
    <w:rsid w:val="4EB5181F"/>
    <w:rsid w:val="4FB475AF"/>
    <w:rsid w:val="503937FA"/>
    <w:rsid w:val="51687698"/>
    <w:rsid w:val="51DA19BA"/>
    <w:rsid w:val="53126170"/>
    <w:rsid w:val="547D2941"/>
    <w:rsid w:val="550432C3"/>
    <w:rsid w:val="56E75134"/>
    <w:rsid w:val="57E4160B"/>
    <w:rsid w:val="5AA22572"/>
    <w:rsid w:val="5D054E67"/>
    <w:rsid w:val="5D380BFE"/>
    <w:rsid w:val="5F337CFD"/>
    <w:rsid w:val="5FD34AD7"/>
    <w:rsid w:val="611D1FCF"/>
    <w:rsid w:val="6182794A"/>
    <w:rsid w:val="63967BBB"/>
    <w:rsid w:val="65454672"/>
    <w:rsid w:val="681020A2"/>
    <w:rsid w:val="6BB056C7"/>
    <w:rsid w:val="6CC50D13"/>
    <w:rsid w:val="6CE929B6"/>
    <w:rsid w:val="6D085D71"/>
    <w:rsid w:val="6D615B95"/>
    <w:rsid w:val="6D9405BB"/>
    <w:rsid w:val="6F1B7D29"/>
    <w:rsid w:val="6F691DE2"/>
    <w:rsid w:val="6FBA0196"/>
    <w:rsid w:val="70856B50"/>
    <w:rsid w:val="71C611F9"/>
    <w:rsid w:val="747E3E51"/>
    <w:rsid w:val="75882D32"/>
    <w:rsid w:val="75D420BE"/>
    <w:rsid w:val="76220901"/>
    <w:rsid w:val="767B1317"/>
    <w:rsid w:val="77B157FF"/>
    <w:rsid w:val="7B6159CB"/>
    <w:rsid w:val="7DDD4AAC"/>
    <w:rsid w:val="7E5365BB"/>
    <w:rsid w:val="7F3D7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character" w:customStyle="1" w:styleId="5">
    <w:name w:val="font61"/>
    <w:basedOn w:val="4"/>
    <w:qFormat/>
    <w:uiPriority w:val="0"/>
    <w:rPr>
      <w:rFonts w:hint="default" w:ascii="仿宋_GB2312" w:eastAsia="仿宋_GB2312" w:cs="仿宋_GB2312"/>
      <w:b/>
      <w:color w:val="000000"/>
      <w:sz w:val="14"/>
      <w:szCs w:val="14"/>
      <w:u w:val="single"/>
    </w:rPr>
  </w:style>
  <w:style w:type="character" w:customStyle="1" w:styleId="6">
    <w:name w:val="font71"/>
    <w:basedOn w:val="4"/>
    <w:qFormat/>
    <w:uiPriority w:val="0"/>
    <w:rPr>
      <w:rFonts w:hint="default" w:ascii="仿宋_GB2312" w:eastAsia="仿宋_GB2312" w:cs="仿宋_GB2312"/>
      <w:b/>
      <w:color w:val="000000"/>
      <w:sz w:val="14"/>
      <w:szCs w:val="14"/>
      <w:u w:val="none"/>
    </w:rPr>
  </w:style>
  <w:style w:type="character" w:customStyle="1" w:styleId="7">
    <w:name w:val="font21"/>
    <w:basedOn w:val="4"/>
    <w:qFormat/>
    <w:uiPriority w:val="0"/>
    <w:rPr>
      <w:rFonts w:hint="default" w:ascii="仿宋_GB2312" w:eastAsia="仿宋_GB2312" w:cs="仿宋_GB2312"/>
      <w:b/>
      <w:color w:val="000000"/>
      <w:sz w:val="16"/>
      <w:szCs w:val="16"/>
      <w:u w:val="single"/>
    </w:rPr>
  </w:style>
  <w:style w:type="character" w:customStyle="1" w:styleId="8">
    <w:name w:val="font91"/>
    <w:basedOn w:val="4"/>
    <w:qFormat/>
    <w:uiPriority w:val="0"/>
    <w:rPr>
      <w:rFonts w:hint="eastAsia" w:ascii="黑体" w:hAnsi="宋体" w:eastAsia="黑体" w:cs="黑体"/>
      <w:b/>
      <w:color w:val="000000"/>
      <w:sz w:val="22"/>
      <w:szCs w:val="22"/>
      <w:u w:val="none"/>
    </w:rPr>
  </w:style>
  <w:style w:type="character" w:customStyle="1" w:styleId="9">
    <w:name w:val="font131"/>
    <w:basedOn w:val="4"/>
    <w:qFormat/>
    <w:uiPriority w:val="0"/>
    <w:rPr>
      <w:rFonts w:hint="default" w:ascii="仿宋_GB2312" w:eastAsia="仿宋_GB2312" w:cs="仿宋_GB2312"/>
      <w:b/>
      <w:color w:val="000000"/>
      <w:sz w:val="20"/>
      <w:szCs w:val="20"/>
      <w:u w:val="none"/>
    </w:rPr>
  </w:style>
  <w:style w:type="character" w:customStyle="1" w:styleId="10">
    <w:name w:val="font41"/>
    <w:basedOn w:val="4"/>
    <w:qFormat/>
    <w:uiPriority w:val="0"/>
    <w:rPr>
      <w:rFonts w:hint="eastAsia" w:ascii="黑体" w:hAnsi="宋体" w:eastAsia="黑体" w:cs="黑体"/>
      <w:b/>
      <w:color w:val="000000"/>
      <w:sz w:val="14"/>
      <w:szCs w:val="14"/>
      <w:u w:val="none"/>
    </w:rPr>
  </w:style>
  <w:style w:type="character" w:customStyle="1" w:styleId="11">
    <w:name w:val="font101"/>
    <w:basedOn w:val="4"/>
    <w:qFormat/>
    <w:uiPriority w:val="0"/>
    <w:rPr>
      <w:rFonts w:hint="default" w:ascii="仿宋_GB2312" w:eastAsia="仿宋_GB2312" w:cs="仿宋_GB2312"/>
      <w:b/>
      <w:color w:val="000000"/>
      <w:sz w:val="20"/>
      <w:szCs w:val="20"/>
      <w:u w:val="single"/>
    </w:rPr>
  </w:style>
  <w:style w:type="character" w:customStyle="1" w:styleId="12">
    <w:name w:val="font51"/>
    <w:basedOn w:val="4"/>
    <w:qFormat/>
    <w:uiPriority w:val="0"/>
    <w:rPr>
      <w:rFonts w:hint="default" w:ascii="仿宋_GB2312" w:eastAsia="仿宋_GB2312" w:cs="仿宋_GB2312"/>
      <w:b/>
      <w:color w:val="000000"/>
      <w:sz w:val="20"/>
      <w:szCs w:val="20"/>
      <w:u w:val="none"/>
    </w:rPr>
  </w:style>
  <w:style w:type="paragraph" w:customStyle="1" w:styleId="13">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消音的盛夏</cp:lastModifiedBy>
  <dcterms:modified xsi:type="dcterms:W3CDTF">2020-08-05T10:41:14Z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