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4E7" w:rsidRPr="004A65F9" w:rsidRDefault="004A65F9" w:rsidP="004A65F9">
      <w:pPr>
        <w:pStyle w:val="Bodytext10"/>
        <w:spacing w:after="120" w:line="240" w:lineRule="auto"/>
        <w:ind w:right="1460" w:firstLine="0"/>
        <w:jc w:val="center"/>
        <w:rPr>
          <w:lang w:eastAsia="zh-CN"/>
        </w:rPr>
      </w:pPr>
      <w:bookmarkStart w:id="0" w:name="bookmark7"/>
      <w:bookmarkStart w:id="1" w:name="bookmark8"/>
      <w:bookmarkStart w:id="2" w:name="bookmark9"/>
      <w:bookmarkStart w:id="3" w:name="_GoBack"/>
      <w:bookmarkEnd w:id="3"/>
      <w:r>
        <w:rPr>
          <w:rFonts w:hint="eastAsia"/>
          <w:b/>
          <w:sz w:val="36"/>
          <w:szCs w:val="36"/>
          <w:lang w:eastAsia="zh-CN"/>
        </w:rPr>
        <w:t xml:space="preserve">      </w:t>
      </w:r>
      <w:r w:rsidR="0055588C" w:rsidRPr="004A65F9">
        <w:rPr>
          <w:b/>
          <w:sz w:val="36"/>
          <w:szCs w:val="36"/>
        </w:rPr>
        <w:t>绿色建筑专项行动方案</w:t>
      </w:r>
      <w:bookmarkEnd w:id="0"/>
      <w:bookmarkEnd w:id="1"/>
      <w:bookmarkEnd w:id="2"/>
    </w:p>
    <w:p w:rsidR="00CE74E7" w:rsidRDefault="0055588C">
      <w:pPr>
        <w:pStyle w:val="Bodytext10"/>
        <w:spacing w:line="571" w:lineRule="exact"/>
        <w:ind w:firstLine="660"/>
        <w:jc w:val="both"/>
      </w:pPr>
      <w:r>
        <w:t>为贯彻落实中央、国家和省关于能源革命、绿色生活创建行动有关部署，推进以绿色、低碳、多元、高效、智能为方向的新一轮能源变革，推动致力于绿色发展、高质量发展的节能建筑，</w:t>
      </w:r>
      <w:r>
        <w:t xml:space="preserve"> </w:t>
      </w:r>
      <w:r>
        <w:t>满足人民日益增长的美好生活需要，制定本行动方案。</w:t>
      </w:r>
    </w:p>
    <w:p w:rsidR="00CE74E7" w:rsidRDefault="0055588C">
      <w:pPr>
        <w:pStyle w:val="Bodytext10"/>
        <w:spacing w:line="571" w:lineRule="exact"/>
        <w:ind w:firstLine="660"/>
        <w:jc w:val="both"/>
      </w:pPr>
      <w:r>
        <w:rPr>
          <w:b/>
          <w:bCs/>
          <w:lang w:val="en-US" w:eastAsia="zh-CN" w:bidi="en-US"/>
        </w:rPr>
        <w:t>—</w:t>
      </w:r>
      <w:r>
        <w:rPr>
          <w:b/>
          <w:bCs/>
        </w:rPr>
        <w:t>、总体要求</w:t>
      </w:r>
    </w:p>
    <w:p w:rsidR="00CE74E7" w:rsidRDefault="0055588C">
      <w:pPr>
        <w:pStyle w:val="Bodytext10"/>
        <w:tabs>
          <w:tab w:val="left" w:pos="1601"/>
        </w:tabs>
        <w:spacing w:line="571" w:lineRule="exact"/>
        <w:ind w:firstLine="760"/>
        <w:jc w:val="both"/>
      </w:pPr>
      <w:bookmarkStart w:id="4" w:name="bookmark10"/>
      <w:r>
        <w:rPr>
          <w:b/>
          <w:bCs/>
        </w:rPr>
        <w:t>（</w:t>
      </w:r>
      <w:bookmarkEnd w:id="4"/>
      <w:r>
        <w:rPr>
          <w:b/>
          <w:bCs/>
        </w:rPr>
        <w:t>一）</w:t>
      </w:r>
      <w:r>
        <w:rPr>
          <w:b/>
          <w:bCs/>
        </w:rPr>
        <w:tab/>
      </w:r>
      <w:r>
        <w:rPr>
          <w:b/>
          <w:bCs/>
        </w:rPr>
        <w:t>指导思想</w:t>
      </w:r>
    </w:p>
    <w:p w:rsidR="00CE74E7" w:rsidRDefault="0055588C">
      <w:pPr>
        <w:pStyle w:val="Bodytext10"/>
        <w:spacing w:line="571" w:lineRule="exact"/>
        <w:ind w:firstLine="660"/>
        <w:jc w:val="both"/>
      </w:pPr>
      <w:r>
        <w:t>以习近平新时代中国特色社会主义思想为指导，全面贯彻党</w:t>
      </w:r>
      <w:r>
        <w:t xml:space="preserve"> </w:t>
      </w:r>
      <w:r>
        <w:t>的十九大、十九届二中、三中、四中全会精神和省委省政府</w:t>
      </w:r>
      <w:r>
        <w:rPr>
          <w:lang w:val="zh-CN" w:eastAsia="zh-CN" w:bidi="zh-CN"/>
        </w:rPr>
        <w:t>“</w:t>
      </w:r>
      <w:r>
        <w:rPr>
          <w:lang w:val="zh-CN" w:eastAsia="zh-CN" w:bidi="zh-CN"/>
        </w:rPr>
        <w:t>四</w:t>
      </w:r>
      <w:r>
        <w:t>为四高两同步</w:t>
      </w:r>
      <w:r>
        <w:t>”</w:t>
      </w:r>
      <w:r>
        <w:t>总体思路，紧紧抓住我省能源革命综合改革试点的重大战略机遇，坚持创</w:t>
      </w:r>
      <w:r>
        <w:rPr>
          <w:rFonts w:hint="eastAsia"/>
          <w:lang w:eastAsia="zh-CN"/>
        </w:rPr>
        <w:t>新</w:t>
      </w:r>
      <w:r>
        <w:t>发展理念，坚持高质</w:t>
      </w:r>
      <w:r>
        <w:rPr>
          <w:rFonts w:hint="eastAsia"/>
          <w:lang w:eastAsia="zh-CN"/>
        </w:rPr>
        <w:t>量</w:t>
      </w:r>
      <w:r>
        <w:t>发展，坚持绿色建筑优先原则，优化用能结构，提高用能效率，转变建造方式，提升建筑品质，为我省能源革命综合改革试点提供住建路径。</w:t>
      </w:r>
    </w:p>
    <w:p w:rsidR="00CE74E7" w:rsidRDefault="0055588C">
      <w:pPr>
        <w:pStyle w:val="Bodytext10"/>
        <w:tabs>
          <w:tab w:val="left" w:pos="1601"/>
        </w:tabs>
        <w:spacing w:after="60" w:line="571" w:lineRule="exact"/>
        <w:ind w:firstLine="760"/>
        <w:jc w:val="both"/>
      </w:pPr>
      <w:bookmarkStart w:id="5" w:name="bookmark11"/>
      <w:r>
        <w:rPr>
          <w:b/>
          <w:bCs/>
        </w:rPr>
        <w:t>（</w:t>
      </w:r>
      <w:bookmarkEnd w:id="5"/>
      <w:r>
        <w:rPr>
          <w:b/>
          <w:bCs/>
        </w:rPr>
        <w:t>二）</w:t>
      </w:r>
      <w:r>
        <w:rPr>
          <w:b/>
          <w:bCs/>
        </w:rPr>
        <w:tab/>
      </w:r>
      <w:r>
        <w:rPr>
          <w:b/>
          <w:bCs/>
        </w:rPr>
        <w:t>主要目标</w:t>
      </w:r>
    </w:p>
    <w:p w:rsidR="00CE74E7" w:rsidRDefault="0055588C">
      <w:pPr>
        <w:pStyle w:val="Bodytext10"/>
        <w:numPr>
          <w:ilvl w:val="0"/>
          <w:numId w:val="1"/>
        </w:numPr>
        <w:tabs>
          <w:tab w:val="left" w:pos="1050"/>
        </w:tabs>
        <w:spacing w:line="567" w:lineRule="exact"/>
        <w:ind w:firstLine="660"/>
        <w:jc w:val="both"/>
      </w:pPr>
      <w:bookmarkStart w:id="6" w:name="bookmark12"/>
      <w:bookmarkEnd w:id="6"/>
      <w:r>
        <w:rPr>
          <w:b/>
          <w:bCs/>
        </w:rPr>
        <w:t>绿色建筑全面发展</w:t>
      </w:r>
      <w:r>
        <w:t>。推动全省城镇新建建筑全面执行绿色</w:t>
      </w:r>
      <w:r>
        <w:t xml:space="preserve"> </w:t>
      </w:r>
      <w:r>
        <w:t>建筑标准。</w:t>
      </w:r>
      <w:r>
        <w:rPr>
          <w:rFonts w:ascii="Times New Roman" w:eastAsia="Times New Roman" w:hAnsi="Times New Roman" w:cs="Times New Roman"/>
        </w:rPr>
        <w:t>2020</w:t>
      </w:r>
      <w:r>
        <w:t>年，绿色建筑占新建建筑面积的比例达到</w:t>
      </w:r>
      <w:r>
        <w:rPr>
          <w:rFonts w:ascii="Times New Roman" w:eastAsia="Times New Roman" w:hAnsi="Times New Roman" w:cs="Times New Roman"/>
        </w:rPr>
        <w:t>50%</w:t>
      </w:r>
      <w:r>
        <w:t>。</w:t>
      </w:r>
      <w:r>
        <w:rPr>
          <w:rFonts w:ascii="Times New Roman" w:eastAsia="Times New Roman" w:hAnsi="Times New Roman" w:cs="Times New Roman"/>
        </w:rPr>
        <w:t>2022</w:t>
      </w:r>
      <w:r>
        <w:t>年，绿色建筑占新建建筑面积的比例达到</w:t>
      </w:r>
      <w:r>
        <w:rPr>
          <w:rFonts w:ascii="Times New Roman" w:eastAsia="Times New Roman" w:hAnsi="Times New Roman" w:cs="Times New Roman"/>
        </w:rPr>
        <w:t>60%</w:t>
      </w:r>
      <w:r>
        <w:t>。绿色建筑集</w:t>
      </w:r>
      <w:r>
        <w:t xml:space="preserve"> </w:t>
      </w:r>
      <w:r>
        <w:t>中示范区建设取得明显成效。</w:t>
      </w:r>
    </w:p>
    <w:p w:rsidR="00CE74E7" w:rsidRDefault="0055588C">
      <w:pPr>
        <w:pStyle w:val="Bodytext10"/>
        <w:numPr>
          <w:ilvl w:val="0"/>
          <w:numId w:val="1"/>
        </w:numPr>
        <w:tabs>
          <w:tab w:val="left" w:pos="1042"/>
        </w:tabs>
        <w:spacing w:line="567" w:lineRule="exact"/>
        <w:ind w:firstLine="660"/>
        <w:jc w:val="both"/>
      </w:pPr>
      <w:bookmarkStart w:id="7" w:name="bookmark13"/>
      <w:bookmarkEnd w:id="7"/>
      <w:r>
        <w:rPr>
          <w:b/>
          <w:bCs/>
          <w:lang w:val="zh-CN" w:eastAsia="zh-CN" w:bidi="zh-CN"/>
        </w:rPr>
        <w:t>装</w:t>
      </w:r>
      <w:r>
        <w:rPr>
          <w:b/>
          <w:bCs/>
        </w:rPr>
        <w:t>配式建筑稳步推进。</w:t>
      </w:r>
      <w:r>
        <w:rPr>
          <w:rFonts w:ascii="Times New Roman" w:eastAsia="Times New Roman" w:hAnsi="Times New Roman" w:cs="Times New Roman"/>
        </w:rPr>
        <w:t>2020</w:t>
      </w:r>
      <w:r>
        <w:t>年，全省新开工装配式建筑</w:t>
      </w:r>
      <w:r>
        <w:t xml:space="preserve"> </w:t>
      </w:r>
      <w:r>
        <w:rPr>
          <w:rFonts w:ascii="Times New Roman" w:eastAsia="Times New Roman" w:hAnsi="Times New Roman" w:cs="Times New Roman"/>
        </w:rPr>
        <w:t>400</w:t>
      </w:r>
      <w:r>
        <w:t>万平方米，设区城市装配式建筑占新建建筑面积的比例达到</w:t>
      </w:r>
      <w:r>
        <w:t xml:space="preserve"> </w:t>
      </w:r>
      <w:r>
        <w:rPr>
          <w:rFonts w:ascii="Times New Roman" w:eastAsia="Times New Roman" w:hAnsi="Times New Roman" w:cs="Times New Roman"/>
        </w:rPr>
        <w:t>15%,</w:t>
      </w:r>
      <w:r>
        <w:t>其中太原市、大同市达到</w:t>
      </w:r>
      <w:r>
        <w:rPr>
          <w:rFonts w:ascii="Times New Roman" w:eastAsia="Times New Roman" w:hAnsi="Times New Roman" w:cs="Times New Roman"/>
        </w:rPr>
        <w:t>25%</w:t>
      </w:r>
      <w:r>
        <w:t>。</w:t>
      </w:r>
      <w:r>
        <w:rPr>
          <w:rFonts w:ascii="Times New Roman" w:eastAsia="Times New Roman" w:hAnsi="Times New Roman" w:cs="Times New Roman"/>
        </w:rPr>
        <w:t>2022</w:t>
      </w:r>
      <w:r>
        <w:t>年，全省新开工装配式建筑</w:t>
      </w:r>
      <w:r>
        <w:rPr>
          <w:rFonts w:ascii="Times New Roman" w:eastAsia="Times New Roman" w:hAnsi="Times New Roman" w:cs="Times New Roman"/>
          <w:lang w:val="zh-CN" w:eastAsia="zh-CN" w:bidi="zh-CN"/>
        </w:rPr>
        <w:t>600</w:t>
      </w:r>
      <w:r>
        <w:t>万平方米，装配式建筑占新建建筑面积的比例达到</w:t>
      </w:r>
      <w:r>
        <w:t xml:space="preserve"> </w:t>
      </w:r>
      <w:r>
        <w:rPr>
          <w:rFonts w:ascii="Times New Roman" w:eastAsia="Times New Roman" w:hAnsi="Times New Roman" w:cs="Times New Roman"/>
        </w:rPr>
        <w:t>21%,</w:t>
      </w:r>
      <w:r>
        <w:t>太原、大同两市达</w:t>
      </w:r>
      <w:r>
        <w:lastRenderedPageBreak/>
        <w:t>到</w:t>
      </w:r>
      <w:r>
        <w:rPr>
          <w:rFonts w:ascii="Times New Roman" w:eastAsia="Times New Roman" w:hAnsi="Times New Roman" w:cs="Times New Roman"/>
        </w:rPr>
        <w:t>30%</w:t>
      </w:r>
      <w:r>
        <w:t>。</w:t>
      </w:r>
    </w:p>
    <w:p w:rsidR="00CE74E7" w:rsidRDefault="0055588C">
      <w:pPr>
        <w:pStyle w:val="Bodytext10"/>
        <w:spacing w:line="579" w:lineRule="exact"/>
        <w:ind w:firstLine="660"/>
        <w:jc w:val="both"/>
      </w:pPr>
      <w:r>
        <w:rPr>
          <w:rFonts w:ascii="Times New Roman" w:eastAsia="Times New Roman" w:hAnsi="Times New Roman" w:cs="Times New Roman"/>
        </w:rPr>
        <w:t>3</w:t>
      </w:r>
      <w:r>
        <w:rPr>
          <w:b/>
          <w:bCs/>
          <w:lang w:val="zh-CN" w:eastAsia="zh-CN" w:bidi="zh-CN"/>
        </w:rPr>
        <w:t>.</w:t>
      </w:r>
      <w:r>
        <w:rPr>
          <w:b/>
          <w:bCs/>
          <w:lang w:val="zh-CN" w:eastAsia="zh-CN" w:bidi="zh-CN"/>
        </w:rPr>
        <w:t>开展</w:t>
      </w:r>
      <w:r>
        <w:rPr>
          <w:b/>
          <w:bCs/>
        </w:rPr>
        <w:t>绿色建筑创新示范。</w:t>
      </w:r>
      <w:r>
        <w:t>开展绿色建筑、装配式建筑、超</w:t>
      </w:r>
      <w:r>
        <w:t xml:space="preserve"> </w:t>
      </w:r>
      <w:r>
        <w:t>低能耗建筑、绿色建造试点示范（以下统称绿色建筑创</w:t>
      </w:r>
      <w:r>
        <w:t>新示范）</w:t>
      </w:r>
      <w:r>
        <w:t xml:space="preserve">, </w:t>
      </w:r>
      <w:r>
        <w:t>引导建筑业向绿色创新转型发展。</w:t>
      </w:r>
      <w:r>
        <w:rPr>
          <w:rFonts w:ascii="Times New Roman" w:eastAsia="Times New Roman" w:hAnsi="Times New Roman" w:cs="Times New Roman"/>
        </w:rPr>
        <w:t>2022</w:t>
      </w:r>
      <w:r>
        <w:t>年，创建一批高效集约型绿色建筑，形成可复制、可推广的住建领域能源革命综合改革成功经验。</w:t>
      </w:r>
    </w:p>
    <w:p w:rsidR="00CE74E7" w:rsidRDefault="0055588C">
      <w:pPr>
        <w:pStyle w:val="Bodytext10"/>
        <w:spacing w:line="579" w:lineRule="exact"/>
        <w:ind w:firstLine="660"/>
        <w:jc w:val="both"/>
      </w:pPr>
      <w:r>
        <w:rPr>
          <w:b/>
          <w:bCs/>
        </w:rPr>
        <w:t>二、重点任务</w:t>
      </w:r>
    </w:p>
    <w:p w:rsidR="00CE74E7" w:rsidRDefault="0055588C">
      <w:pPr>
        <w:pStyle w:val="Bodytext10"/>
        <w:tabs>
          <w:tab w:val="left" w:pos="1610"/>
        </w:tabs>
        <w:spacing w:line="579" w:lineRule="exact"/>
        <w:ind w:firstLine="780"/>
      </w:pPr>
      <w:bookmarkStart w:id="8" w:name="bookmark14"/>
      <w:r>
        <w:rPr>
          <w:b/>
          <w:bCs/>
        </w:rPr>
        <w:t>（</w:t>
      </w:r>
      <w:bookmarkEnd w:id="8"/>
      <w:r>
        <w:rPr>
          <w:b/>
          <w:bCs/>
        </w:rPr>
        <w:t>一）</w:t>
      </w:r>
      <w:r>
        <w:rPr>
          <w:b/>
          <w:bCs/>
        </w:rPr>
        <w:tab/>
      </w:r>
      <w:r>
        <w:rPr>
          <w:b/>
          <w:bCs/>
        </w:rPr>
        <w:t>提升建筑能效</w:t>
      </w:r>
    </w:p>
    <w:p w:rsidR="00CE74E7" w:rsidRDefault="0055588C">
      <w:pPr>
        <w:pStyle w:val="Bodytext10"/>
        <w:spacing w:line="579" w:lineRule="exact"/>
        <w:ind w:firstLine="660"/>
        <w:jc w:val="both"/>
      </w:pPr>
      <w:r>
        <w:t>开展建筑能效提升工程，全面实施居住建筑节能</w:t>
      </w:r>
      <w:r>
        <w:rPr>
          <w:rFonts w:ascii="Times New Roman" w:eastAsia="Times New Roman" w:hAnsi="Times New Roman" w:cs="Times New Roman"/>
        </w:rPr>
        <w:t>75%</w:t>
      </w:r>
      <w:r>
        <w:t>标准，</w:t>
      </w:r>
      <w:r>
        <w:t xml:space="preserve"> </w:t>
      </w:r>
      <w:r>
        <w:t>新建居住建筑能效再提升</w:t>
      </w:r>
      <w:r>
        <w:rPr>
          <w:rFonts w:ascii="Times New Roman" w:eastAsia="Times New Roman" w:hAnsi="Times New Roman" w:cs="Times New Roman"/>
        </w:rPr>
        <w:t>30%;</w:t>
      </w:r>
      <w:r>
        <w:t>结合清洁取暖和老旧小区改造，统筹推进既有居住建筑节能改造；持续开展节能型机关、校园建设，推动既有公共建筑开展绿色改造。推进可再生能源建筑应用，</w:t>
      </w:r>
      <w:r>
        <w:t xml:space="preserve"> </w:t>
      </w:r>
      <w:r>
        <w:t>继续做好太阳能光热应用，试点推进光伏、空气源热泵项目建设，以太原等地热资源相对富集区为重点，推动地热资源保护性开发利用，因地制宜推广浅层、中深层地热能供热。</w:t>
      </w:r>
    </w:p>
    <w:p w:rsidR="00CE74E7" w:rsidRDefault="0055588C">
      <w:pPr>
        <w:pStyle w:val="Bodytext10"/>
        <w:tabs>
          <w:tab w:val="left" w:pos="1610"/>
        </w:tabs>
        <w:spacing w:line="579" w:lineRule="exact"/>
        <w:ind w:firstLine="780"/>
        <w:jc w:val="both"/>
      </w:pPr>
      <w:bookmarkStart w:id="9" w:name="bookmark15"/>
      <w:r>
        <w:rPr>
          <w:b/>
          <w:bCs/>
        </w:rPr>
        <w:t>（</w:t>
      </w:r>
      <w:bookmarkEnd w:id="9"/>
      <w:r>
        <w:rPr>
          <w:b/>
          <w:bCs/>
        </w:rPr>
        <w:t>二）</w:t>
      </w:r>
      <w:r>
        <w:rPr>
          <w:b/>
          <w:bCs/>
        </w:rPr>
        <w:tab/>
      </w:r>
      <w:r>
        <w:rPr>
          <w:b/>
          <w:bCs/>
        </w:rPr>
        <w:t>降低建筑运行能耗</w:t>
      </w:r>
    </w:p>
    <w:p w:rsidR="00CE74E7" w:rsidRDefault="0055588C">
      <w:pPr>
        <w:pStyle w:val="Bodytext10"/>
        <w:spacing w:line="579" w:lineRule="exact"/>
        <w:ind w:firstLine="660"/>
        <w:jc w:val="both"/>
      </w:pPr>
      <w:r>
        <w:t>加强绿色建筑运行管理，定期开展运行评估，积极采用合同</w:t>
      </w:r>
      <w:r>
        <w:t xml:space="preserve"> </w:t>
      </w:r>
      <w:r>
        <w:t>能源管理、合同节水管理，引导用户合理控制室内温度，降低建</w:t>
      </w:r>
      <w:r>
        <w:t xml:space="preserve"> </w:t>
      </w:r>
      <w:r>
        <w:t>筑运行能耗。加强公共建筑能耗动态监测平台建设管理，扩大公共建筑能耗监测平台覆盖范围，逐步将本地区所有重点用能建筑</w:t>
      </w:r>
      <w:r>
        <w:t xml:space="preserve"> </w:t>
      </w:r>
      <w:r>
        <w:t>和政府办公建筑、大型公共建筑纳入能耗监测。探索应用</w:t>
      </w:r>
      <w:r>
        <w:rPr>
          <w:rFonts w:ascii="Times New Roman" w:eastAsia="Times New Roman" w:hAnsi="Times New Roman" w:cs="Times New Roman"/>
          <w:lang w:val="en-US" w:eastAsia="zh-CN" w:bidi="en-US"/>
        </w:rPr>
        <w:t>5G</w:t>
      </w:r>
      <w:r>
        <w:t>技术构建能源综合管理数字化平台，对节约能源资源和</w:t>
      </w:r>
      <w:r>
        <w:t>用户满意度</w:t>
      </w:r>
      <w:r>
        <w:t xml:space="preserve"> </w:t>
      </w:r>
      <w:r>
        <w:t>等绿色运营效果进行监测和改进，强化数据分析与应用，发挥数据对用能限额标准制定、电力需求</w:t>
      </w:r>
      <w:r>
        <w:lastRenderedPageBreak/>
        <w:t>侧管理等方面的支撑作用。</w:t>
      </w:r>
    </w:p>
    <w:p w:rsidR="00CE74E7" w:rsidRDefault="0055588C">
      <w:pPr>
        <w:pStyle w:val="Bodytext10"/>
        <w:tabs>
          <w:tab w:val="left" w:pos="1609"/>
        </w:tabs>
        <w:spacing w:line="576" w:lineRule="exact"/>
        <w:ind w:firstLine="780"/>
        <w:jc w:val="both"/>
      </w:pPr>
      <w:bookmarkStart w:id="10" w:name="bookmark16"/>
      <w:r>
        <w:rPr>
          <w:b/>
          <w:bCs/>
        </w:rPr>
        <w:t>（</w:t>
      </w:r>
      <w:bookmarkEnd w:id="10"/>
      <w:r>
        <w:rPr>
          <w:b/>
          <w:bCs/>
        </w:rPr>
        <w:t>三）</w:t>
      </w:r>
      <w:r>
        <w:rPr>
          <w:b/>
          <w:bCs/>
        </w:rPr>
        <w:tab/>
      </w:r>
      <w:r>
        <w:rPr>
          <w:b/>
          <w:bCs/>
        </w:rPr>
        <w:t>推广绿色建筑</w:t>
      </w:r>
    </w:p>
    <w:p w:rsidR="00CE74E7" w:rsidRDefault="0055588C">
      <w:pPr>
        <w:pStyle w:val="Bodytext10"/>
        <w:spacing w:line="577" w:lineRule="exact"/>
        <w:ind w:firstLine="660"/>
        <w:jc w:val="both"/>
      </w:pPr>
      <w:r>
        <w:t>不断提高绿色建筑发展规模和水平。推动城镇新建建筑全面执行绿色建筑标准，达到基本级及以上标准。其中，政府投资公益性建筑、建筑面积</w:t>
      </w:r>
      <w:r>
        <w:rPr>
          <w:rFonts w:ascii="Times New Roman" w:eastAsia="Times New Roman" w:hAnsi="Times New Roman" w:cs="Times New Roman"/>
        </w:rPr>
        <w:t>2</w:t>
      </w:r>
      <w:r>
        <w:t>万平方米以上的公共建筑要执行一星级及以上标准。鼓励其它项目按照高星级绿色建筑标准进行建设。各设区市、县级市要积极推进绿色建筑集中示范区建设，示范区内</w:t>
      </w:r>
      <w:r>
        <w:t xml:space="preserve"> </w:t>
      </w:r>
      <w:r>
        <w:t>一星级及以上绿色建筑要达到</w:t>
      </w:r>
      <w:r>
        <w:rPr>
          <w:rFonts w:ascii="Times New Roman" w:eastAsia="Times New Roman" w:hAnsi="Times New Roman" w:cs="Times New Roman"/>
        </w:rPr>
        <w:t>30%</w:t>
      </w:r>
      <w:r>
        <w:t>。各市出让</w:t>
      </w:r>
      <w:r>
        <w:rPr>
          <w:lang w:val="zh-CN" w:eastAsia="zh-CN" w:bidi="zh-CN"/>
        </w:rPr>
        <w:t>“</w:t>
      </w:r>
      <w:r>
        <w:rPr>
          <w:lang w:val="zh-CN" w:eastAsia="zh-CN" w:bidi="zh-CN"/>
        </w:rPr>
        <w:t>标</w:t>
      </w:r>
      <w:r>
        <w:t>准地</w:t>
      </w:r>
      <w:r>
        <w:t>”</w:t>
      </w:r>
      <w:r>
        <w:t>内新建</w:t>
      </w:r>
      <w:r>
        <w:t xml:space="preserve"> </w:t>
      </w:r>
      <w:r>
        <w:t>民用建筑，应执行绿色建筑一星</w:t>
      </w:r>
      <w:r>
        <w:t>级及以上标准。</w:t>
      </w:r>
    </w:p>
    <w:p w:rsidR="00CE74E7" w:rsidRDefault="0055588C">
      <w:pPr>
        <w:pStyle w:val="Bodytext10"/>
        <w:tabs>
          <w:tab w:val="left" w:pos="1609"/>
        </w:tabs>
        <w:spacing w:line="577" w:lineRule="exact"/>
        <w:ind w:firstLine="780"/>
        <w:jc w:val="both"/>
      </w:pPr>
      <w:bookmarkStart w:id="11" w:name="bookmark17"/>
      <w:r>
        <w:rPr>
          <w:b/>
          <w:bCs/>
        </w:rPr>
        <w:t>（</w:t>
      </w:r>
      <w:bookmarkEnd w:id="11"/>
      <w:r>
        <w:rPr>
          <w:b/>
          <w:bCs/>
        </w:rPr>
        <w:t>四）</w:t>
      </w:r>
      <w:r>
        <w:rPr>
          <w:b/>
          <w:bCs/>
        </w:rPr>
        <w:tab/>
      </w:r>
      <w:r>
        <w:rPr>
          <w:b/>
          <w:bCs/>
        </w:rPr>
        <w:t>逐步提高装配式建筑水平</w:t>
      </w:r>
    </w:p>
    <w:p w:rsidR="00CE74E7" w:rsidRDefault="0055588C">
      <w:pPr>
        <w:pStyle w:val="Bodytext10"/>
        <w:spacing w:line="568" w:lineRule="exact"/>
        <w:ind w:firstLine="660"/>
        <w:jc w:val="both"/>
      </w:pPr>
      <w:r>
        <w:t>推进建筑产业现代化，加快装配式建筑产业基地和项目建</w:t>
      </w:r>
      <w:r>
        <w:t xml:space="preserve"> </w:t>
      </w:r>
      <w:r>
        <w:t>设。鼓励大型公共建筑采用钢结构，开展钢结构装配式住宅试点。</w:t>
      </w:r>
      <w:r>
        <w:t xml:space="preserve"> </w:t>
      </w:r>
      <w:r>
        <w:t>鼓励混凝土结构住宅项目采用预制水平构件，按照先水平后竖向</w:t>
      </w:r>
      <w:r>
        <w:t xml:space="preserve"> </w:t>
      </w:r>
      <w:r>
        <w:t>的原则，</w:t>
      </w:r>
      <w:r>
        <w:rPr>
          <w:rFonts w:ascii="Times New Roman" w:eastAsia="Times New Roman" w:hAnsi="Times New Roman" w:cs="Times New Roman"/>
        </w:rPr>
        <w:t>2020</w:t>
      </w:r>
      <w:r>
        <w:t>年，应至少采用叠合楼板、楼梯等</w:t>
      </w:r>
      <w:r>
        <w:rPr>
          <w:rFonts w:ascii="Times New Roman" w:eastAsia="Times New Roman" w:hAnsi="Times New Roman" w:cs="Times New Roman"/>
        </w:rPr>
        <w:t>2</w:t>
      </w:r>
      <w:r>
        <w:t>种以上水平</w:t>
      </w:r>
      <w:r>
        <w:t xml:space="preserve"> </w:t>
      </w:r>
      <w:r>
        <w:t>构件，</w:t>
      </w:r>
      <w:r>
        <w:rPr>
          <w:rFonts w:ascii="Times New Roman" w:eastAsia="Times New Roman" w:hAnsi="Times New Roman" w:cs="Times New Roman"/>
        </w:rPr>
        <w:t>2021</w:t>
      </w:r>
      <w:r>
        <w:t>年实现水平构件全装配，</w:t>
      </w:r>
      <w:r>
        <w:rPr>
          <w:rFonts w:ascii="Times New Roman" w:eastAsia="Times New Roman" w:hAnsi="Times New Roman" w:cs="Times New Roman"/>
        </w:rPr>
        <w:t>2022</w:t>
      </w:r>
      <w:r>
        <w:t>年推进竖向非承重构</w:t>
      </w:r>
      <w:r>
        <w:t xml:space="preserve"> </w:t>
      </w:r>
      <w:r>
        <w:t>件，不断提高装配率水平。各市要以目标任务为导向，尽快建立</w:t>
      </w:r>
      <w:r>
        <w:t xml:space="preserve"> </w:t>
      </w:r>
      <w:r>
        <w:t>完善并严格落实各项配套政策，因地制宜确定装配式建筑应用范围，推动项目落地。</w:t>
      </w:r>
    </w:p>
    <w:p w:rsidR="00CE74E7" w:rsidRDefault="0055588C">
      <w:pPr>
        <w:pStyle w:val="Bodytext10"/>
        <w:tabs>
          <w:tab w:val="left" w:pos="1609"/>
        </w:tabs>
        <w:spacing w:line="576" w:lineRule="exact"/>
        <w:ind w:firstLine="780"/>
        <w:jc w:val="both"/>
      </w:pPr>
      <w:bookmarkStart w:id="12" w:name="bookmark18"/>
      <w:r>
        <w:rPr>
          <w:b/>
          <w:bCs/>
        </w:rPr>
        <w:t>（</w:t>
      </w:r>
      <w:bookmarkEnd w:id="12"/>
      <w:r>
        <w:rPr>
          <w:b/>
          <w:bCs/>
        </w:rPr>
        <w:t>五）</w:t>
      </w:r>
      <w:r>
        <w:rPr>
          <w:b/>
          <w:bCs/>
        </w:rPr>
        <w:tab/>
      </w:r>
      <w:r>
        <w:rPr>
          <w:b/>
          <w:bCs/>
        </w:rPr>
        <w:t>推行绿色建造</w:t>
      </w:r>
    </w:p>
    <w:p w:rsidR="00CE74E7" w:rsidRDefault="0055588C">
      <w:pPr>
        <w:pStyle w:val="Bodytext10"/>
        <w:spacing w:line="576" w:lineRule="exact"/>
        <w:ind w:firstLine="640"/>
        <w:jc w:val="both"/>
        <w:sectPr w:rsidR="00CE74E7">
          <w:footerReference w:type="even" r:id="rId9"/>
          <w:footerReference w:type="default" r:id="rId10"/>
          <w:pgSz w:w="11900" w:h="16840"/>
          <w:pgMar w:top="1935" w:right="1475" w:bottom="1967" w:left="1331" w:header="0" w:footer="3" w:gutter="0"/>
          <w:pgNumType w:start="1"/>
          <w:cols w:space="720"/>
          <w:docGrid w:linePitch="360"/>
        </w:sectPr>
      </w:pPr>
      <w:r>
        <w:t>将绿色发展理念贯穿建设全过程，在项目策划、建筑设计、</w:t>
      </w:r>
      <w:r>
        <w:t xml:space="preserve"> </w:t>
      </w:r>
    </w:p>
    <w:p w:rsidR="00CE74E7" w:rsidRDefault="0055588C">
      <w:pPr>
        <w:pStyle w:val="Bodytext10"/>
        <w:spacing w:line="576" w:lineRule="exact"/>
        <w:ind w:firstLine="0"/>
        <w:jc w:val="both"/>
      </w:pPr>
      <w:r>
        <w:lastRenderedPageBreak/>
        <w:t>材料选用、施工建造、运营维护各阶段进行全过程绿色统筹。工</w:t>
      </w:r>
      <w:r>
        <w:t xml:space="preserve"> </w:t>
      </w:r>
      <w:r>
        <w:t>程初步设计方案要明确绿色、装配式、超低能耗等建筑节能目标</w:t>
      </w:r>
      <w:r>
        <w:t xml:space="preserve"> </w:t>
      </w:r>
      <w:r>
        <w:t>要求。施工图设计文件要编制建筑节能和绿色建筑专篇，装配式</w:t>
      </w:r>
      <w:r>
        <w:t xml:space="preserve"> </w:t>
      </w:r>
      <w:r>
        <w:t>建筑要对装配率进行预评价。施工组织设计要综合应用</w:t>
      </w:r>
      <w:r>
        <w:rPr>
          <w:lang w:val="zh-CN" w:eastAsia="zh-CN" w:bidi="zh-CN"/>
        </w:rPr>
        <w:t>“</w:t>
      </w:r>
      <w:r>
        <w:rPr>
          <w:lang w:val="zh-CN" w:eastAsia="zh-CN" w:bidi="zh-CN"/>
        </w:rPr>
        <w:t>四</w:t>
      </w:r>
      <w:r>
        <w:t>节一</w:t>
      </w:r>
      <w:r>
        <w:t xml:space="preserve"> </w:t>
      </w:r>
      <w:r>
        <w:t>环保</w:t>
      </w:r>
      <w:r>
        <w:t>”</w:t>
      </w:r>
      <w:r>
        <w:t>技术，采用绿色建材，实</w:t>
      </w:r>
      <w:r>
        <w:t>现建筑垃圾资源化回收利用，满足绿色施工要求。</w:t>
      </w:r>
    </w:p>
    <w:p w:rsidR="00CE74E7" w:rsidRDefault="0055588C">
      <w:pPr>
        <w:pStyle w:val="Bodytext10"/>
        <w:tabs>
          <w:tab w:val="left" w:pos="1594"/>
        </w:tabs>
        <w:spacing w:line="574" w:lineRule="exact"/>
        <w:ind w:firstLine="780"/>
      </w:pPr>
      <w:bookmarkStart w:id="13" w:name="bookmark19"/>
      <w:r>
        <w:rPr>
          <w:b/>
          <w:bCs/>
        </w:rPr>
        <w:t>（</w:t>
      </w:r>
      <w:bookmarkEnd w:id="13"/>
      <w:r>
        <w:rPr>
          <w:b/>
          <w:bCs/>
        </w:rPr>
        <w:t>六）</w:t>
      </w:r>
      <w:r>
        <w:rPr>
          <w:b/>
          <w:bCs/>
        </w:rPr>
        <w:tab/>
      </w:r>
      <w:r>
        <w:rPr>
          <w:b/>
          <w:bCs/>
        </w:rPr>
        <w:t>推行智慧建造</w:t>
      </w:r>
    </w:p>
    <w:p w:rsidR="00CE74E7" w:rsidRDefault="0055588C">
      <w:pPr>
        <w:pStyle w:val="Bodytext10"/>
        <w:spacing w:line="582" w:lineRule="exact"/>
        <w:ind w:firstLine="640"/>
        <w:jc w:val="both"/>
      </w:pPr>
      <w:r>
        <w:t>推进</w:t>
      </w:r>
      <w:r>
        <w:rPr>
          <w:rFonts w:ascii="Times New Roman" w:eastAsia="Times New Roman" w:hAnsi="Times New Roman" w:cs="Times New Roman"/>
          <w:lang w:val="en-US" w:eastAsia="zh-CN" w:bidi="en-US"/>
        </w:rPr>
        <w:t>BIM</w:t>
      </w:r>
      <w:r>
        <w:t>技术在建筑全生命周期的集成应用。制定</w:t>
      </w:r>
      <w:r>
        <w:rPr>
          <w:rFonts w:ascii="Times New Roman" w:eastAsia="Times New Roman" w:hAnsi="Times New Roman" w:cs="Times New Roman"/>
          <w:lang w:val="en-US" w:eastAsia="zh-CN" w:bidi="en-US"/>
        </w:rPr>
        <w:t>BIM</w:t>
      </w:r>
      <w:r>
        <w:t>应用</w:t>
      </w:r>
      <w:r>
        <w:t xml:space="preserve"> </w:t>
      </w:r>
      <w:r>
        <w:t>标准，明确建设、勘察、设计、施工、运营维护等各阶段</w:t>
      </w:r>
      <w:r>
        <w:rPr>
          <w:rFonts w:ascii="Times New Roman" w:eastAsia="Times New Roman" w:hAnsi="Times New Roman" w:cs="Times New Roman"/>
          <w:lang w:val="en-US" w:eastAsia="zh-CN" w:bidi="en-US"/>
        </w:rPr>
        <w:t>BIM</w:t>
      </w:r>
      <w:r>
        <w:t>应</w:t>
      </w:r>
      <w:r>
        <w:t xml:space="preserve"> </w:t>
      </w:r>
      <w:r>
        <w:t>用深度和广度要求，探索可视化设计与交付。我省建筑行业甲级</w:t>
      </w:r>
      <w:r>
        <w:t xml:space="preserve"> </w:t>
      </w:r>
      <w:r>
        <w:t>勘察、设计单位以及特一级房屋建筑施工总承包企业等应具备</w:t>
      </w:r>
      <w:r>
        <w:t xml:space="preserve"> </w:t>
      </w:r>
      <w:r>
        <w:rPr>
          <w:rFonts w:ascii="Times New Roman" w:eastAsia="Times New Roman" w:hAnsi="Times New Roman" w:cs="Times New Roman"/>
          <w:lang w:val="en-US" w:eastAsia="zh-CN" w:bidi="en-US"/>
        </w:rPr>
        <w:t>BIM</w:t>
      </w:r>
      <w:r>
        <w:t>技术应用能力。积极推广智慧工地，增强</w:t>
      </w:r>
      <w:r>
        <w:rPr>
          <w:rFonts w:ascii="Times New Roman" w:eastAsia="Times New Roman" w:hAnsi="Times New Roman" w:cs="Times New Roman"/>
          <w:lang w:val="en-US" w:eastAsia="zh-CN" w:bidi="en-US"/>
        </w:rPr>
        <w:t>BIM</w:t>
      </w:r>
      <w:r>
        <w:rPr>
          <w:lang w:val="en-US" w:eastAsia="zh-CN" w:bidi="en-US"/>
        </w:rPr>
        <w:t>、</w:t>
      </w:r>
      <w:r>
        <w:t>大数据、智能化、移动通信、云计算、物联网等信息技术集成应用能力，对</w:t>
      </w:r>
      <w:r>
        <w:t xml:space="preserve"> </w:t>
      </w:r>
      <w:r>
        <w:t>工地用工、安全生产、现场作业、环境保护等情况进行动态监管。</w:t>
      </w:r>
    </w:p>
    <w:p w:rsidR="00CE74E7" w:rsidRDefault="0055588C">
      <w:pPr>
        <w:pStyle w:val="Bodytext10"/>
        <w:tabs>
          <w:tab w:val="left" w:pos="1594"/>
        </w:tabs>
        <w:spacing w:line="574" w:lineRule="exact"/>
        <w:ind w:firstLine="780"/>
      </w:pPr>
      <w:bookmarkStart w:id="14" w:name="bookmark20"/>
      <w:r>
        <w:rPr>
          <w:b/>
          <w:bCs/>
        </w:rPr>
        <w:t>（</w:t>
      </w:r>
      <w:bookmarkEnd w:id="14"/>
      <w:r>
        <w:rPr>
          <w:b/>
          <w:bCs/>
        </w:rPr>
        <w:t>七）</w:t>
      </w:r>
      <w:r>
        <w:rPr>
          <w:b/>
          <w:bCs/>
        </w:rPr>
        <w:tab/>
      </w:r>
      <w:r>
        <w:rPr>
          <w:b/>
          <w:bCs/>
        </w:rPr>
        <w:t>开展绿色建筑创新示范</w:t>
      </w:r>
    </w:p>
    <w:p w:rsidR="00CE74E7" w:rsidRDefault="0055588C">
      <w:pPr>
        <w:pStyle w:val="Bodytext10"/>
        <w:spacing w:line="574" w:lineRule="exact"/>
        <w:ind w:firstLine="640"/>
        <w:jc w:val="both"/>
      </w:pPr>
      <w:r>
        <w:t>积极引导绿色建筑、装配式建筑、超低能耗建筑及绿色建造</w:t>
      </w:r>
      <w:r>
        <w:t xml:space="preserve"> </w:t>
      </w:r>
      <w:r>
        <w:t>项目开展技术创新，力争在全生命周期</w:t>
      </w:r>
      <w:r>
        <w:rPr>
          <w:rFonts w:ascii="Times New Roman" w:eastAsia="Times New Roman" w:hAnsi="Times New Roman" w:cs="Times New Roman"/>
          <w:lang w:val="en-US" w:eastAsia="zh-CN" w:bidi="en-US"/>
        </w:rPr>
        <w:t>BIM</w:t>
      </w:r>
      <w:r>
        <w:rPr>
          <w:lang w:val="en-US" w:eastAsia="zh-CN" w:bidi="en-US"/>
        </w:rPr>
        <w:t>、</w:t>
      </w:r>
      <w:r>
        <w:t>铝模板、装配式、</w:t>
      </w:r>
      <w:r>
        <w:t xml:space="preserve"> </w:t>
      </w:r>
      <w:r>
        <w:t>绿色建造及基于</w:t>
      </w:r>
      <w:r>
        <w:rPr>
          <w:rFonts w:ascii="Times New Roman" w:eastAsia="Times New Roman" w:hAnsi="Times New Roman" w:cs="Times New Roman"/>
          <w:lang w:val="en-US" w:eastAsia="zh-CN" w:bidi="en-US"/>
        </w:rPr>
        <w:t>5G</w:t>
      </w:r>
      <w:r>
        <w:t>移动互联网的智能化管理等技术应用方面达</w:t>
      </w:r>
      <w:r>
        <w:t xml:space="preserve"> </w:t>
      </w:r>
      <w:r>
        <w:t>到国内领先水平，形成各具特色的绿色建筑创新示范。省住房城乡建设厅研究制定绿色建筑创新示范技术指导清单（附后），开展绿色建筑创新示范评选，发布示范项目名录。各设区市每年要至少创建</w:t>
      </w:r>
      <w:r>
        <w:rPr>
          <w:rFonts w:ascii="Times New Roman" w:eastAsia="Times New Roman" w:hAnsi="Times New Roman" w:cs="Times New Roman"/>
        </w:rPr>
        <w:t>1</w:t>
      </w:r>
      <w:r>
        <w:t>个绿色建筑创新示范项目。超限高层建筑应率先创建绿色建筑创新示范。</w:t>
      </w:r>
      <w:r>
        <w:rPr>
          <w:rFonts w:ascii="Times New Roman" w:eastAsia="Times New Roman" w:hAnsi="Times New Roman" w:cs="Times New Roman"/>
        </w:rPr>
        <w:t>2022</w:t>
      </w:r>
      <w:r>
        <w:t>年前，省综改示范区、大同国际能源革命科技创新园要至少创建</w:t>
      </w:r>
      <w:r>
        <w:rPr>
          <w:rFonts w:ascii="Times New Roman" w:eastAsia="Times New Roman" w:hAnsi="Times New Roman" w:cs="Times New Roman"/>
        </w:rPr>
        <w:t>1</w:t>
      </w:r>
      <w:r>
        <w:t>个超低能</w:t>
      </w:r>
      <w:r>
        <w:lastRenderedPageBreak/>
        <w:t>耗建筑示范项目。</w:t>
      </w:r>
    </w:p>
    <w:p w:rsidR="00CE74E7" w:rsidRDefault="0055588C">
      <w:pPr>
        <w:pStyle w:val="Bodytext10"/>
        <w:spacing w:line="604" w:lineRule="exact"/>
        <w:ind w:firstLine="780"/>
        <w:jc w:val="both"/>
      </w:pPr>
      <w:bookmarkStart w:id="15" w:name="bookmark21"/>
      <w:r>
        <w:rPr>
          <w:b/>
          <w:bCs/>
        </w:rPr>
        <w:t>（</w:t>
      </w:r>
      <w:bookmarkEnd w:id="15"/>
      <w:r>
        <w:rPr>
          <w:b/>
          <w:bCs/>
        </w:rPr>
        <w:t>八）培育科技领军型企业</w:t>
      </w:r>
    </w:p>
    <w:p w:rsidR="00CE74E7" w:rsidRDefault="0055588C">
      <w:pPr>
        <w:pStyle w:val="Bodytext10"/>
        <w:spacing w:line="604" w:lineRule="exact"/>
        <w:ind w:firstLine="640"/>
        <w:jc w:val="both"/>
      </w:pPr>
      <w:r>
        <w:t>发挥企业推动能源革命的主体作用，推动建筑业由传统粗放向绿色高质量转型发展。引导企业加大绿色技术创新及研发投</w:t>
      </w:r>
      <w:r>
        <w:t xml:space="preserve"> </w:t>
      </w:r>
      <w:r>
        <w:t>入，积极应用新技术、新工艺、新材料、新产品，积极参与绿色建筑创新示范项目建设，强化以科技创新为核心的市场竞争力，</w:t>
      </w:r>
      <w:r>
        <w:t xml:space="preserve"> </w:t>
      </w:r>
      <w:r>
        <w:t>注重研发科技成果，开展绿色建造，创建优质工程。积极培育一</w:t>
      </w:r>
      <w:r>
        <w:t xml:space="preserve"> </w:t>
      </w:r>
      <w:r>
        <w:t>批科技型企业，纳入骨干企业评选重要条件。对企业科技创新能力进行评价，综合考核企业科技创新投入、科技创新能力、科技创新产出等情况，引导企业进一步向创新、绿色、高质量发展要效益，成为住建领域绿色发展的先锋队和主力</w:t>
      </w:r>
      <w:r>
        <w:t>军。</w:t>
      </w:r>
    </w:p>
    <w:p w:rsidR="00CE74E7" w:rsidRDefault="0055588C">
      <w:pPr>
        <w:pStyle w:val="Bodytext10"/>
        <w:spacing w:line="604" w:lineRule="exact"/>
        <w:ind w:firstLine="640"/>
        <w:jc w:val="both"/>
      </w:pPr>
      <w:r>
        <w:rPr>
          <w:b/>
          <w:bCs/>
        </w:rPr>
        <w:t>三、保障措施</w:t>
      </w:r>
    </w:p>
    <w:p w:rsidR="00CE74E7" w:rsidRDefault="0055588C">
      <w:pPr>
        <w:pStyle w:val="Bodytext10"/>
        <w:spacing w:line="604" w:lineRule="exact"/>
        <w:ind w:firstLine="780"/>
        <w:jc w:val="both"/>
      </w:pPr>
      <w:r>
        <w:rPr>
          <w:b/>
          <w:bCs/>
        </w:rPr>
        <w:t>（一）加强组织协调</w:t>
      </w:r>
    </w:p>
    <w:p w:rsidR="00CE74E7" w:rsidRDefault="0055588C">
      <w:pPr>
        <w:pStyle w:val="Bodytext10"/>
        <w:spacing w:line="602" w:lineRule="exact"/>
        <w:ind w:firstLine="640"/>
        <w:jc w:val="both"/>
        <w:sectPr w:rsidR="00CE74E7">
          <w:footerReference w:type="even" r:id="rId11"/>
          <w:footerReference w:type="default" r:id="rId12"/>
          <w:footerReference w:type="first" r:id="rId13"/>
          <w:pgSz w:w="11900" w:h="16840"/>
          <w:pgMar w:top="1935" w:right="1475" w:bottom="1967" w:left="1331" w:header="0" w:footer="3" w:gutter="0"/>
          <w:cols w:space="720"/>
          <w:titlePg/>
          <w:docGrid w:linePitch="360"/>
        </w:sectPr>
      </w:pPr>
      <w:r>
        <w:t>各市住房城乡建设主管部门要会同有关部门组织制定本行</w:t>
      </w:r>
      <w:r>
        <w:t xml:space="preserve"> </w:t>
      </w:r>
      <w:r>
        <w:t>政区域绿色建筑专项行动方案，明确发展目标和实施路径。根据</w:t>
      </w:r>
      <w:r>
        <w:t xml:space="preserve"> </w:t>
      </w:r>
      <w:r>
        <w:t>《山西省民用建筑节能条例》、《山西省节约能源条例》，加强部门协调</w:t>
      </w:r>
      <w:r>
        <w:rPr>
          <w:rFonts w:hint="eastAsia"/>
          <w:lang w:eastAsia="zh-CN"/>
        </w:rPr>
        <w:t>，</w:t>
      </w:r>
      <w:r>
        <w:t>在工程建设项目策划生成时，提出执行建筑节能、绿</w:t>
      </w:r>
      <w:r>
        <w:t xml:space="preserve"> </w:t>
      </w:r>
      <w:r>
        <w:t>色建筑、装配式建筑等建设要求和意见，纳入项目建设条件。设</w:t>
      </w:r>
      <w:r>
        <w:t xml:space="preserve"> </w:t>
      </w:r>
      <w:r>
        <w:t>计方案审查时，应对建筑节能、绿色建筑标准执行情况、装配率预评价等内容进行审核。</w:t>
      </w:r>
    </w:p>
    <w:p w:rsidR="00CE74E7" w:rsidRDefault="0055588C">
      <w:pPr>
        <w:pStyle w:val="Bodytext10"/>
        <w:tabs>
          <w:tab w:val="left" w:pos="1601"/>
        </w:tabs>
        <w:spacing w:line="575" w:lineRule="exact"/>
        <w:ind w:firstLine="780"/>
        <w:jc w:val="both"/>
      </w:pPr>
      <w:bookmarkStart w:id="16" w:name="bookmark22"/>
      <w:r>
        <w:rPr>
          <w:b/>
          <w:bCs/>
          <w:lang w:val="zh-CN" w:eastAsia="zh-CN" w:bidi="zh-CN"/>
        </w:rPr>
        <w:lastRenderedPageBreak/>
        <w:t>（</w:t>
      </w:r>
      <w:bookmarkEnd w:id="16"/>
      <w:r>
        <w:rPr>
          <w:b/>
          <w:bCs/>
        </w:rPr>
        <w:t>二）</w:t>
      </w:r>
      <w:r>
        <w:rPr>
          <w:b/>
          <w:bCs/>
        </w:rPr>
        <w:tab/>
      </w:r>
      <w:r>
        <w:rPr>
          <w:b/>
          <w:bCs/>
        </w:rPr>
        <w:t>强化过程监管</w:t>
      </w:r>
    </w:p>
    <w:p w:rsidR="00CE74E7" w:rsidRDefault="0055588C">
      <w:pPr>
        <w:pStyle w:val="Bodytext10"/>
        <w:spacing w:line="575" w:lineRule="exact"/>
        <w:ind w:firstLine="640"/>
        <w:jc w:val="both"/>
      </w:pPr>
      <w:r>
        <w:t>各级住房城乡建设主管部门要建立建筑节能项</w:t>
      </w:r>
      <w:r>
        <w:t>目档案，对取</w:t>
      </w:r>
      <w:r>
        <w:t xml:space="preserve"> </w:t>
      </w:r>
      <w:r>
        <w:t>得施工许可的建筑工程，认真履行监管责任，督促各方主体严格</w:t>
      </w:r>
      <w:r>
        <w:t xml:space="preserve"> </w:t>
      </w:r>
      <w:r>
        <w:t>履行建筑节能要求。工程开工后，要加强事中事后监管，采取日</w:t>
      </w:r>
      <w:r>
        <w:t xml:space="preserve"> </w:t>
      </w:r>
      <w:r>
        <w:t>常检查和双随机检查等多种方式，强化监督执法检查，对检查发现的问题，及时督促落实整改，对违法违规行为依法进行处罚，记入企业诚信档案。项目竣工验收时，要对建筑节能、绿色建筑</w:t>
      </w:r>
      <w:r>
        <w:t xml:space="preserve"> </w:t>
      </w:r>
      <w:r>
        <w:t>标准等执行情况一并进行验收。</w:t>
      </w:r>
    </w:p>
    <w:p w:rsidR="00CE74E7" w:rsidRDefault="0055588C">
      <w:pPr>
        <w:pStyle w:val="Bodytext10"/>
        <w:tabs>
          <w:tab w:val="left" w:pos="1601"/>
        </w:tabs>
        <w:spacing w:line="575" w:lineRule="exact"/>
        <w:ind w:firstLine="780"/>
        <w:jc w:val="both"/>
      </w:pPr>
      <w:bookmarkStart w:id="17" w:name="bookmark23"/>
      <w:r>
        <w:rPr>
          <w:b/>
          <w:bCs/>
        </w:rPr>
        <w:t>（</w:t>
      </w:r>
      <w:bookmarkEnd w:id="17"/>
      <w:r>
        <w:rPr>
          <w:b/>
          <w:bCs/>
        </w:rPr>
        <w:t>三）</w:t>
      </w:r>
      <w:r>
        <w:rPr>
          <w:b/>
          <w:bCs/>
        </w:rPr>
        <w:tab/>
      </w:r>
      <w:r>
        <w:rPr>
          <w:b/>
          <w:bCs/>
        </w:rPr>
        <w:t>完善激励机制</w:t>
      </w:r>
    </w:p>
    <w:p w:rsidR="00CE74E7" w:rsidRDefault="0055588C">
      <w:pPr>
        <w:pStyle w:val="Bodytext10"/>
        <w:spacing w:line="575" w:lineRule="exact"/>
        <w:ind w:firstLine="640"/>
        <w:jc w:val="both"/>
      </w:pPr>
      <w:r>
        <w:t>鼓励房地产开发、设计、施工、材料生产等企业及人员积极</w:t>
      </w:r>
      <w:r>
        <w:t xml:space="preserve"> </w:t>
      </w:r>
      <w:r>
        <w:t>参与绿色建筑创新示范，相关业绩作为建筑业、房地产开发、勘察设计等企业动态考核、诚信评价以及住建部门组织的各</w:t>
      </w:r>
      <w:r>
        <w:t>类评优</w:t>
      </w:r>
      <w:r>
        <w:t xml:space="preserve"> </w:t>
      </w:r>
      <w:r>
        <w:t>评先和人员职称评定的重要依据，优先登记建设科技成果，优先</w:t>
      </w:r>
      <w:r>
        <w:t xml:space="preserve"> </w:t>
      </w:r>
      <w:r>
        <w:t>推荐科技计划项目和绿色建筑创新奖。</w:t>
      </w:r>
    </w:p>
    <w:p w:rsidR="00CE74E7" w:rsidRDefault="0055588C">
      <w:pPr>
        <w:pStyle w:val="Bodytext10"/>
        <w:tabs>
          <w:tab w:val="left" w:pos="1601"/>
        </w:tabs>
        <w:spacing w:line="575" w:lineRule="exact"/>
        <w:ind w:firstLine="780"/>
        <w:jc w:val="both"/>
      </w:pPr>
      <w:bookmarkStart w:id="18" w:name="bookmark24"/>
      <w:r>
        <w:rPr>
          <w:b/>
          <w:bCs/>
        </w:rPr>
        <w:t>（</w:t>
      </w:r>
      <w:bookmarkEnd w:id="18"/>
      <w:r>
        <w:rPr>
          <w:b/>
          <w:bCs/>
        </w:rPr>
        <w:t>四）</w:t>
      </w:r>
      <w:r>
        <w:rPr>
          <w:b/>
          <w:bCs/>
        </w:rPr>
        <w:tab/>
      </w:r>
      <w:r>
        <w:rPr>
          <w:b/>
          <w:bCs/>
        </w:rPr>
        <w:t>建立完善绿色标准体系</w:t>
      </w:r>
    </w:p>
    <w:p w:rsidR="00CE74E7" w:rsidRDefault="0055588C">
      <w:pPr>
        <w:pStyle w:val="Bodytext10"/>
        <w:spacing w:line="575" w:lineRule="exact"/>
        <w:ind w:firstLine="640"/>
        <w:jc w:val="both"/>
      </w:pPr>
      <w:r>
        <w:t>构建科学完善的绿色标准体系，发挥标准的基础和引领作</w:t>
      </w:r>
      <w:r>
        <w:t xml:space="preserve"> </w:t>
      </w:r>
      <w:r>
        <w:t>用。完善建筑节能、超低能耗建筑等单体绿色建筑标准体系，建</w:t>
      </w:r>
      <w:r>
        <w:t xml:space="preserve"> </w:t>
      </w:r>
      <w:r>
        <w:t>立绿色住区、绿色小镇、绿色示范区等绿色区域标准体系，健全</w:t>
      </w:r>
      <w:r>
        <w:t xml:space="preserve"> </w:t>
      </w:r>
      <w:r>
        <w:t>绿色建筑相关技术、材料、设备等配套标准体系。研究制订具有</w:t>
      </w:r>
      <w:r>
        <w:t xml:space="preserve"> </w:t>
      </w:r>
      <w:r>
        <w:t>山西特色的建筑节能</w:t>
      </w:r>
      <w:r>
        <w:rPr>
          <w:lang w:val="zh-CN" w:eastAsia="zh-CN" w:bidi="zh-CN"/>
        </w:rPr>
        <w:t>“</w:t>
      </w:r>
      <w:r>
        <w:rPr>
          <w:lang w:val="zh-CN" w:eastAsia="zh-CN" w:bidi="zh-CN"/>
        </w:rPr>
        <w:t>四</w:t>
      </w:r>
      <w:r>
        <w:t>新</w:t>
      </w:r>
      <w:r>
        <w:t>”</w:t>
      </w:r>
      <w:r>
        <w:t>标准。编制装配式、绿色建造、</w:t>
      </w:r>
      <w:r>
        <w:rPr>
          <w:rFonts w:ascii="Times New Roman" w:eastAsia="Times New Roman" w:hAnsi="Times New Roman" w:cs="Times New Roman"/>
          <w:lang w:val="en-US" w:eastAsia="zh-CN" w:bidi="en-US"/>
        </w:rPr>
        <w:t xml:space="preserve">BIM </w:t>
      </w:r>
      <w:r>
        <w:t>应用等新技术标准，编制钢管供热、铝模板施工等新型建材工艺</w:t>
      </w:r>
      <w:r>
        <w:t xml:space="preserve"> </w:t>
      </w:r>
      <w:r>
        <w:t>标准，推动钢材、铝材等建筑材料实现晋材晋用。编制太阳能、</w:t>
      </w:r>
      <w:r>
        <w:t xml:space="preserve"> </w:t>
      </w:r>
      <w:r>
        <w:t>地热能、空气能等可再生能源应用标</w:t>
      </w:r>
      <w:r>
        <w:lastRenderedPageBreak/>
        <w:t>准，编制</w:t>
      </w:r>
      <w:r>
        <w:rPr>
          <w:rFonts w:ascii="Times New Roman" w:eastAsia="Times New Roman" w:hAnsi="Times New Roman" w:cs="Times New Roman"/>
          <w:lang w:val="en-US" w:eastAsia="zh-CN" w:bidi="en-US"/>
        </w:rPr>
        <w:t>5G</w:t>
      </w:r>
      <w:r>
        <w:t>建筑物通信设施建设标准，助推能源革命创新发展。</w:t>
      </w:r>
    </w:p>
    <w:p w:rsidR="00CE74E7" w:rsidRDefault="0055588C">
      <w:pPr>
        <w:pStyle w:val="Bodytext10"/>
        <w:tabs>
          <w:tab w:val="left" w:pos="1592"/>
        </w:tabs>
        <w:spacing w:line="576" w:lineRule="exact"/>
        <w:ind w:firstLine="760"/>
        <w:jc w:val="both"/>
      </w:pPr>
      <w:bookmarkStart w:id="19" w:name="bookmark25"/>
      <w:r>
        <w:rPr>
          <w:b/>
          <w:bCs/>
        </w:rPr>
        <w:t>（</w:t>
      </w:r>
      <w:bookmarkEnd w:id="19"/>
      <w:r>
        <w:rPr>
          <w:b/>
          <w:bCs/>
        </w:rPr>
        <w:t>五）</w:t>
      </w:r>
      <w:r>
        <w:rPr>
          <w:b/>
          <w:bCs/>
        </w:rPr>
        <w:tab/>
      </w:r>
      <w:r>
        <w:rPr>
          <w:b/>
          <w:bCs/>
        </w:rPr>
        <w:t>加强督促考核</w:t>
      </w:r>
    </w:p>
    <w:p w:rsidR="00CE74E7" w:rsidRDefault="0055588C">
      <w:pPr>
        <w:pStyle w:val="Bodytext10"/>
        <w:spacing w:line="576" w:lineRule="exact"/>
        <w:ind w:firstLine="640"/>
        <w:jc w:val="both"/>
      </w:pPr>
      <w:r>
        <w:t>省住房城乡建设厅将绿色建筑专项行动任务纳入各市工作</w:t>
      </w:r>
      <w:r>
        <w:t xml:space="preserve"> </w:t>
      </w:r>
      <w:r>
        <w:t>目标责任考核体系，建立月报制度和城市绿色建筑发展水平评估</w:t>
      </w:r>
      <w:r>
        <w:t xml:space="preserve"> </w:t>
      </w:r>
      <w:r>
        <w:t>制度。各市要明确牵头部门和责任人、联系人，每月</w:t>
      </w:r>
      <w:r>
        <w:rPr>
          <w:rFonts w:ascii="Times New Roman" w:eastAsia="Times New Roman" w:hAnsi="Times New Roman" w:cs="Times New Roman"/>
        </w:rPr>
        <w:t>25</w:t>
      </w:r>
      <w:r>
        <w:t>日前，</w:t>
      </w:r>
      <w:r>
        <w:t xml:space="preserve"> </w:t>
      </w:r>
      <w:r>
        <w:t>向我厅报送推进情况，年底前报送全年工作总结。我厅对各市工</w:t>
      </w:r>
      <w:r>
        <w:t xml:space="preserve"> </w:t>
      </w:r>
      <w:r>
        <w:t>作推进情况和成效进行动态指导和监督考核，定期通报考核结果，向社会发布各市绿色建筑发展水平年度评估结果。对完成情</w:t>
      </w:r>
      <w:r>
        <w:t xml:space="preserve"> </w:t>
      </w:r>
      <w:r>
        <w:t>况</w:t>
      </w:r>
      <w:r>
        <w:t>好的通报表扬，差的通报批评，问题严重的要约谈问责。</w:t>
      </w:r>
    </w:p>
    <w:p w:rsidR="00CE74E7" w:rsidRDefault="0055588C">
      <w:pPr>
        <w:pStyle w:val="Bodytext10"/>
        <w:tabs>
          <w:tab w:val="left" w:pos="1599"/>
        </w:tabs>
        <w:spacing w:line="576" w:lineRule="exact"/>
        <w:ind w:firstLine="760"/>
        <w:jc w:val="both"/>
      </w:pPr>
      <w:bookmarkStart w:id="20" w:name="bookmark26"/>
      <w:r>
        <w:rPr>
          <w:b/>
          <w:bCs/>
        </w:rPr>
        <w:t>（</w:t>
      </w:r>
      <w:bookmarkEnd w:id="20"/>
      <w:r>
        <w:rPr>
          <w:b/>
          <w:bCs/>
        </w:rPr>
        <w:t>六）</w:t>
      </w:r>
      <w:r>
        <w:rPr>
          <w:b/>
          <w:bCs/>
        </w:rPr>
        <w:tab/>
      </w:r>
      <w:r>
        <w:rPr>
          <w:b/>
          <w:bCs/>
        </w:rPr>
        <w:t>落实监督责任</w:t>
      </w:r>
    </w:p>
    <w:p w:rsidR="00CE74E7" w:rsidRDefault="0055588C">
      <w:pPr>
        <w:pStyle w:val="Bodytext10"/>
        <w:spacing w:line="576" w:lineRule="exact"/>
        <w:ind w:firstLine="640"/>
        <w:jc w:val="both"/>
      </w:pPr>
      <w:r>
        <w:t>推动能源领域反腐败专项行动持续开展。紧盯绿色建筑行政</w:t>
      </w:r>
      <w:r>
        <w:t xml:space="preserve"> </w:t>
      </w:r>
      <w:r>
        <w:t>审批、项目监管、评估示范、激励奖励等廉政风险点，强化对权</w:t>
      </w:r>
      <w:r>
        <w:t xml:space="preserve"> </w:t>
      </w:r>
      <w:r>
        <w:t>力运行的制约和监督，加大追责问责力度。各市住建部门是实施</w:t>
      </w:r>
      <w:r>
        <w:t xml:space="preserve"> </w:t>
      </w:r>
      <w:r>
        <w:t>绿色建筑专项行动的第一责任人，要确保改革任务落地和政策措施顺利执行，对落实绿色建筑重点任务措施不力，不作为、慢作为甚至乱作为的，严肃追究主体责任。激励担当作为，充分发挥</w:t>
      </w:r>
      <w:r>
        <w:t xml:space="preserve"> </w:t>
      </w:r>
      <w:r>
        <w:t>各级各部门的积极性、主动性、创造性，保障和推动绿色建筑行</w:t>
      </w:r>
      <w:r>
        <w:t xml:space="preserve"> </w:t>
      </w:r>
      <w:r>
        <w:t>动健康有序开展。</w:t>
      </w:r>
    </w:p>
    <w:p w:rsidR="00CE74E7" w:rsidRDefault="0055588C">
      <w:pPr>
        <w:pStyle w:val="Bodytext10"/>
        <w:tabs>
          <w:tab w:val="left" w:pos="1599"/>
        </w:tabs>
        <w:spacing w:line="590" w:lineRule="exact"/>
        <w:ind w:firstLine="760"/>
        <w:jc w:val="both"/>
      </w:pPr>
      <w:bookmarkStart w:id="21" w:name="bookmark27"/>
      <w:r>
        <w:rPr>
          <w:b/>
          <w:bCs/>
        </w:rPr>
        <w:t>（</w:t>
      </w:r>
      <w:bookmarkEnd w:id="21"/>
      <w:r>
        <w:rPr>
          <w:b/>
          <w:bCs/>
        </w:rPr>
        <w:t>七）</w:t>
      </w:r>
      <w:r>
        <w:rPr>
          <w:b/>
          <w:bCs/>
        </w:rPr>
        <w:tab/>
      </w:r>
      <w:r>
        <w:rPr>
          <w:b/>
          <w:bCs/>
        </w:rPr>
        <w:t>强化宣传教育</w:t>
      </w:r>
    </w:p>
    <w:p w:rsidR="00CE74E7" w:rsidRDefault="0055588C">
      <w:pPr>
        <w:pStyle w:val="Bodytext10"/>
        <w:spacing w:line="590" w:lineRule="exact"/>
        <w:ind w:firstLine="640"/>
        <w:jc w:val="both"/>
        <w:rPr>
          <w:lang w:eastAsia="zh-CN"/>
        </w:rPr>
        <w:sectPr w:rsidR="00CE74E7">
          <w:footerReference w:type="even" r:id="rId14"/>
          <w:footerReference w:type="default" r:id="rId15"/>
          <w:footerReference w:type="first" r:id="rId16"/>
          <w:pgSz w:w="11900" w:h="16840"/>
          <w:pgMar w:top="1935" w:right="1475" w:bottom="1967" w:left="1331" w:header="0" w:footer="3" w:gutter="0"/>
          <w:cols w:space="720"/>
          <w:titlePg/>
          <w:docGrid w:linePitch="360"/>
        </w:sectPr>
      </w:pPr>
      <w:r>
        <w:t>办好《山西建设大讲堂》，组织各有关方面学习交流分享住</w:t>
      </w:r>
      <w:r>
        <w:t xml:space="preserve"> </w:t>
      </w:r>
      <w:r>
        <w:t>房城乡建设领域能源革命、绿色发展的政策形势、创新成果、</w:t>
      </w:r>
      <w:r>
        <w:rPr>
          <w:rFonts w:hint="eastAsia"/>
          <w:lang w:eastAsia="zh-CN"/>
        </w:rPr>
        <w:t>典</w:t>
      </w:r>
    </w:p>
    <w:p w:rsidR="00CE74E7" w:rsidRDefault="0055588C">
      <w:pPr>
        <w:pStyle w:val="Bodytext10"/>
        <w:spacing w:after="560" w:line="577" w:lineRule="exact"/>
        <w:ind w:firstLine="0"/>
        <w:jc w:val="both"/>
      </w:pPr>
      <w:r>
        <w:lastRenderedPageBreak/>
        <w:t>型案例、先进经验。通过电视、平面媒体、网络等多种渠道，加</w:t>
      </w:r>
      <w:r>
        <w:t xml:space="preserve"> </w:t>
      </w:r>
      <w:r>
        <w:t>大宣传，倡导绿色消费理念，展示绿色发展成效，增强市民对绿</w:t>
      </w:r>
      <w:r>
        <w:t xml:space="preserve"> </w:t>
      </w:r>
      <w:r>
        <w:t>色技术、产品的认知和接受度。充分发挥产业联盟、专家委员会</w:t>
      </w:r>
      <w:r>
        <w:t xml:space="preserve"> </w:t>
      </w:r>
      <w:r>
        <w:t>作用，调动企业积极性，加大先进产品、技术推广服务和宣贯培</w:t>
      </w:r>
      <w:r>
        <w:t xml:space="preserve"> </w:t>
      </w:r>
      <w:r>
        <w:t>训。加强国际、国内合作，积极吸收引进先进技术、成功经验，</w:t>
      </w:r>
      <w:r>
        <w:t xml:space="preserve"> </w:t>
      </w:r>
      <w:r>
        <w:t>营造全社会推动绿色建筑发展的良好氛围。</w:t>
      </w:r>
    </w:p>
    <w:p w:rsidR="00CE74E7" w:rsidRDefault="0055588C">
      <w:pPr>
        <w:pStyle w:val="Bodytext10"/>
        <w:spacing w:line="577" w:lineRule="exact"/>
        <w:ind w:firstLine="640"/>
        <w:jc w:val="both"/>
      </w:pPr>
      <w:r>
        <w:t>附件：绿色建筑创新示范</w:t>
      </w:r>
      <w:r>
        <w:t>技术指导清单（试行）</w:t>
      </w:r>
      <w:r>
        <w:br w:type="page"/>
      </w:r>
    </w:p>
    <w:p w:rsidR="00CE74E7" w:rsidRDefault="0055588C">
      <w:pPr>
        <w:pStyle w:val="Bodytext10"/>
        <w:spacing w:after="300" w:line="240" w:lineRule="auto"/>
        <w:ind w:firstLine="140"/>
      </w:pPr>
      <w:r>
        <w:rPr>
          <w:b/>
          <w:bCs/>
        </w:rPr>
        <w:lastRenderedPageBreak/>
        <w:t>附件</w:t>
      </w:r>
    </w:p>
    <w:p w:rsidR="00CE74E7" w:rsidRDefault="0055588C">
      <w:pPr>
        <w:pStyle w:val="Heading210"/>
        <w:keepNext/>
        <w:keepLines/>
        <w:spacing w:after="180"/>
        <w:ind w:firstLine="540"/>
        <w:jc w:val="left"/>
      </w:pPr>
      <w:bookmarkStart w:id="22" w:name="bookmark28"/>
      <w:bookmarkStart w:id="23" w:name="bookmark30"/>
      <w:bookmarkStart w:id="24" w:name="bookmark29"/>
      <w:r>
        <w:t>绿色建筑创新示范技术指导清单（试行）</w:t>
      </w:r>
      <w:bookmarkEnd w:id="22"/>
      <w:bookmarkEnd w:id="23"/>
      <w:bookmarkEnd w:id="24"/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2"/>
        <w:gridCol w:w="468"/>
        <w:gridCol w:w="1008"/>
        <w:gridCol w:w="2772"/>
        <w:gridCol w:w="547"/>
        <w:gridCol w:w="3607"/>
      </w:tblGrid>
      <w:tr w:rsidR="00CE74E7">
        <w:trPr>
          <w:trHeight w:hRule="exact" w:val="569"/>
          <w:jc w:val="center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tbRlV"/>
            <w:vAlign w:val="bottom"/>
          </w:tcPr>
          <w:p w:rsidR="00CE74E7" w:rsidRDefault="0055588C">
            <w:pPr>
              <w:pStyle w:val="Other20"/>
              <w:spacing w:before="0"/>
              <w:jc w:val="both"/>
              <w:rPr>
                <w:sz w:val="13"/>
                <w:szCs w:val="13"/>
                <w:lang w:eastAsia="zh-CN"/>
              </w:rPr>
            </w:pPr>
            <w:r>
              <w:rPr>
                <w:rFonts w:hint="eastAsia"/>
                <w:sz w:val="13"/>
                <w:szCs w:val="13"/>
                <w:lang w:eastAsia="zh-CN"/>
              </w:rPr>
              <w:t>基本要求</w:t>
            </w:r>
          </w:p>
        </w:tc>
        <w:tc>
          <w:tcPr>
            <w:tcW w:w="840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30" w:lineRule="exact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达到现行《绿色建筑评价标准》一星级及以上；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登记建设科技成果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>
              <w:rPr>
                <w:sz w:val="17"/>
                <w:szCs w:val="17"/>
              </w:rPr>
              <w:t>项及以上。</w:t>
            </w:r>
          </w:p>
        </w:tc>
      </w:tr>
      <w:tr w:rsidR="00CE74E7">
        <w:trPr>
          <w:trHeight w:hRule="exact" w:val="230"/>
          <w:jc w:val="center"/>
        </w:trPr>
        <w:tc>
          <w:tcPr>
            <w:tcW w:w="61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tbRlV"/>
            <w:vAlign w:val="bottom"/>
          </w:tcPr>
          <w:p w:rsidR="00CE74E7" w:rsidRDefault="0055588C">
            <w:pPr>
              <w:pStyle w:val="Other20"/>
              <w:spacing w:before="0"/>
            </w:pPr>
            <w:r>
              <w:t>必选技术</w:t>
            </w:r>
          </w:p>
        </w:tc>
        <w:tc>
          <w:tcPr>
            <w:tcW w:w="479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建筑信息模型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zh-CN" w:bidi="en-US"/>
              </w:rPr>
              <w:t>（BIM）</w:t>
            </w:r>
            <w:r>
              <w:rPr>
                <w:sz w:val="17"/>
                <w:szCs w:val="17"/>
              </w:rPr>
              <w:t>技术</w:t>
            </w:r>
          </w:p>
        </w:tc>
        <w:tc>
          <w:tcPr>
            <w:tcW w:w="36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超低能耗技术</w:t>
            </w:r>
          </w:p>
        </w:tc>
      </w:tr>
      <w:tr w:rsidR="00CE74E7">
        <w:trPr>
          <w:trHeight w:hRule="exact" w:val="252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textDirection w:val="tbRlV"/>
            <w:vAlign w:val="bottom"/>
          </w:tcPr>
          <w:p w:rsidR="00CE74E7" w:rsidRDefault="00CE74E7"/>
        </w:tc>
        <w:tc>
          <w:tcPr>
            <w:tcW w:w="479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装配式建造技术（装配式建筑项目装配率要达到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50%</w:t>
            </w:r>
            <w:r>
              <w:rPr>
                <w:sz w:val="17"/>
                <w:szCs w:val="17"/>
              </w:rPr>
              <w:t>以上）</w:t>
            </w:r>
          </w:p>
        </w:tc>
        <w:tc>
          <w:tcPr>
            <w:tcW w:w="36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铝模板技术</w:t>
            </w:r>
          </w:p>
        </w:tc>
      </w:tr>
      <w:tr w:rsidR="00CE74E7">
        <w:trPr>
          <w:trHeight w:hRule="exact" w:val="259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textDirection w:val="tbRlV"/>
            <w:vAlign w:val="bottom"/>
          </w:tcPr>
          <w:p w:rsidR="00CE74E7" w:rsidRDefault="00CE74E7"/>
        </w:tc>
        <w:tc>
          <w:tcPr>
            <w:tcW w:w="479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保温结构一体化技术（玻璃幕墙除外）</w:t>
            </w:r>
          </w:p>
        </w:tc>
        <w:tc>
          <w:tcPr>
            <w:tcW w:w="36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可再生能源建筑应用一体化技术</w:t>
            </w:r>
          </w:p>
        </w:tc>
      </w:tr>
      <w:tr w:rsidR="00CE74E7">
        <w:trPr>
          <w:trHeight w:hRule="exact" w:val="281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textDirection w:val="tbRlV"/>
            <w:vAlign w:val="bottom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79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能耗监测管理系统（公共建筑）</w:t>
            </w:r>
          </w:p>
        </w:tc>
        <w:tc>
          <w:tcPr>
            <w:tcW w:w="36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  <w:lang w:eastAsia="zh-CN"/>
              </w:rPr>
            </w:pPr>
          </w:p>
        </w:tc>
      </w:tr>
      <w:tr w:rsidR="00CE74E7">
        <w:trPr>
          <w:trHeight w:hRule="exact" w:val="266"/>
          <w:jc w:val="center"/>
        </w:trPr>
        <w:tc>
          <w:tcPr>
            <w:tcW w:w="61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32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创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新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技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术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（根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据项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目实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际，至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少选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择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  <w:r>
              <w:rPr>
                <w:sz w:val="17"/>
                <w:szCs w:val="17"/>
              </w:rPr>
              <w:t>种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以上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技术，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并达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到国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内领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先水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平）</w:t>
            </w:r>
          </w:p>
        </w:tc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技术名称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备注</w:t>
            </w:r>
          </w:p>
        </w:tc>
      </w:tr>
      <w:tr w:rsidR="00CE74E7">
        <w:trPr>
          <w:trHeight w:hRule="exact" w:val="446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建筑</w:t>
            </w: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before="120"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生态恢复或补偿技术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23" w:lineRule="exact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本土化绿化、表层土保护和回收利用、多样化生态体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系、多层空间的立体绿化体系等</w:t>
            </w:r>
          </w:p>
        </w:tc>
      </w:tr>
      <w:tr w:rsidR="00CE74E7">
        <w:trPr>
          <w:trHeight w:hRule="exact" w:val="252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降低热岛强度技术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</w:rPr>
            </w:pPr>
          </w:p>
        </w:tc>
      </w:tr>
      <w:tr w:rsidR="00CE74E7">
        <w:trPr>
          <w:trHeight w:hRule="exact" w:val="238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提升建筑适变性技术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空间灵活可变、管线与结构分离、设施设备可变</w:t>
            </w:r>
          </w:p>
        </w:tc>
      </w:tr>
      <w:tr w:rsidR="00CE74E7">
        <w:trPr>
          <w:trHeight w:hRule="exact" w:val="245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被动节能技术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高效保温、可调节外遮阳、天然采光、自然通风</w:t>
            </w:r>
          </w:p>
        </w:tc>
      </w:tr>
      <w:tr w:rsidR="00CE74E7">
        <w:trPr>
          <w:trHeight w:hRule="exact" w:val="230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恒温、恒湿、恒氧、恒静、恒洁技术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  <w:lang w:eastAsia="zh-CN"/>
              </w:rPr>
            </w:pPr>
          </w:p>
        </w:tc>
      </w:tr>
      <w:tr w:rsidR="00CE74E7">
        <w:trPr>
          <w:trHeight w:hRule="exact" w:val="230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适老化住宅设计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</w:rPr>
            </w:pPr>
          </w:p>
        </w:tc>
      </w:tr>
      <w:tr w:rsidR="00CE74E7">
        <w:trPr>
          <w:trHeight w:hRule="exact" w:val="230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结构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34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地基基础和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地下空间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基坑支护结构施工技术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  <w:lang w:eastAsia="zh-CN"/>
              </w:rPr>
            </w:pPr>
          </w:p>
        </w:tc>
      </w:tr>
      <w:tr w:rsidR="00CE74E7">
        <w:trPr>
          <w:trHeight w:hRule="exact" w:val="295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珍核心筒的装配式主体结构体系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采用钢结构框架</w:t>
            </w:r>
          </w:p>
        </w:tc>
      </w:tr>
      <w:tr w:rsidR="00CE74E7">
        <w:trPr>
          <w:trHeight w:hRule="exact" w:val="245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E74E7" w:rsidRDefault="00CE74E7"/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深基坑施工监测技术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</w:rPr>
            </w:pPr>
          </w:p>
        </w:tc>
      </w:tr>
      <w:tr w:rsidR="00CE74E7">
        <w:trPr>
          <w:trHeight w:hRule="exact" w:val="259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23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钢筋与混凝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土技术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高耐久性混凝土技术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耐久性要求高的各类混凝土结构工程</w:t>
            </w:r>
          </w:p>
        </w:tc>
      </w:tr>
      <w:tr w:rsidR="00CE74E7">
        <w:trPr>
          <w:trHeight w:hRule="exact" w:val="446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before="100"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高强高性能混凝土技术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23" w:lineRule="exact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高层与超高层建筑竖向构件、预应力结构、混凝土强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度要求较高的结构工程</w:t>
            </w:r>
          </w:p>
        </w:tc>
      </w:tr>
      <w:tr w:rsidR="00CE74E7">
        <w:trPr>
          <w:trHeight w:hRule="exact" w:val="374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高强钢筋应用技术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热轧高强钢筋应用技术、高强冷轧带肋钢筋应用技术等</w:t>
            </w:r>
          </w:p>
        </w:tc>
      </w:tr>
      <w:tr w:rsidR="00CE74E7">
        <w:trPr>
          <w:trHeight w:hRule="exact" w:val="245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16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钢结构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高性能钢材应用技术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高层建筑、大型公共建筑、大型桥梁等结构用钢</w:t>
            </w:r>
          </w:p>
        </w:tc>
      </w:tr>
      <w:tr w:rsidR="00CE74E7">
        <w:trPr>
          <w:trHeight w:hRule="exact" w:val="245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钢结构防腐防火技术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各类建筑钢结构</w:t>
            </w:r>
          </w:p>
        </w:tc>
      </w:tr>
      <w:tr w:rsidR="00CE74E7">
        <w:trPr>
          <w:trHeight w:hRule="exact" w:val="266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23" w:lineRule="exact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装配式混凝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土结构技术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装配式混凝土剪力墙结构技术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抗震设防烈度为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6-8</w:t>
            </w:r>
            <w:r>
              <w:rPr>
                <w:sz w:val="17"/>
                <w:szCs w:val="17"/>
              </w:rPr>
              <w:t>度区工程</w:t>
            </w:r>
          </w:p>
        </w:tc>
      </w:tr>
      <w:tr w:rsidR="00CE74E7">
        <w:trPr>
          <w:trHeight w:hRule="exact" w:val="259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混凝土叠合楼板技术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各类房屋中的楼盖结构</w:t>
            </w:r>
          </w:p>
        </w:tc>
      </w:tr>
      <w:tr w:rsidR="00CE74E7">
        <w:trPr>
          <w:trHeight w:hRule="exact" w:val="252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预制混凝土外墙挂板技术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钢结构的公共建筑、住宅建筑</w:t>
            </w:r>
          </w:p>
        </w:tc>
      </w:tr>
      <w:tr w:rsidR="00CE74E7">
        <w:trPr>
          <w:trHeight w:hRule="exact" w:val="238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叠合剪力墙结构技术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抗震设防烈度为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6-8</w:t>
            </w:r>
            <w:r>
              <w:rPr>
                <w:sz w:val="17"/>
                <w:szCs w:val="17"/>
              </w:rPr>
              <w:t>度的多层、高层建筑</w:t>
            </w:r>
          </w:p>
        </w:tc>
      </w:tr>
      <w:tr w:rsidR="00CE74E7">
        <w:trPr>
          <w:trHeight w:hRule="exact" w:val="288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预制预应力混凝土构件技术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各类工业与民用建筑</w:t>
            </w:r>
          </w:p>
        </w:tc>
      </w:tr>
      <w:tr w:rsidR="00CE74E7">
        <w:trPr>
          <w:trHeight w:hRule="exact" w:val="238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09" w:lineRule="exact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设备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管线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23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可再生能源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光伏建筑一体化技术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</w:rPr>
            </w:pPr>
          </w:p>
        </w:tc>
      </w:tr>
      <w:tr w:rsidR="00CE74E7">
        <w:trPr>
          <w:trHeight w:hRule="exact" w:val="230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地热能供热、制冷技术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浅层、中深层地热能，污水源热泵等</w:t>
            </w:r>
          </w:p>
        </w:tc>
      </w:tr>
      <w:tr w:rsidR="00CE74E7">
        <w:trPr>
          <w:trHeight w:hRule="exact" w:val="223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空气源热泵技术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</w:rPr>
            </w:pPr>
          </w:p>
        </w:tc>
      </w:tr>
      <w:tr w:rsidR="00CE74E7">
        <w:trPr>
          <w:trHeight w:hRule="exact" w:val="266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安装技术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装配式全装修技术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集成厨房、集成卫生间、管线分离等</w:t>
            </w:r>
          </w:p>
        </w:tc>
      </w:tr>
      <w:tr w:rsidR="00CE74E7">
        <w:trPr>
          <w:trHeight w:hRule="exact" w:val="230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23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非传统水源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雨水利用与生态水处理技术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  <w:lang w:eastAsia="zh-CN"/>
              </w:rPr>
            </w:pPr>
          </w:p>
        </w:tc>
      </w:tr>
      <w:tr w:rsidR="00CE74E7">
        <w:trPr>
          <w:trHeight w:hRule="exact" w:val="230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中水回用技术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CE74E7">
            <w:pPr>
              <w:rPr>
                <w:sz w:val="10"/>
                <w:szCs w:val="10"/>
              </w:rPr>
            </w:pPr>
          </w:p>
        </w:tc>
      </w:tr>
      <w:tr w:rsidR="00CE74E7">
        <w:trPr>
          <w:trHeight w:hRule="exact" w:val="446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/>
        </w:tc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before="100"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能源高效利用技术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23" w:lineRule="exact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排风热回收技术、电梯能量回馈技术、储能技术、微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电网技术、交直流混合配电技术等</w:t>
            </w:r>
          </w:p>
        </w:tc>
      </w:tr>
      <w:tr w:rsidR="00CE74E7">
        <w:trPr>
          <w:trHeight w:hRule="exact" w:val="454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tbRlV"/>
          </w:tcPr>
          <w:p w:rsidR="00CE74E7" w:rsidRDefault="0055588C">
            <w:pPr>
              <w:pStyle w:val="Other20"/>
              <w:spacing w:before="1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智能化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23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智能化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生产技术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16" w:lineRule="exact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基于智能化的装配式建筑产品生产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与施工管理信息技术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16" w:lineRule="exact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装配式建筑产品的深化设计、材料、产品，以及施工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过程中产品进场管理、现场堆场管理、施工预拼装管理</w:t>
            </w:r>
          </w:p>
        </w:tc>
      </w:tr>
      <w:tr w:rsidR="00CE74E7">
        <w:trPr>
          <w:trHeight w:hRule="exact" w:val="446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textDirection w:val="tbRlV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23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智能化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施工技术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23" w:lineRule="exact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基于大数据的项目成本分析与控制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信息技术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E74E7" w:rsidRDefault="0055588C">
            <w:pPr>
              <w:pStyle w:val="Other10"/>
              <w:spacing w:line="240" w:lineRule="auto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加强项目成本管控的工程建设项目</w:t>
            </w:r>
          </w:p>
        </w:tc>
      </w:tr>
      <w:tr w:rsidR="00CE74E7">
        <w:trPr>
          <w:trHeight w:hRule="exact" w:val="446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textDirection w:val="tbRlV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38" w:lineRule="exact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基于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zh-CN" w:bidi="en-US"/>
              </w:rPr>
              <w:t>5G</w:t>
            </w:r>
            <w:r>
              <w:rPr>
                <w:sz w:val="17"/>
                <w:szCs w:val="17"/>
              </w:rPr>
              <w:t>移动互联网的项目动态管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理信息技术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16" w:lineRule="exact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施工作业设备多、生产指挥管理复杂、难度大的建设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项目</w:t>
            </w:r>
          </w:p>
        </w:tc>
      </w:tr>
      <w:tr w:rsidR="00CE74E7">
        <w:trPr>
          <w:trHeight w:hRule="exact" w:val="454"/>
          <w:jc w:val="center"/>
        </w:trPr>
        <w:tc>
          <w:tcPr>
            <w:tcW w:w="61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468" w:type="dxa"/>
            <w:vMerge/>
            <w:tcBorders>
              <w:left w:val="single" w:sz="4" w:space="0" w:color="auto"/>
            </w:tcBorders>
            <w:shd w:val="clear" w:color="auto" w:fill="FFFFFF"/>
            <w:textDirection w:val="tbRlV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23" w:lineRule="exact"/>
              <w:ind w:firstLine="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智能化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运维技术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38" w:lineRule="exact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基于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zh-CN" w:bidi="en-US"/>
              </w:rPr>
              <w:t>5G</w:t>
            </w:r>
            <w:r>
              <w:rPr>
                <w:sz w:val="17"/>
                <w:szCs w:val="17"/>
              </w:rPr>
              <w:t>物联网技术的智慧建筑感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知系统</w:t>
            </w:r>
          </w:p>
        </w:tc>
        <w:tc>
          <w:tcPr>
            <w:tcW w:w="41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E74E7" w:rsidRDefault="0055588C">
            <w:pPr>
              <w:pStyle w:val="Other10"/>
              <w:spacing w:line="230" w:lineRule="exact"/>
              <w:ind w:firstLine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能耗监测管理、智慧消防、智慧安防、远程抄表、楼</w:t>
            </w:r>
            <w:r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宇自控等。</w:t>
            </w:r>
          </w:p>
        </w:tc>
      </w:tr>
      <w:tr w:rsidR="00CE74E7">
        <w:trPr>
          <w:trHeight w:hRule="exact" w:val="482"/>
          <w:jc w:val="center"/>
        </w:trPr>
        <w:tc>
          <w:tcPr>
            <w:tcW w:w="61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E74E7" w:rsidRDefault="00CE74E7">
            <w:pPr>
              <w:rPr>
                <w:lang w:eastAsia="zh-CN"/>
              </w:rPr>
            </w:pPr>
          </w:p>
        </w:tc>
        <w:tc>
          <w:tcPr>
            <w:tcW w:w="8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74E7" w:rsidRDefault="0055588C">
            <w:pPr>
              <w:pStyle w:val="Other10"/>
              <w:spacing w:line="240" w:lineRule="auto"/>
              <w:ind w:firstLine="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其他先进适用技术</w:t>
            </w:r>
          </w:p>
        </w:tc>
      </w:tr>
    </w:tbl>
    <w:p w:rsidR="00CE74E7" w:rsidRDefault="00CE74E7">
      <w:pPr>
        <w:sectPr w:rsidR="00CE74E7">
          <w:footerReference w:type="even" r:id="rId17"/>
          <w:footerReference w:type="default" r:id="rId18"/>
          <w:footerReference w:type="first" r:id="rId19"/>
          <w:pgSz w:w="11900" w:h="16840"/>
          <w:pgMar w:top="1935" w:right="1475" w:bottom="1967" w:left="1331" w:header="0" w:footer="3" w:gutter="0"/>
          <w:cols w:space="720"/>
          <w:titlePg/>
          <w:docGrid w:linePitch="360"/>
        </w:sectPr>
      </w:pPr>
    </w:p>
    <w:p w:rsidR="00CE74E7" w:rsidRDefault="00CE74E7">
      <w:pPr>
        <w:spacing w:after="345" w:line="1" w:lineRule="exact"/>
      </w:pPr>
    </w:p>
    <w:p w:rsidR="00CE74E7" w:rsidRDefault="00CE74E7">
      <w:pPr>
        <w:spacing w:line="1" w:lineRule="exact"/>
      </w:pPr>
    </w:p>
    <w:sectPr w:rsidR="00CE74E7">
      <w:footerReference w:type="even" r:id="rId20"/>
      <w:footerReference w:type="default" r:id="rId21"/>
      <w:pgSz w:w="11900" w:h="16840"/>
      <w:pgMar w:top="14429" w:right="1738" w:bottom="1865" w:left="1774" w:header="14001" w:footer="1437" w:gutter="0"/>
      <w:pgNumType w:start="1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88C" w:rsidRDefault="0055588C"/>
  </w:endnote>
  <w:endnote w:type="continuationSeparator" w:id="0">
    <w:p w:rsidR="0055588C" w:rsidRDefault="00555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55588C">
    <w:pPr>
      <w:spacing w:line="1" w:lineRule="exact"/>
    </w:pPr>
    <w:r>
      <w:rPr>
        <w:noProof/>
        <w:lang w:eastAsia="zh-CN" w:bidi="ar-SA"/>
      </w:rPr>
      <mc:AlternateContent>
        <mc:Choice Requires="wps">
          <w:drawing>
            <wp:anchor distT="0" distB="0" distL="0" distR="0" simplePos="0" relativeHeight="251657728" behindDoc="1" locked="0" layoutInCell="1" allowOverlap="1">
              <wp:simplePos x="0" y="0"/>
              <wp:positionH relativeFrom="page">
                <wp:posOffset>1190625</wp:posOffset>
              </wp:positionH>
              <wp:positionV relativeFrom="page">
                <wp:posOffset>9507220</wp:posOffset>
              </wp:positionV>
              <wp:extent cx="704215" cy="123190"/>
              <wp:effectExtent l="0" t="0" r="0" b="0"/>
              <wp:wrapNone/>
              <wp:docPr id="17" name="Shap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4215" cy="1231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CE74E7" w:rsidRDefault="0055588C">
                          <w:pPr>
                            <w:pStyle w:val="Headerorfooter10"/>
                          </w:pPr>
                          <w:r>
                            <w:rPr>
                              <w:lang w:val="en-US" w:eastAsia="en-US" w:bidi="en-US"/>
                            </w:rPr>
                            <w:t>—</w:t>
                          </w:r>
                          <w:r>
                            <w:t xml:space="preserve">10 </w:t>
                          </w:r>
                          <w:r>
                            <w:rPr>
                              <w:lang w:val="en-US" w:eastAsia="en-US" w:bidi="en-US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7" o:spid="_x0000_s1026" type="#_x0000_t202" style="position:absolute;margin-left:93.75pt;margin-top:748.6pt;width:55.45pt;height:9.7pt;z-index:-251658752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" filled="f" stroked="f">
              <v:textbox style="mso-fit-shape-to-text:t" inset="0,0,0,0">
                <w:txbxContent>
                  <w:p w:rsidR="00CE74E7" w:rsidRDefault="0055588C">
                    <w:pPr>
                      <w:pStyle w:val="Headerorfooter10"/>
                    </w:pPr>
                    <w:r>
                      <w:rPr>
                        <w:lang w:val="en-US" w:eastAsia="en-US" w:bidi="en-US"/>
                      </w:rPr>
                      <w:t>—</w:t>
                    </w:r>
                    <w:r>
                      <w:t xml:space="preserve">10 </w:t>
                    </w:r>
                    <w:r>
                      <w:rPr>
                        <w:lang w:val="en-US" w:eastAsia="en-US" w:bidi="en-US"/>
                      </w:rPr>
                      <w:t>—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>
    <w:pPr>
      <w:spacing w:line="1" w:lineRule="exact"/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/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4E7" w:rsidRDefault="00CE74E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88C" w:rsidRDefault="0055588C"/>
  </w:footnote>
  <w:footnote w:type="continuationSeparator" w:id="0">
    <w:p w:rsidR="0055588C" w:rsidRDefault="005558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singleLevel"/>
    <w:tmpl w:val="005320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shd w:val="clear" w:color="auto" w:fill="auto"/>
        <w:lang w:val="zh-TW" w:eastAsia="zh-TW" w:bidi="zh-TW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CE74E7"/>
    <w:rsid w:val="004A65F9"/>
    <w:rsid w:val="0055588C"/>
    <w:rsid w:val="005B2644"/>
    <w:rsid w:val="00CE74E7"/>
    <w:rsid w:val="75105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Times New Roman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character" w:customStyle="1" w:styleId="Heading11">
    <w:name w:val="Heading #1|1_"/>
    <w:basedOn w:val="a0"/>
    <w:link w:val="Heading110"/>
    <w:qFormat/>
    <w:rPr>
      <w:rFonts w:ascii="宋体" w:eastAsia="宋体" w:hAnsi="宋体" w:cs="宋体"/>
      <w:color w:val="E76159"/>
      <w:sz w:val="100"/>
      <w:szCs w:val="100"/>
      <w:u w:val="none"/>
      <w:shd w:val="clear" w:color="auto" w:fill="auto"/>
      <w:lang w:val="zh-TW" w:eastAsia="zh-TW" w:bidi="zh-TW"/>
    </w:rPr>
  </w:style>
  <w:style w:type="paragraph" w:customStyle="1" w:styleId="Heading110">
    <w:name w:val="Heading #1|1"/>
    <w:basedOn w:val="a"/>
    <w:link w:val="Heading11"/>
    <w:pPr>
      <w:spacing w:before="2060" w:after="640"/>
      <w:jc w:val="center"/>
      <w:outlineLvl w:val="0"/>
    </w:pPr>
    <w:rPr>
      <w:rFonts w:ascii="宋体" w:eastAsia="宋体" w:hAnsi="宋体" w:cs="宋体"/>
      <w:color w:val="E76159"/>
      <w:sz w:val="100"/>
      <w:szCs w:val="100"/>
      <w:lang w:val="zh-TW" w:eastAsia="zh-TW" w:bidi="zh-TW"/>
    </w:rPr>
  </w:style>
  <w:style w:type="character" w:customStyle="1" w:styleId="Headerorfooter2">
    <w:name w:val="Header or footer|2_"/>
    <w:basedOn w:val="a0"/>
    <w:link w:val="Headerorfooter2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Headerorfooter20">
    <w:name w:val="Header or footer|2"/>
    <w:basedOn w:val="a"/>
    <w:link w:val="Headerorfooter2"/>
    <w:qFormat/>
    <w:rPr>
      <w:sz w:val="20"/>
      <w:szCs w:val="20"/>
      <w:lang w:val="zh-TW" w:eastAsia="zh-TW" w:bidi="zh-TW"/>
    </w:rPr>
  </w:style>
  <w:style w:type="character" w:customStyle="1" w:styleId="Bodytext1">
    <w:name w:val="Body text|1_"/>
    <w:basedOn w:val="a0"/>
    <w:link w:val="Bodytext10"/>
    <w:rPr>
      <w:rFonts w:ascii="宋体" w:eastAsia="宋体" w:hAnsi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Bodytext10">
    <w:name w:val="Body text|1"/>
    <w:basedOn w:val="a"/>
    <w:link w:val="Bodytext1"/>
    <w:pPr>
      <w:spacing w:line="403" w:lineRule="auto"/>
      <w:ind w:firstLine="400"/>
    </w:pPr>
    <w:rPr>
      <w:rFonts w:ascii="宋体" w:eastAsia="宋体" w:hAnsi="宋体" w:cs="宋体"/>
      <w:sz w:val="30"/>
      <w:szCs w:val="30"/>
      <w:lang w:val="zh-TW" w:eastAsia="zh-TW" w:bidi="zh-TW"/>
    </w:rPr>
  </w:style>
  <w:style w:type="character" w:customStyle="1" w:styleId="Heading21">
    <w:name w:val="Heading #2|1_"/>
    <w:basedOn w:val="a0"/>
    <w:link w:val="Heading210"/>
    <w:qFormat/>
    <w:rPr>
      <w:rFonts w:ascii="宋体" w:eastAsia="宋体" w:hAnsi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Heading210">
    <w:name w:val="Heading #2|1"/>
    <w:basedOn w:val="a"/>
    <w:link w:val="Heading21"/>
    <w:pPr>
      <w:spacing w:after="420"/>
      <w:jc w:val="center"/>
      <w:outlineLvl w:val="1"/>
    </w:pPr>
    <w:rPr>
      <w:rFonts w:ascii="宋体" w:eastAsia="宋体" w:hAnsi="宋体" w:cs="宋体"/>
      <w:sz w:val="42"/>
      <w:szCs w:val="42"/>
      <w:lang w:val="zh-TW" w:eastAsia="zh-TW" w:bidi="zh-TW"/>
    </w:rPr>
  </w:style>
  <w:style w:type="character" w:customStyle="1" w:styleId="Headerorfooter1">
    <w:name w:val="Header or footer|1_"/>
    <w:basedOn w:val="a0"/>
    <w:link w:val="Headerorfooter10"/>
    <w:rPr>
      <w:rFonts w:ascii="宋体" w:eastAsia="宋体" w:hAnsi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Headerorfooter10">
    <w:name w:val="Header or footer|1"/>
    <w:basedOn w:val="a"/>
    <w:link w:val="Headerorfooter1"/>
    <w:qFormat/>
    <w:rPr>
      <w:rFonts w:ascii="宋体" w:eastAsia="宋体" w:hAnsi="宋体" w:cs="宋体"/>
      <w:sz w:val="28"/>
      <w:szCs w:val="28"/>
      <w:lang w:val="zh-TW" w:eastAsia="zh-TW" w:bidi="zh-TW"/>
    </w:rPr>
  </w:style>
  <w:style w:type="character" w:customStyle="1" w:styleId="Other2">
    <w:name w:val="Other|2_"/>
    <w:basedOn w:val="a0"/>
    <w:link w:val="Other20"/>
    <w:rPr>
      <w:rFonts w:ascii="宋体" w:eastAsia="宋体" w:hAnsi="宋体" w:cs="宋体"/>
      <w:sz w:val="19"/>
      <w:szCs w:val="19"/>
      <w:u w:val="none"/>
      <w:shd w:val="clear" w:color="auto" w:fill="auto"/>
      <w:lang w:val="zh-TW" w:eastAsia="zh-TW" w:bidi="zh-TW"/>
    </w:rPr>
  </w:style>
  <w:style w:type="paragraph" w:customStyle="1" w:styleId="Other20">
    <w:name w:val="Other|2"/>
    <w:basedOn w:val="a"/>
    <w:link w:val="Other2"/>
    <w:qFormat/>
    <w:pPr>
      <w:spacing w:before="70"/>
    </w:pPr>
    <w:rPr>
      <w:rFonts w:ascii="宋体" w:eastAsia="宋体" w:hAnsi="宋体" w:cs="宋体"/>
      <w:sz w:val="19"/>
      <w:szCs w:val="19"/>
      <w:lang w:val="zh-TW" w:eastAsia="zh-TW" w:bidi="zh-TW"/>
    </w:rPr>
  </w:style>
  <w:style w:type="character" w:customStyle="1" w:styleId="Other1">
    <w:name w:val="Other|1_"/>
    <w:basedOn w:val="a0"/>
    <w:link w:val="Other10"/>
    <w:qFormat/>
    <w:rPr>
      <w:rFonts w:ascii="宋体" w:eastAsia="宋体" w:hAnsi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Other10">
    <w:name w:val="Other|1"/>
    <w:basedOn w:val="a"/>
    <w:link w:val="Other1"/>
    <w:qFormat/>
    <w:pPr>
      <w:spacing w:line="403" w:lineRule="auto"/>
      <w:ind w:firstLine="400"/>
    </w:pPr>
    <w:rPr>
      <w:rFonts w:ascii="宋体" w:eastAsia="宋体" w:hAnsi="宋体" w:cs="宋体"/>
      <w:sz w:val="30"/>
      <w:szCs w:val="30"/>
      <w:lang w:val="zh-TW" w:eastAsia="zh-TW" w:bidi="zh-TW"/>
    </w:rPr>
  </w:style>
  <w:style w:type="character" w:customStyle="1" w:styleId="Bodytext2">
    <w:name w:val="Body text|2_"/>
    <w:basedOn w:val="a0"/>
    <w:link w:val="Bodytext20"/>
    <w:qFormat/>
    <w:rPr>
      <w:rFonts w:ascii="宋体" w:eastAsia="宋体" w:hAnsi="宋体" w:cs="宋体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Bodytext20">
    <w:name w:val="Body text|2"/>
    <w:basedOn w:val="a"/>
    <w:link w:val="Bodytext2"/>
    <w:rPr>
      <w:rFonts w:ascii="宋体" w:eastAsia="宋体" w:hAnsi="宋体" w:cs="宋体"/>
      <w:sz w:val="20"/>
      <w:szCs w:val="20"/>
      <w:lang w:val="zh-TW" w:eastAsia="zh-TW" w:bidi="zh-TW"/>
    </w:rPr>
  </w:style>
  <w:style w:type="paragraph" w:styleId="a4">
    <w:name w:val="footer"/>
    <w:basedOn w:val="a"/>
    <w:link w:val="Char"/>
    <w:rsid w:val="004A65F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4A65F9"/>
    <w:rPr>
      <w:rFonts w:eastAsia="Times New Roman"/>
      <w:color w:val="000000"/>
      <w:sz w:val="18"/>
      <w:szCs w:val="18"/>
      <w:lang w:eastAsia="en-US" w:bidi="en-US"/>
    </w:rPr>
  </w:style>
  <w:style w:type="paragraph" w:styleId="a5">
    <w:name w:val="Date"/>
    <w:basedOn w:val="a"/>
    <w:next w:val="a"/>
    <w:link w:val="Char0"/>
    <w:rsid w:val="004A65F9"/>
    <w:pPr>
      <w:ind w:leftChars="2500" w:left="100"/>
    </w:pPr>
  </w:style>
  <w:style w:type="character" w:customStyle="1" w:styleId="Char0">
    <w:name w:val="日期 Char"/>
    <w:basedOn w:val="a0"/>
    <w:link w:val="a5"/>
    <w:rsid w:val="004A65F9"/>
    <w:rPr>
      <w:rFonts w:eastAsia="Times New Roman"/>
      <w:color w:val="000000"/>
      <w:sz w:val="24"/>
      <w:szCs w:val="24"/>
      <w:lang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Times New Roman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character" w:customStyle="1" w:styleId="Heading11">
    <w:name w:val="Heading #1|1_"/>
    <w:basedOn w:val="a0"/>
    <w:link w:val="Heading110"/>
    <w:qFormat/>
    <w:rPr>
      <w:rFonts w:ascii="宋体" w:eastAsia="宋体" w:hAnsi="宋体" w:cs="宋体"/>
      <w:color w:val="E76159"/>
      <w:sz w:val="100"/>
      <w:szCs w:val="100"/>
      <w:u w:val="none"/>
      <w:shd w:val="clear" w:color="auto" w:fill="auto"/>
      <w:lang w:val="zh-TW" w:eastAsia="zh-TW" w:bidi="zh-TW"/>
    </w:rPr>
  </w:style>
  <w:style w:type="paragraph" w:customStyle="1" w:styleId="Heading110">
    <w:name w:val="Heading #1|1"/>
    <w:basedOn w:val="a"/>
    <w:link w:val="Heading11"/>
    <w:pPr>
      <w:spacing w:before="2060" w:after="640"/>
      <w:jc w:val="center"/>
      <w:outlineLvl w:val="0"/>
    </w:pPr>
    <w:rPr>
      <w:rFonts w:ascii="宋体" w:eastAsia="宋体" w:hAnsi="宋体" w:cs="宋体"/>
      <w:color w:val="E76159"/>
      <w:sz w:val="100"/>
      <w:szCs w:val="100"/>
      <w:lang w:val="zh-TW" w:eastAsia="zh-TW" w:bidi="zh-TW"/>
    </w:rPr>
  </w:style>
  <w:style w:type="character" w:customStyle="1" w:styleId="Headerorfooter2">
    <w:name w:val="Header or footer|2_"/>
    <w:basedOn w:val="a0"/>
    <w:link w:val="Headerorfooter2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Headerorfooter20">
    <w:name w:val="Header or footer|2"/>
    <w:basedOn w:val="a"/>
    <w:link w:val="Headerorfooter2"/>
    <w:qFormat/>
    <w:rPr>
      <w:sz w:val="20"/>
      <w:szCs w:val="20"/>
      <w:lang w:val="zh-TW" w:eastAsia="zh-TW" w:bidi="zh-TW"/>
    </w:rPr>
  </w:style>
  <w:style w:type="character" w:customStyle="1" w:styleId="Bodytext1">
    <w:name w:val="Body text|1_"/>
    <w:basedOn w:val="a0"/>
    <w:link w:val="Bodytext10"/>
    <w:rPr>
      <w:rFonts w:ascii="宋体" w:eastAsia="宋体" w:hAnsi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Bodytext10">
    <w:name w:val="Body text|1"/>
    <w:basedOn w:val="a"/>
    <w:link w:val="Bodytext1"/>
    <w:pPr>
      <w:spacing w:line="403" w:lineRule="auto"/>
      <w:ind w:firstLine="400"/>
    </w:pPr>
    <w:rPr>
      <w:rFonts w:ascii="宋体" w:eastAsia="宋体" w:hAnsi="宋体" w:cs="宋体"/>
      <w:sz w:val="30"/>
      <w:szCs w:val="30"/>
      <w:lang w:val="zh-TW" w:eastAsia="zh-TW" w:bidi="zh-TW"/>
    </w:rPr>
  </w:style>
  <w:style w:type="character" w:customStyle="1" w:styleId="Heading21">
    <w:name w:val="Heading #2|1_"/>
    <w:basedOn w:val="a0"/>
    <w:link w:val="Heading210"/>
    <w:qFormat/>
    <w:rPr>
      <w:rFonts w:ascii="宋体" w:eastAsia="宋体" w:hAnsi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Heading210">
    <w:name w:val="Heading #2|1"/>
    <w:basedOn w:val="a"/>
    <w:link w:val="Heading21"/>
    <w:pPr>
      <w:spacing w:after="420"/>
      <w:jc w:val="center"/>
      <w:outlineLvl w:val="1"/>
    </w:pPr>
    <w:rPr>
      <w:rFonts w:ascii="宋体" w:eastAsia="宋体" w:hAnsi="宋体" w:cs="宋体"/>
      <w:sz w:val="42"/>
      <w:szCs w:val="42"/>
      <w:lang w:val="zh-TW" w:eastAsia="zh-TW" w:bidi="zh-TW"/>
    </w:rPr>
  </w:style>
  <w:style w:type="character" w:customStyle="1" w:styleId="Headerorfooter1">
    <w:name w:val="Header or footer|1_"/>
    <w:basedOn w:val="a0"/>
    <w:link w:val="Headerorfooter10"/>
    <w:rPr>
      <w:rFonts w:ascii="宋体" w:eastAsia="宋体" w:hAnsi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Headerorfooter10">
    <w:name w:val="Header or footer|1"/>
    <w:basedOn w:val="a"/>
    <w:link w:val="Headerorfooter1"/>
    <w:qFormat/>
    <w:rPr>
      <w:rFonts w:ascii="宋体" w:eastAsia="宋体" w:hAnsi="宋体" w:cs="宋体"/>
      <w:sz w:val="28"/>
      <w:szCs w:val="28"/>
      <w:lang w:val="zh-TW" w:eastAsia="zh-TW" w:bidi="zh-TW"/>
    </w:rPr>
  </w:style>
  <w:style w:type="character" w:customStyle="1" w:styleId="Other2">
    <w:name w:val="Other|2_"/>
    <w:basedOn w:val="a0"/>
    <w:link w:val="Other20"/>
    <w:rPr>
      <w:rFonts w:ascii="宋体" w:eastAsia="宋体" w:hAnsi="宋体" w:cs="宋体"/>
      <w:sz w:val="19"/>
      <w:szCs w:val="19"/>
      <w:u w:val="none"/>
      <w:shd w:val="clear" w:color="auto" w:fill="auto"/>
      <w:lang w:val="zh-TW" w:eastAsia="zh-TW" w:bidi="zh-TW"/>
    </w:rPr>
  </w:style>
  <w:style w:type="paragraph" w:customStyle="1" w:styleId="Other20">
    <w:name w:val="Other|2"/>
    <w:basedOn w:val="a"/>
    <w:link w:val="Other2"/>
    <w:qFormat/>
    <w:pPr>
      <w:spacing w:before="70"/>
    </w:pPr>
    <w:rPr>
      <w:rFonts w:ascii="宋体" w:eastAsia="宋体" w:hAnsi="宋体" w:cs="宋体"/>
      <w:sz w:val="19"/>
      <w:szCs w:val="19"/>
      <w:lang w:val="zh-TW" w:eastAsia="zh-TW" w:bidi="zh-TW"/>
    </w:rPr>
  </w:style>
  <w:style w:type="character" w:customStyle="1" w:styleId="Other1">
    <w:name w:val="Other|1_"/>
    <w:basedOn w:val="a0"/>
    <w:link w:val="Other10"/>
    <w:qFormat/>
    <w:rPr>
      <w:rFonts w:ascii="宋体" w:eastAsia="宋体" w:hAnsi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Other10">
    <w:name w:val="Other|1"/>
    <w:basedOn w:val="a"/>
    <w:link w:val="Other1"/>
    <w:qFormat/>
    <w:pPr>
      <w:spacing w:line="403" w:lineRule="auto"/>
      <w:ind w:firstLine="400"/>
    </w:pPr>
    <w:rPr>
      <w:rFonts w:ascii="宋体" w:eastAsia="宋体" w:hAnsi="宋体" w:cs="宋体"/>
      <w:sz w:val="30"/>
      <w:szCs w:val="30"/>
      <w:lang w:val="zh-TW" w:eastAsia="zh-TW" w:bidi="zh-TW"/>
    </w:rPr>
  </w:style>
  <w:style w:type="character" w:customStyle="1" w:styleId="Bodytext2">
    <w:name w:val="Body text|2_"/>
    <w:basedOn w:val="a0"/>
    <w:link w:val="Bodytext20"/>
    <w:qFormat/>
    <w:rPr>
      <w:rFonts w:ascii="宋体" w:eastAsia="宋体" w:hAnsi="宋体" w:cs="宋体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Bodytext20">
    <w:name w:val="Body text|2"/>
    <w:basedOn w:val="a"/>
    <w:link w:val="Bodytext2"/>
    <w:rPr>
      <w:rFonts w:ascii="宋体" w:eastAsia="宋体" w:hAnsi="宋体" w:cs="宋体"/>
      <w:sz w:val="20"/>
      <w:szCs w:val="20"/>
      <w:lang w:val="zh-TW" w:eastAsia="zh-TW" w:bidi="zh-TW"/>
    </w:rPr>
  </w:style>
  <w:style w:type="paragraph" w:styleId="a4">
    <w:name w:val="footer"/>
    <w:basedOn w:val="a"/>
    <w:link w:val="Char"/>
    <w:rsid w:val="004A65F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4A65F9"/>
    <w:rPr>
      <w:rFonts w:eastAsia="Times New Roman"/>
      <w:color w:val="000000"/>
      <w:sz w:val="18"/>
      <w:szCs w:val="18"/>
      <w:lang w:eastAsia="en-US" w:bidi="en-US"/>
    </w:rPr>
  </w:style>
  <w:style w:type="paragraph" w:styleId="a5">
    <w:name w:val="Date"/>
    <w:basedOn w:val="a"/>
    <w:next w:val="a"/>
    <w:link w:val="Char0"/>
    <w:rsid w:val="004A65F9"/>
    <w:pPr>
      <w:ind w:leftChars="2500" w:left="100"/>
    </w:pPr>
  </w:style>
  <w:style w:type="character" w:customStyle="1" w:styleId="Char0">
    <w:name w:val="日期 Char"/>
    <w:basedOn w:val="a0"/>
    <w:link w:val="a5"/>
    <w:rsid w:val="004A65F9"/>
    <w:rPr>
      <w:rFonts w:eastAsia="Times New Roman"/>
      <w:color w:val="000000"/>
      <w:sz w:val="24"/>
      <w:szCs w:val="24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5.xml"/><Relationship Id="rId18" Type="http://schemas.openxmlformats.org/officeDocument/2006/relationships/footer" Target="footer10.xml"/><Relationship Id="rId3" Type="http://schemas.openxmlformats.org/officeDocument/2006/relationships/styles" Target="styles.xml"/><Relationship Id="rId21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4.xml"/><Relationship Id="rId17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8.xml"/><Relationship Id="rId20" Type="http://schemas.openxmlformats.org/officeDocument/2006/relationships/footer" Target="footer1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footer" Target="footer7.xml"/><Relationship Id="rId23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footer" Target="footer1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footer" Target="footer6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10</Pages>
  <Words>787</Words>
  <Characters>4487</Characters>
  <Application>Microsoft Office Word</Application>
  <DocSecurity>0</DocSecurity>
  <Lines>37</Lines>
  <Paragraphs>10</Paragraphs>
  <ScaleCrop>false</ScaleCrop>
  <Company>Microsoft</Company>
  <LinksUpToDate>false</LinksUpToDate>
  <CharactersWithSpaces>5264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PC</cp:lastModifiedBy>
  <cp:revision>2</cp:revision>
  <dcterms:created xsi:type="dcterms:W3CDTF">2020-05-29T07:00:00Z</dcterms:created>
  <dcterms:modified xsi:type="dcterms:W3CDTF">2020-05-29T07:19:00Z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