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80"/>
        <w:rPr>
          <w:rFonts w:eastAsia="黑体"/>
          <w:sz w:val="32"/>
          <w:szCs w:val="32"/>
        </w:rPr>
      </w:pPr>
      <w:r>
        <w:rPr>
          <w:rFonts w:cs="Microsoft JhengHei"/>
          <w:sz w:val="44"/>
          <w:szCs w:val="44"/>
        </w:rPr>
        <w:drawing>
          <wp:anchor distT="0" distB="0" distL="114300" distR="114300" simplePos="0" relativeHeight="251666432" behindDoc="0" locked="0" layoutInCell="1" allowOverlap="1">
            <wp:simplePos x="0" y="0"/>
            <wp:positionH relativeFrom="page">
              <wp:posOffset>5332730</wp:posOffset>
            </wp:positionH>
            <wp:positionV relativeFrom="page">
              <wp:posOffset>971550</wp:posOffset>
            </wp:positionV>
            <wp:extent cx="1078230" cy="501650"/>
            <wp:effectExtent l="0" t="0" r="7620" b="0"/>
            <wp:wrapNone/>
            <wp:docPr id="6" name="图片 3" descr="说明: G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说明: G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1078230" cy="501650"/>
                    </a:xfrm>
                    <a:prstGeom prst="rect">
                      <a:avLst/>
                    </a:prstGeom>
                    <a:noFill/>
                    <a:ln>
                      <a:noFill/>
                    </a:ln>
                  </pic:spPr>
                </pic:pic>
              </a:graphicData>
            </a:graphic>
          </wp:anchor>
        </w:drawing>
      </w:r>
      <w:r>
        <w:rPr>
          <w:rFonts w:hint="eastAsia" w:eastAsia="黑体"/>
          <w:sz w:val="32"/>
          <w:szCs w:val="32"/>
        </w:rPr>
        <w:t xml:space="preserve">  </w:t>
      </w:r>
      <w:r>
        <w:rPr>
          <w:rFonts w:eastAsia="黑体"/>
          <w:spacing w:val="28"/>
          <w:sz w:val="48"/>
          <w:szCs w:val="48"/>
        </w:rPr>
        <w:t>广东省标准</w:t>
      </w:r>
      <w:r>
        <w:rPr>
          <w:rFonts w:eastAsia="黑体"/>
          <w:sz w:val="32"/>
          <w:szCs w:val="32"/>
        </w:rPr>
        <w:t xml:space="preserve">            </w:t>
      </w:r>
      <w:r>
        <w:rPr>
          <w:rFonts w:hint="eastAsia"/>
          <w:sz w:val="52"/>
        </w:rPr>
        <w:t xml:space="preserve">   </w:t>
      </w:r>
    </w:p>
    <w:p>
      <w:pPr>
        <w:ind w:firstLine="560"/>
      </w:pPr>
      <w:r>
        <w:t xml:space="preserve">                              </w:t>
      </w:r>
      <w:bookmarkStart w:id="0" w:name="_Toc337542810"/>
      <w:r>
        <w:rPr>
          <w:rFonts w:hint="eastAsia"/>
        </w:rPr>
        <w:t xml:space="preserve">                                                        </w:t>
      </w:r>
    </w:p>
    <w:p>
      <w:pPr>
        <w:spacing w:line="400" w:lineRule="exact"/>
        <w:rPr>
          <w:spacing w:val="17"/>
          <w:sz w:val="30"/>
          <w:szCs w:val="30"/>
        </w:rPr>
      </w:pPr>
      <w:r>
        <w:rPr>
          <w:rFonts w:hint="eastAsia"/>
        </w:rPr>
        <w:t xml:space="preserve">                                                       </w:t>
      </w:r>
      <w:r>
        <w:rPr>
          <w:spacing w:val="23"/>
          <w:sz w:val="30"/>
          <w:szCs w:val="30"/>
        </w:rPr>
        <w:t>DBJ</w:t>
      </w:r>
      <w:r>
        <w:rPr>
          <w:rFonts w:hint="eastAsia"/>
          <w:spacing w:val="23"/>
          <w:sz w:val="30"/>
          <w:szCs w:val="30"/>
        </w:rPr>
        <w:t xml:space="preserve"> 15</w:t>
      </w:r>
      <w:r>
        <w:rPr>
          <w:spacing w:val="23"/>
          <w:sz w:val="30"/>
          <w:szCs w:val="30"/>
        </w:rPr>
        <w:t>-</w:t>
      </w:r>
      <w:r>
        <w:rPr>
          <w:rFonts w:hint="eastAsia"/>
          <w:spacing w:val="23"/>
          <w:sz w:val="30"/>
          <w:szCs w:val="30"/>
        </w:rPr>
        <w:t>XX</w:t>
      </w:r>
      <w:r>
        <w:rPr>
          <w:spacing w:val="23"/>
          <w:sz w:val="30"/>
          <w:szCs w:val="30"/>
        </w:rPr>
        <w:t>-</w:t>
      </w:r>
      <w:bookmarkEnd w:id="0"/>
      <w:r>
        <w:rPr>
          <w:sz w:val="30"/>
          <w:szCs w:val="30"/>
        </w:rPr>
        <w:t>2019</w:t>
      </w:r>
    </w:p>
    <w:p>
      <w:pPr>
        <w:spacing w:line="400" w:lineRule="exact"/>
        <w:rPr>
          <w:sz w:val="28"/>
          <w:szCs w:val="28"/>
        </w:rPr>
      </w:pPr>
      <w:r>
        <w:rPr>
          <w:sz w:val="28"/>
          <w:szCs w:val="28"/>
        </w:rPr>
        <mc:AlternateContent>
          <mc:Choice Requires="wps">
            <w:drawing>
              <wp:anchor distT="0" distB="0" distL="114300" distR="114300" simplePos="0" relativeHeight="251663360" behindDoc="0" locked="0" layoutInCell="1" allowOverlap="1">
                <wp:simplePos x="0" y="0"/>
                <wp:positionH relativeFrom="column">
                  <wp:posOffset>26035</wp:posOffset>
                </wp:positionH>
                <wp:positionV relativeFrom="paragraph">
                  <wp:posOffset>359410</wp:posOffset>
                </wp:positionV>
                <wp:extent cx="5486400" cy="41910"/>
                <wp:effectExtent l="6985" t="7620" r="12065" b="7620"/>
                <wp:wrapNone/>
                <wp:docPr id="4" name="直线 3"/>
                <wp:cNvGraphicFramePr/>
                <a:graphic xmlns:a="http://schemas.openxmlformats.org/drawingml/2006/main">
                  <a:graphicData uri="http://schemas.microsoft.com/office/word/2010/wordprocessingShape">
                    <wps:wsp>
                      <wps:cNvCnPr>
                        <a:cxnSpLocks noChangeShapeType="1"/>
                      </wps:cNvCnPr>
                      <wps:spPr bwMode="auto">
                        <a:xfrm flipV="1">
                          <a:off x="0" y="0"/>
                          <a:ext cx="5486400" cy="41910"/>
                        </a:xfrm>
                        <a:prstGeom prst="line">
                          <a:avLst/>
                        </a:prstGeom>
                        <a:noFill/>
                        <a:ln w="9525">
                          <a:solidFill>
                            <a:srgbClr val="000000"/>
                          </a:solidFill>
                          <a:round/>
                        </a:ln>
                      </wps:spPr>
                      <wps:bodyPr/>
                    </wps:wsp>
                  </a:graphicData>
                </a:graphic>
              </wp:anchor>
            </w:drawing>
          </mc:Choice>
          <mc:Fallback>
            <w:pict>
              <v:line id="直线 3" o:spid="_x0000_s1026" o:spt="20" style="position:absolute;left:0pt;flip:y;margin-left:2.05pt;margin-top:28.3pt;height:3.3pt;width:432pt;z-index:251663360;mso-width-relative:page;mso-height-relative:page;" filled="f" stroked="t" coordsize="21600,21600" o:gfxdata="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LbFpJ1AAAAAcBAAAPAAAAAAAAAAEAIAAAACIAAABkcnMvZG93bnJl&#10;di54bWxQSwECFAAUAAAACACHTuJAmy0CtMgBAABhAwAADgAAAAAAAAABACAAAAAjAQAAZHJzL2Uy&#10;b0RvYy54bWxQSwUGAAAAAAYABgBZAQAAXQUAAAAA&#10;">
                <v:fill on="f" focussize="0,0"/>
                <v:stroke color="#000000" joinstyle="round"/>
                <v:imagedata o:title=""/>
                <o:lock v:ext="edit" aspectratio="f"/>
              </v:line>
            </w:pict>
          </mc:Fallback>
        </mc:AlternateContent>
      </w:r>
      <w:r>
        <w:rPr>
          <w:rFonts w:hint="eastAsia"/>
          <w:sz w:val="28"/>
          <w:szCs w:val="28"/>
        </w:rPr>
        <w:t xml:space="preserve">                                        </w:t>
      </w:r>
      <w:r>
        <w:rPr>
          <w:rFonts w:hint="eastAsia" w:ascii="黑体" w:hAnsi="黑体" w:eastAsia="黑体"/>
          <w:sz w:val="28"/>
          <w:szCs w:val="28"/>
        </w:rPr>
        <w:t>备案号 J XXXXX-201</w:t>
      </w:r>
      <w:r>
        <w:rPr>
          <w:rFonts w:ascii="黑体" w:hAnsi="黑体" w:eastAsia="黑体"/>
          <w:sz w:val="28"/>
          <w:szCs w:val="28"/>
        </w:rPr>
        <w:t>9</w:t>
      </w:r>
    </w:p>
    <w:p>
      <w:pPr>
        <w:ind w:firstLine="964"/>
        <w:jc w:val="center"/>
        <w:rPr>
          <w:rFonts w:ascii="宋体" w:hAnsi="宋体"/>
          <w:b/>
          <w:sz w:val="48"/>
          <w:szCs w:val="48"/>
        </w:rPr>
      </w:pPr>
    </w:p>
    <w:p>
      <w:pPr>
        <w:ind w:firstLine="964"/>
        <w:jc w:val="center"/>
        <w:outlineLvl w:val="0"/>
        <w:rPr>
          <w:rFonts w:ascii="宋体" w:hAnsi="宋体"/>
          <w:b/>
          <w:sz w:val="48"/>
          <w:szCs w:val="48"/>
        </w:rPr>
      </w:pPr>
      <w:bookmarkStart w:id="1" w:name="_Toc375640674"/>
    </w:p>
    <w:bookmarkEnd w:id="1"/>
    <w:p>
      <w:pPr>
        <w:ind w:firstLine="560"/>
        <w:jc w:val="center"/>
      </w:pPr>
      <w:r>
        <w:rPr>
          <w:rFonts w:hint="eastAsia" w:ascii="宋体" w:hAnsi="宋体"/>
          <w:b/>
          <w:sz w:val="48"/>
          <w:szCs w:val="48"/>
        </w:rPr>
        <w:t>广东省绿色建筑检测标准</w:t>
      </w:r>
    </w:p>
    <w:p>
      <w:pPr>
        <w:ind w:firstLine="562"/>
        <w:jc w:val="center"/>
        <w:rPr>
          <w:b/>
          <w:sz w:val="28"/>
          <w:szCs w:val="28"/>
        </w:rPr>
      </w:pPr>
      <w:bookmarkStart w:id="2" w:name="_Toc337542811"/>
    </w:p>
    <w:bookmarkEnd w:id="2"/>
    <w:p>
      <w:pPr>
        <w:ind w:firstLine="562"/>
        <w:jc w:val="center"/>
        <w:rPr>
          <w:b/>
          <w:sz w:val="28"/>
          <w:szCs w:val="28"/>
        </w:rPr>
      </w:pPr>
      <w:r>
        <w:rPr>
          <w:b/>
          <w:sz w:val="28"/>
          <w:szCs w:val="28"/>
        </w:rPr>
        <w:t>Test standard for green building in Guangdong province</w:t>
      </w:r>
    </w:p>
    <w:p>
      <w:pPr>
        <w:ind w:firstLine="562"/>
        <w:jc w:val="center"/>
        <w:rPr>
          <w:b/>
          <w:sz w:val="28"/>
          <w:szCs w:val="28"/>
        </w:rPr>
      </w:pPr>
    </w:p>
    <w:p>
      <w:pPr>
        <w:ind w:firstLine="562"/>
        <w:jc w:val="center"/>
        <w:rPr>
          <w:b/>
          <w:sz w:val="28"/>
          <w:szCs w:val="28"/>
        </w:rPr>
      </w:pPr>
      <w:bookmarkStart w:id="179" w:name="_GoBack"/>
      <w:bookmarkEnd w:id="179"/>
    </w:p>
    <w:p>
      <w:pPr>
        <w:ind w:firstLine="602"/>
        <w:jc w:val="center"/>
        <w:rPr>
          <w:b/>
          <w:sz w:val="30"/>
          <w:szCs w:val="30"/>
        </w:rPr>
      </w:pPr>
      <w:r>
        <w:rPr>
          <w:rFonts w:hint="eastAsia"/>
          <w:b/>
          <w:sz w:val="30"/>
          <w:szCs w:val="30"/>
        </w:rPr>
        <w:t>（征求意见稿）</w:t>
      </w:r>
    </w:p>
    <w:p>
      <w:pPr>
        <w:ind w:firstLine="560"/>
      </w:pPr>
    </w:p>
    <w:p>
      <w:pPr>
        <w:ind w:firstLine="560"/>
      </w:pPr>
    </w:p>
    <w:p>
      <w:pPr>
        <w:ind w:firstLine="560"/>
      </w:pPr>
    </w:p>
    <w:p>
      <w:pPr>
        <w:ind w:firstLine="560"/>
      </w:pPr>
    </w:p>
    <w:p>
      <w:pPr>
        <w:ind w:firstLine="560"/>
      </w:pPr>
    </w:p>
    <w:p>
      <w:pPr>
        <w:ind w:firstLine="560"/>
      </w:pPr>
    </w:p>
    <w:p>
      <w:pPr>
        <w:ind w:firstLine="560"/>
      </w:pPr>
    </w:p>
    <w:p>
      <w:pPr>
        <w:ind w:firstLine="560"/>
      </w:pPr>
    </w:p>
    <w:p>
      <w:pPr>
        <w:ind w:firstLine="560"/>
      </w:pPr>
    </w:p>
    <w:p>
      <w:pPr>
        <w:ind w:firstLine="560"/>
      </w:pPr>
    </w:p>
    <w:p>
      <w:pPr>
        <w:ind w:firstLine="560"/>
      </w:pPr>
    </w:p>
    <w:p>
      <w:pPr>
        <w:ind w:firstLine="560"/>
      </w:pPr>
    </w:p>
    <w:p>
      <w:pPr>
        <w:ind w:firstLine="482" w:firstLineChars="150"/>
        <w:rPr>
          <w:rFonts w:eastAsia="黑体"/>
          <w:sz w:val="28"/>
          <w:szCs w:val="28"/>
        </w:rPr>
      </w:pPr>
      <w:r>
        <w:rPr>
          <w:b/>
          <w:bCs/>
          <w:sz w:val="32"/>
        </w:rPr>
        <w:t xml:space="preserve">  </w:t>
      </w:r>
      <w:r>
        <w:rPr>
          <w:rFonts w:eastAsia="黑体"/>
          <w:sz w:val="28"/>
          <w:szCs w:val="28"/>
        </w:rPr>
        <w:t>2019-</w:t>
      </w:r>
      <w:r>
        <w:rPr>
          <w:rFonts w:hint="eastAsia" w:eastAsia="黑体"/>
          <w:sz w:val="28"/>
          <w:szCs w:val="28"/>
        </w:rPr>
        <w:t>XX</w:t>
      </w:r>
      <w:r>
        <w:rPr>
          <w:rFonts w:eastAsia="黑体"/>
          <w:sz w:val="28"/>
          <w:szCs w:val="28"/>
        </w:rPr>
        <w:t>-</w:t>
      </w:r>
      <w:r>
        <w:rPr>
          <w:rFonts w:hint="eastAsia" w:eastAsia="黑体"/>
          <w:sz w:val="28"/>
          <w:szCs w:val="28"/>
        </w:rPr>
        <w:t>XX</w:t>
      </w:r>
      <w:r>
        <w:rPr>
          <w:rFonts w:eastAsia="黑体"/>
          <w:sz w:val="28"/>
          <w:szCs w:val="28"/>
        </w:rPr>
        <w:t xml:space="preserve">  发布                   2019-</w:t>
      </w:r>
      <w:r>
        <w:rPr>
          <w:rFonts w:hint="eastAsia" w:eastAsia="黑体"/>
          <w:sz w:val="28"/>
          <w:szCs w:val="28"/>
        </w:rPr>
        <w:t>XX</w:t>
      </w:r>
      <w:r>
        <w:rPr>
          <w:rFonts w:eastAsia="黑体"/>
          <w:sz w:val="28"/>
          <w:szCs w:val="28"/>
        </w:rPr>
        <w:t>-</w:t>
      </w:r>
      <w:r>
        <w:rPr>
          <w:rFonts w:hint="eastAsia" w:eastAsia="黑体"/>
          <w:sz w:val="28"/>
          <w:szCs w:val="28"/>
        </w:rPr>
        <w:t xml:space="preserve">XX  </w:t>
      </w:r>
      <w:r>
        <w:rPr>
          <w:rFonts w:eastAsia="黑体"/>
          <w:sz w:val="28"/>
          <w:szCs w:val="28"/>
        </w:rPr>
        <w:t>实施</w:t>
      </w:r>
    </w:p>
    <w:p>
      <w:pPr>
        <w:tabs>
          <w:tab w:val="left" w:pos="8235"/>
        </w:tabs>
        <w:ind w:firstLine="562"/>
        <w:rPr>
          <w:rFonts w:eastAsia="黑体"/>
          <w:b/>
          <w:sz w:val="28"/>
          <w:szCs w:val="28"/>
        </w:rPr>
      </w:pPr>
      <w:r>
        <w:rPr>
          <w:rFonts w:eastAsia="黑体"/>
          <w:b/>
          <w:sz w:val="28"/>
          <w:szCs w:val="28"/>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55880</wp:posOffset>
                </wp:positionV>
                <wp:extent cx="5600700" cy="26670"/>
                <wp:effectExtent l="9525" t="11430" r="9525" b="9525"/>
                <wp:wrapNone/>
                <wp:docPr id="5" name="直线 4"/>
                <wp:cNvGraphicFramePr/>
                <a:graphic xmlns:a="http://schemas.openxmlformats.org/drawingml/2006/main">
                  <a:graphicData uri="http://schemas.microsoft.com/office/word/2010/wordprocessingShape">
                    <wps:wsp>
                      <wps:cNvCnPr>
                        <a:cxnSpLocks noChangeShapeType="1"/>
                      </wps:cNvCnPr>
                      <wps:spPr bwMode="auto">
                        <a:xfrm>
                          <a:off x="0" y="0"/>
                          <a:ext cx="5600700" cy="26670"/>
                        </a:xfrm>
                        <a:prstGeom prst="line">
                          <a:avLst/>
                        </a:prstGeom>
                        <a:noFill/>
                        <a:ln w="9525">
                          <a:solidFill>
                            <a:srgbClr val="000000"/>
                          </a:solidFill>
                          <a:round/>
                        </a:ln>
                      </wps:spPr>
                      <wps:bodyPr/>
                    </wps:wsp>
                  </a:graphicData>
                </a:graphic>
              </wp:anchor>
            </w:drawing>
          </mc:Choice>
          <mc:Fallback>
            <w:pict>
              <v:line id="直线 4" o:spid="_x0000_s1026" o:spt="20" style="position:absolute;left:0pt;margin-left:0pt;margin-top:4.4pt;height:2.1pt;width:441pt;z-index:251664384;mso-width-relative:page;mso-height-relative:page;" filled="f" stroked="t" coordsize="21600,21600" o:gfxdata="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TSiq+0gAAAAUBAAAPAAAAAAAAAAEAIAAAACIAAABkcnMvZG93bnJldi54bWxQSwEC&#10;FAAUAAAACACHTuJAn8+AesEBAABXAwAADgAAAAAAAAABACAAAAAhAQAAZHJzL2Uyb0RvYy54bWxQ&#10;SwUGAAAAAAYABgBZAQAAVAUAAAAA&#10;">
                <v:fill on="f" focussize="0,0"/>
                <v:stroke color="#000000" joinstyle="round"/>
                <v:imagedata o:title=""/>
                <o:lock v:ext="edit" aspectratio="f"/>
              </v:line>
            </w:pict>
          </mc:Fallback>
        </mc:AlternateContent>
      </w:r>
      <w:r>
        <w:rPr>
          <w:rFonts w:eastAsia="黑体"/>
          <w:b/>
          <w:sz w:val="28"/>
          <w:szCs w:val="28"/>
        </w:rPr>
        <w:tab/>
      </w:r>
    </w:p>
    <w:p>
      <w:pPr>
        <w:ind w:firstLine="640"/>
        <w:jc w:val="center"/>
        <w:rPr>
          <w:rFonts w:eastAsia="黑体"/>
          <w:spacing w:val="20"/>
          <w:sz w:val="32"/>
          <w:szCs w:val="32"/>
        </w:rPr>
      </w:pPr>
      <w:r>
        <w:rPr>
          <w:rFonts w:eastAsia="黑体"/>
          <w:sz w:val="32"/>
          <w:szCs w:val="32"/>
        </w:rPr>
        <w:t>广东省住房和城乡建设厅</w:t>
      </w:r>
      <w:r>
        <w:rPr>
          <w:rFonts w:eastAsia="黑体"/>
          <w:spacing w:val="20"/>
          <w:sz w:val="28"/>
          <w:szCs w:val="28"/>
        </w:rPr>
        <w:t xml:space="preserve">  </w:t>
      </w:r>
      <w:r>
        <w:rPr>
          <w:rFonts w:eastAsia="黑体"/>
          <w:spacing w:val="20"/>
          <w:sz w:val="32"/>
          <w:szCs w:val="32"/>
        </w:rPr>
        <w:t>发布</w:t>
      </w:r>
    </w:p>
    <w:tbl>
      <w:tblPr>
        <w:tblStyle w:val="19"/>
        <w:tblpPr w:leftFromText="180" w:rightFromText="180" w:vertAnchor="text" w:horzAnchor="page" w:tblpX="8520" w:tblpY="460"/>
        <w:tblOverlap w:val="never"/>
        <w:tblW w:w="24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7" w:hRule="atLeast"/>
        </w:trPr>
        <w:tc>
          <w:tcPr>
            <w:tcW w:w="2420" w:type="dxa"/>
            <w:vAlign w:val="center"/>
          </w:tcPr>
          <w:p>
            <w:pPr>
              <w:jc w:val="center"/>
            </w:pPr>
            <w:r>
              <w:rPr>
                <w:rFonts w:hint="eastAsia"/>
              </w:rPr>
              <w:t>本标准不涉及专利</w:t>
            </w:r>
          </w:p>
        </w:tc>
      </w:tr>
    </w:tbl>
    <w:p>
      <w:pPr>
        <w:widowControl/>
        <w:jc w:val="left"/>
        <w:rPr>
          <w:rFonts w:ascii="黑体" w:eastAsia="黑体"/>
          <w:sz w:val="28"/>
          <w:szCs w:val="28"/>
          <w:lang w:val="zh-CN"/>
        </w:rPr>
        <w:sectPr>
          <w:footerReference r:id="rId3" w:type="default"/>
          <w:pgSz w:w="11906" w:h="16838"/>
          <w:pgMar w:top="1440" w:right="1800" w:bottom="1440" w:left="1800" w:header="851" w:footer="992" w:gutter="0"/>
          <w:pgNumType w:start="1"/>
          <w:cols w:space="425" w:num="1"/>
          <w:docGrid w:type="lines" w:linePitch="312" w:charSpace="0"/>
        </w:sectPr>
      </w:pPr>
    </w:p>
    <w:p>
      <w:pPr>
        <w:keepNext/>
        <w:keepLines/>
        <w:spacing w:before="200" w:after="200" w:line="480" w:lineRule="auto"/>
        <w:jc w:val="center"/>
        <w:outlineLvl w:val="0"/>
        <w:rPr>
          <w:b/>
          <w:bCs/>
          <w:kern w:val="44"/>
          <w:sz w:val="32"/>
          <w:szCs w:val="44"/>
        </w:rPr>
      </w:pPr>
      <w:bookmarkStart w:id="3" w:name="_Toc17811137"/>
      <w:bookmarkStart w:id="4" w:name="_Toc875788"/>
      <w:bookmarkStart w:id="5" w:name="_Toc526775401"/>
      <w:bookmarkStart w:id="6" w:name="_Toc535218431"/>
      <w:bookmarkStart w:id="7" w:name="_Toc526774320"/>
      <w:r>
        <w:rPr>
          <w:rFonts w:hint="eastAsia"/>
          <w:b/>
          <w:bCs/>
          <w:kern w:val="44"/>
          <w:sz w:val="32"/>
          <w:szCs w:val="44"/>
        </w:rPr>
        <w:t>前    言</w:t>
      </w:r>
      <w:bookmarkEnd w:id="3"/>
      <w:bookmarkEnd w:id="4"/>
      <w:bookmarkEnd w:id="5"/>
      <w:bookmarkEnd w:id="6"/>
      <w:bookmarkEnd w:id="7"/>
    </w:p>
    <w:p>
      <w:pPr>
        <w:spacing w:line="360" w:lineRule="auto"/>
        <w:ind w:firstLine="480" w:firstLineChars="200"/>
        <w:rPr>
          <w:sz w:val="24"/>
        </w:rPr>
      </w:pPr>
      <w:r>
        <w:rPr>
          <w:rFonts w:hint="eastAsia"/>
          <w:sz w:val="24"/>
        </w:rPr>
        <w:t>根据广东省住房和城乡建设厅关于发布</w:t>
      </w:r>
      <w:r>
        <w:rPr>
          <w:rFonts w:hint="eastAsia"/>
          <w:sz w:val="24"/>
          <w:szCs w:val="21"/>
        </w:rPr>
        <w:t>《2013年广东省工程建设标准制订和修订计划》的通知（粤建科函〔2013〕1029号）</w:t>
      </w:r>
      <w:r>
        <w:rPr>
          <w:sz w:val="24"/>
        </w:rPr>
        <w:t>的要求，标准</w:t>
      </w:r>
      <w:r>
        <w:rPr>
          <w:rFonts w:hint="eastAsia"/>
          <w:sz w:val="24"/>
        </w:rPr>
        <w:t>编制组经广泛调查研究，认真总结实践经验，参考国内外相关标准，并在广泛征求意见的基础上，制定本标准</w:t>
      </w:r>
      <w:r>
        <w:rPr>
          <w:sz w:val="24"/>
        </w:rPr>
        <w:t>。</w:t>
      </w:r>
    </w:p>
    <w:p>
      <w:pPr>
        <w:spacing w:line="360" w:lineRule="auto"/>
        <w:ind w:firstLine="480" w:firstLineChars="200"/>
        <w:rPr>
          <w:sz w:val="24"/>
        </w:rPr>
      </w:pPr>
      <w:r>
        <w:rPr>
          <w:rFonts w:hint="eastAsia"/>
          <w:sz w:val="24"/>
        </w:rPr>
        <w:t>本标准</w:t>
      </w:r>
      <w:r>
        <w:rPr>
          <w:sz w:val="24"/>
        </w:rPr>
        <w:t>主要技术内容</w:t>
      </w:r>
      <w:r>
        <w:rPr>
          <w:rFonts w:hint="eastAsia"/>
          <w:sz w:val="24"/>
        </w:rPr>
        <w:t>是</w:t>
      </w:r>
      <w:r>
        <w:rPr>
          <w:sz w:val="24"/>
        </w:rPr>
        <w:t>：</w:t>
      </w:r>
      <w:r>
        <w:rPr>
          <w:rFonts w:hint="eastAsia"/>
          <w:sz w:val="24"/>
        </w:rPr>
        <w:t>1、</w:t>
      </w:r>
      <w:r>
        <w:rPr>
          <w:sz w:val="24"/>
        </w:rPr>
        <w:t>总则</w:t>
      </w:r>
      <w:r>
        <w:rPr>
          <w:rFonts w:hint="eastAsia"/>
          <w:sz w:val="24"/>
        </w:rPr>
        <w:t>；2、术语</w:t>
      </w:r>
      <w:r>
        <w:rPr>
          <w:sz w:val="24"/>
        </w:rPr>
        <w:t>；</w:t>
      </w:r>
      <w:r>
        <w:rPr>
          <w:rFonts w:hint="eastAsia"/>
          <w:sz w:val="24"/>
        </w:rPr>
        <w:t>3、</w:t>
      </w:r>
      <w:r>
        <w:rPr>
          <w:sz w:val="24"/>
        </w:rPr>
        <w:t>基本规定；</w:t>
      </w:r>
      <w:r>
        <w:rPr>
          <w:rFonts w:hint="eastAsia"/>
          <w:sz w:val="24"/>
        </w:rPr>
        <w:t>4、室外环境检测</w:t>
      </w:r>
      <w:r>
        <w:rPr>
          <w:sz w:val="24"/>
        </w:rPr>
        <w:t>；</w:t>
      </w:r>
      <w:r>
        <w:rPr>
          <w:rFonts w:hint="eastAsia"/>
          <w:sz w:val="24"/>
        </w:rPr>
        <w:t>5、室内环境检测</w:t>
      </w:r>
      <w:r>
        <w:rPr>
          <w:sz w:val="24"/>
        </w:rPr>
        <w:t>；</w:t>
      </w:r>
      <w:r>
        <w:rPr>
          <w:rFonts w:hint="eastAsia"/>
          <w:sz w:val="24"/>
        </w:rPr>
        <w:t>6、围护结构性能检测</w:t>
      </w:r>
      <w:r>
        <w:rPr>
          <w:sz w:val="24"/>
        </w:rPr>
        <w:t>；</w:t>
      </w:r>
      <w:r>
        <w:rPr>
          <w:rFonts w:hint="eastAsia"/>
          <w:sz w:val="24"/>
        </w:rPr>
        <w:t>7、空调水系统性能检测；8、通风与空调风系统性能检测；9、给水排水系统</w:t>
      </w:r>
      <w:r>
        <w:rPr>
          <w:sz w:val="24"/>
        </w:rPr>
        <w:t>检测</w:t>
      </w:r>
      <w:r>
        <w:rPr>
          <w:rFonts w:hint="eastAsia"/>
          <w:sz w:val="24"/>
        </w:rPr>
        <w:t>；10、供配电系统检测</w:t>
      </w:r>
      <w:r>
        <w:rPr>
          <w:sz w:val="24"/>
        </w:rPr>
        <w:t>；</w:t>
      </w:r>
      <w:r>
        <w:rPr>
          <w:rFonts w:hint="eastAsia"/>
          <w:sz w:val="24"/>
        </w:rPr>
        <w:t>11、照明系统检测</w:t>
      </w:r>
      <w:r>
        <w:rPr>
          <w:sz w:val="24"/>
        </w:rPr>
        <w:t>；</w:t>
      </w:r>
      <w:r>
        <w:rPr>
          <w:rFonts w:hint="eastAsia"/>
          <w:sz w:val="24"/>
        </w:rPr>
        <w:t>12、监测与控制</w:t>
      </w:r>
      <w:r>
        <w:rPr>
          <w:sz w:val="24"/>
        </w:rPr>
        <w:t>系统性能检测</w:t>
      </w:r>
      <w:r>
        <w:rPr>
          <w:rFonts w:hint="eastAsia"/>
          <w:sz w:val="24"/>
        </w:rPr>
        <w:t>；13、太阳能系统检测；14、地源热泵系统检测。</w:t>
      </w:r>
    </w:p>
    <w:p>
      <w:pPr>
        <w:spacing w:line="360" w:lineRule="auto"/>
        <w:ind w:firstLine="480" w:firstLineChars="200"/>
        <w:rPr>
          <w:sz w:val="24"/>
        </w:rPr>
      </w:pPr>
      <w:r>
        <w:rPr>
          <w:rFonts w:hint="eastAsia"/>
          <w:sz w:val="24"/>
        </w:rPr>
        <w:t>本标准由广东省住房和城乡建设厅</w:t>
      </w:r>
      <w:r>
        <w:rPr>
          <w:sz w:val="24"/>
        </w:rPr>
        <w:t>负责管理，广东省建筑科学研究院集团股份有限公司负责具体技术内容的解释。</w:t>
      </w:r>
    </w:p>
    <w:p>
      <w:pPr>
        <w:spacing w:line="360" w:lineRule="auto"/>
        <w:ind w:firstLine="480" w:firstLineChars="200"/>
        <w:rPr>
          <w:sz w:val="24"/>
        </w:rPr>
      </w:pPr>
      <w:r>
        <w:rPr>
          <w:rFonts w:hint="eastAsia"/>
          <w:sz w:val="24"/>
        </w:rPr>
        <w:t>本标准</w:t>
      </w:r>
      <w:r>
        <w:rPr>
          <w:sz w:val="24"/>
        </w:rPr>
        <w:t>在实施中，请各单位主要总结经验，随时将有关意见和建议反馈给广东省建筑科学研究院集团股份有限公司（</w:t>
      </w:r>
      <w:r>
        <w:rPr>
          <w:rFonts w:hint="eastAsia"/>
          <w:sz w:val="24"/>
        </w:rPr>
        <w:t>广州市</w:t>
      </w:r>
      <w:r>
        <w:rPr>
          <w:sz w:val="24"/>
        </w:rPr>
        <w:t>先烈东路</w:t>
      </w:r>
      <w:r>
        <w:rPr>
          <w:rFonts w:hint="eastAsia"/>
          <w:sz w:val="24"/>
        </w:rPr>
        <w:t>121号</w:t>
      </w:r>
      <w:r>
        <w:rPr>
          <w:sz w:val="24"/>
        </w:rPr>
        <w:t>，邮政编码</w:t>
      </w:r>
      <w:r>
        <w:rPr>
          <w:rFonts w:hint="eastAsia"/>
          <w:sz w:val="24"/>
        </w:rPr>
        <w:t>510500</w:t>
      </w:r>
      <w:r>
        <w:rPr>
          <w:sz w:val="24"/>
        </w:rPr>
        <w:t>）</w:t>
      </w:r>
      <w:r>
        <w:rPr>
          <w:rFonts w:hint="eastAsia"/>
          <w:sz w:val="24"/>
        </w:rPr>
        <w:t>，</w:t>
      </w:r>
      <w:r>
        <w:rPr>
          <w:sz w:val="24"/>
        </w:rPr>
        <w:t>以供今后修订时参考。</w:t>
      </w:r>
    </w:p>
    <w:p>
      <w:pPr>
        <w:spacing w:line="360" w:lineRule="auto"/>
        <w:ind w:firstLine="482" w:firstLineChars="200"/>
        <w:rPr>
          <w:b/>
          <w:sz w:val="24"/>
        </w:rPr>
      </w:pPr>
      <w:r>
        <w:rPr>
          <w:rFonts w:hint="eastAsia"/>
          <w:b/>
          <w:sz w:val="24"/>
        </w:rPr>
        <w:t>本标准主编单位</w:t>
      </w:r>
      <w:r>
        <w:rPr>
          <w:b/>
          <w:sz w:val="24"/>
        </w:rPr>
        <w:t>：</w:t>
      </w:r>
      <w:r>
        <w:rPr>
          <w:sz w:val="24"/>
        </w:rPr>
        <w:t>广东省建筑科学研究院集团股份有限公司</w:t>
      </w:r>
    </w:p>
    <w:p>
      <w:pPr>
        <w:spacing w:line="360" w:lineRule="auto"/>
        <w:ind w:firstLine="482" w:firstLineChars="200"/>
        <w:rPr>
          <w:sz w:val="24"/>
        </w:rPr>
      </w:pPr>
      <w:r>
        <w:rPr>
          <w:rFonts w:hint="eastAsia"/>
          <w:b/>
          <w:sz w:val="24"/>
        </w:rPr>
        <w:t>本标准参编单位：</w:t>
      </w:r>
      <w:r>
        <w:rPr>
          <w:rFonts w:hint="eastAsia"/>
          <w:sz w:val="24"/>
        </w:rPr>
        <w:t>广东省建设工程质量安全检测总站有限公司</w:t>
      </w:r>
    </w:p>
    <w:p>
      <w:pPr>
        <w:spacing w:line="360" w:lineRule="auto"/>
        <w:ind w:firstLine="2400" w:firstLineChars="1000"/>
        <w:rPr>
          <w:sz w:val="24"/>
        </w:rPr>
      </w:pPr>
      <w:r>
        <w:rPr>
          <w:rFonts w:hint="eastAsia"/>
          <w:sz w:val="24"/>
        </w:rPr>
        <w:t>广州市建设工程质量监督站</w:t>
      </w:r>
    </w:p>
    <w:p>
      <w:pPr>
        <w:spacing w:line="360" w:lineRule="auto"/>
        <w:ind w:firstLine="2400" w:firstLineChars="1000"/>
        <w:rPr>
          <w:sz w:val="24"/>
        </w:rPr>
      </w:pPr>
      <w:r>
        <w:rPr>
          <w:rFonts w:hint="eastAsia"/>
          <w:sz w:val="24"/>
        </w:rPr>
        <w:t>珠海市金湾区建设工程质量监督检测站</w:t>
      </w:r>
    </w:p>
    <w:p>
      <w:pPr>
        <w:spacing w:line="360" w:lineRule="auto"/>
        <w:ind w:firstLine="2400" w:firstLineChars="1000"/>
        <w:rPr>
          <w:sz w:val="24"/>
        </w:rPr>
      </w:pPr>
      <w:r>
        <w:rPr>
          <w:rFonts w:hint="eastAsia"/>
          <w:sz w:val="24"/>
        </w:rPr>
        <w:t>广州市花都区建设工程质量监督检测室</w:t>
      </w:r>
    </w:p>
    <w:p>
      <w:pPr>
        <w:spacing w:line="360" w:lineRule="auto"/>
        <w:ind w:firstLine="2400" w:firstLineChars="1000"/>
        <w:rPr>
          <w:sz w:val="24"/>
        </w:rPr>
      </w:pPr>
      <w:r>
        <w:rPr>
          <w:rFonts w:hint="eastAsia"/>
          <w:sz w:val="24"/>
        </w:rPr>
        <w:t>华南理工大学</w:t>
      </w:r>
    </w:p>
    <w:p>
      <w:pPr>
        <w:spacing w:line="360" w:lineRule="auto"/>
        <w:ind w:firstLine="2400" w:firstLineChars="1000"/>
        <w:rPr>
          <w:sz w:val="24"/>
        </w:rPr>
      </w:pPr>
      <w:r>
        <w:rPr>
          <w:rFonts w:hint="eastAsia"/>
          <w:sz w:val="24"/>
        </w:rPr>
        <w:t>广东工程建设监理有限公司</w:t>
      </w:r>
    </w:p>
    <w:p>
      <w:pPr>
        <w:spacing w:line="360" w:lineRule="auto"/>
        <w:ind w:firstLine="2400" w:firstLineChars="1000"/>
        <w:rPr>
          <w:sz w:val="24"/>
        </w:rPr>
      </w:pPr>
      <w:r>
        <w:rPr>
          <w:rFonts w:hint="eastAsia"/>
          <w:sz w:val="24"/>
        </w:rPr>
        <w:t>广州市建筑节能与墙材革新管理办公室</w:t>
      </w:r>
    </w:p>
    <w:p>
      <w:pPr>
        <w:spacing w:line="360" w:lineRule="auto"/>
        <w:ind w:firstLine="2400" w:firstLineChars="1000"/>
        <w:rPr>
          <w:sz w:val="24"/>
        </w:rPr>
      </w:pPr>
      <w:r>
        <w:rPr>
          <w:rFonts w:hint="eastAsia"/>
          <w:sz w:val="24"/>
        </w:rPr>
        <w:t>广州大学</w:t>
      </w:r>
    </w:p>
    <w:p>
      <w:pPr>
        <w:spacing w:line="360" w:lineRule="auto"/>
        <w:ind w:firstLine="2400" w:firstLineChars="1000"/>
        <w:rPr>
          <w:sz w:val="24"/>
        </w:rPr>
      </w:pPr>
      <w:r>
        <w:rPr>
          <w:rFonts w:hint="eastAsia"/>
          <w:sz w:val="24"/>
        </w:rPr>
        <w:t>广东建科节能环保科技有限公司</w:t>
      </w:r>
    </w:p>
    <w:p>
      <w:pPr>
        <w:ind w:firstLine="482" w:firstLineChars="200"/>
        <w:jc w:val="left"/>
        <w:rPr>
          <w:b/>
          <w:sz w:val="24"/>
        </w:rPr>
      </w:pPr>
      <w:r>
        <w:rPr>
          <w:rFonts w:hint="eastAsia"/>
          <w:b/>
          <w:sz w:val="24"/>
        </w:rPr>
        <w:t>本标准主要起草人员：</w:t>
      </w:r>
      <w:r>
        <w:rPr>
          <w:rFonts w:hint="eastAsia"/>
          <w:sz w:val="24"/>
        </w:rPr>
        <w:t>杨仕超</w:t>
      </w:r>
    </w:p>
    <w:p>
      <w:pPr>
        <w:ind w:firstLine="482" w:firstLineChars="200"/>
        <w:jc w:val="left"/>
        <w:rPr>
          <w:b/>
          <w:sz w:val="24"/>
        </w:rPr>
      </w:pPr>
    </w:p>
    <w:p>
      <w:pPr>
        <w:ind w:firstLine="482" w:firstLineChars="200"/>
        <w:jc w:val="left"/>
        <w:rPr>
          <w:b/>
          <w:sz w:val="24"/>
        </w:rPr>
      </w:pPr>
    </w:p>
    <w:p>
      <w:pPr>
        <w:ind w:firstLine="482" w:firstLineChars="200"/>
        <w:jc w:val="left"/>
        <w:rPr>
          <w:b/>
          <w:sz w:val="24"/>
        </w:rPr>
        <w:sectPr>
          <w:footerReference r:id="rId4" w:type="default"/>
          <w:pgSz w:w="11906" w:h="16838"/>
          <w:pgMar w:top="1440" w:right="1800" w:bottom="1440" w:left="1800" w:header="851" w:footer="992" w:gutter="0"/>
          <w:pgNumType w:start="1"/>
          <w:cols w:space="425" w:num="1"/>
          <w:docGrid w:type="lines" w:linePitch="312" w:charSpace="0"/>
        </w:sectPr>
      </w:pPr>
      <w:r>
        <w:rPr>
          <w:rFonts w:hint="eastAsia"/>
          <w:b/>
          <w:sz w:val="24"/>
        </w:rPr>
        <w:t>本标准主要审查人员：</w:t>
      </w:r>
    </w:p>
    <w:p>
      <w:pPr>
        <w:jc w:val="center"/>
        <w:rPr>
          <w:b/>
          <w:sz w:val="40"/>
          <w:szCs w:val="30"/>
        </w:rPr>
      </w:pPr>
      <w:r>
        <w:rPr>
          <w:rFonts w:hint="eastAsia"/>
          <w:b/>
          <w:sz w:val="40"/>
          <w:szCs w:val="30"/>
        </w:rPr>
        <w:t>目  次</w:t>
      </w:r>
    </w:p>
    <w:p>
      <w:pPr>
        <w:ind w:firstLine="422" w:firstLineChars="200"/>
        <w:rPr>
          <w:b/>
          <w:bCs/>
          <w:lang w:val="zh-CN"/>
        </w:rPr>
      </w:pPr>
      <w:r>
        <w:rPr>
          <w:rFonts w:hint="eastAsia"/>
          <w:b/>
          <w:bCs/>
          <w:lang w:val="zh-CN"/>
        </w:rPr>
        <w:tab/>
      </w:r>
    </w:p>
    <w:sdt>
      <w:sdtPr>
        <w:rPr>
          <w:lang w:val="zh-CN"/>
        </w:rPr>
        <w:id w:val="911820426"/>
        <w:docPartObj>
          <w:docPartGallery w:val="Table of Contents"/>
          <w:docPartUnique/>
        </w:docPartObj>
      </w:sdtPr>
      <w:sdtEndPr>
        <w:rPr>
          <w:b/>
          <w:bCs/>
          <w:lang w:val="zh-CN"/>
        </w:rPr>
      </w:sdtEndPr>
      <w:sdtContent>
        <w:p>
          <w:pPr>
            <w:pStyle w:val="12"/>
            <w:tabs>
              <w:tab w:val="right" w:leader="dot" w:pos="8296"/>
            </w:tabs>
            <w:rPr>
              <w:rFonts w:asciiTheme="minorHAnsi" w:hAnsiTheme="minorHAnsi" w:eastAsiaTheme="minorEastAsia" w:cstheme="minorBidi"/>
              <w:szCs w:val="22"/>
            </w:rPr>
          </w:pPr>
          <w:r>
            <w:fldChar w:fldCharType="begin"/>
          </w:r>
          <w:r>
            <w:instrText xml:space="preserve"> TOC \o "1-3" \h \z \u </w:instrText>
          </w:r>
          <w:r>
            <w:fldChar w:fldCharType="separate"/>
          </w:r>
          <w:r>
            <w:fldChar w:fldCharType="begin"/>
          </w:r>
          <w:r>
            <w:instrText xml:space="preserve"> HYPERLINK \l "_Toc17811138" </w:instrText>
          </w:r>
          <w:r>
            <w:fldChar w:fldCharType="separate"/>
          </w:r>
          <w:r>
            <w:rPr>
              <w:rStyle w:val="18"/>
            </w:rPr>
            <w:t xml:space="preserve">1  </w:t>
          </w:r>
          <w:r>
            <w:rPr>
              <w:rStyle w:val="18"/>
              <w:rFonts w:hint="eastAsia"/>
            </w:rPr>
            <w:t>总则</w:t>
          </w:r>
          <w:r>
            <w:tab/>
          </w:r>
          <w:r>
            <w:fldChar w:fldCharType="begin"/>
          </w:r>
          <w:r>
            <w:instrText xml:space="preserve"> PAGEREF _Toc17811138 \h </w:instrText>
          </w:r>
          <w:r>
            <w:fldChar w:fldCharType="separate"/>
          </w:r>
          <w:r>
            <w:t>1</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"_Toc17811139" </w:instrText>
          </w:r>
          <w:r>
            <w:fldChar w:fldCharType="separate"/>
          </w:r>
          <w:r>
            <w:rPr>
              <w:rStyle w:val="18"/>
            </w:rPr>
            <w:t xml:space="preserve">2  </w:t>
          </w:r>
          <w:r>
            <w:rPr>
              <w:rStyle w:val="18"/>
              <w:rFonts w:hint="eastAsia"/>
            </w:rPr>
            <w:t>术语</w:t>
          </w:r>
          <w:r>
            <w:tab/>
          </w:r>
          <w:r>
            <w:fldChar w:fldCharType="begin"/>
          </w:r>
          <w:r>
            <w:instrText xml:space="preserve"> PAGEREF _Toc17811139 \h </w:instrText>
          </w:r>
          <w:r>
            <w:fldChar w:fldCharType="separate"/>
          </w:r>
          <w:r>
            <w:t>2</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"_Toc17811140" </w:instrText>
          </w:r>
          <w:r>
            <w:fldChar w:fldCharType="separate"/>
          </w:r>
          <w:r>
            <w:rPr>
              <w:rStyle w:val="18"/>
            </w:rPr>
            <w:t xml:space="preserve">3  </w:t>
          </w:r>
          <w:r>
            <w:rPr>
              <w:rStyle w:val="18"/>
              <w:rFonts w:hint="eastAsia"/>
            </w:rPr>
            <w:t>基本规定</w:t>
          </w:r>
          <w:r>
            <w:tab/>
          </w:r>
          <w:r>
            <w:fldChar w:fldCharType="begin"/>
          </w:r>
          <w:r>
            <w:instrText xml:space="preserve"> PAGEREF _Toc17811140 \h </w:instrText>
          </w:r>
          <w:r>
            <w:fldChar w:fldCharType="separate"/>
          </w:r>
          <w:r>
            <w:t>3</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"_Toc17811141" </w:instrText>
          </w:r>
          <w:r>
            <w:fldChar w:fldCharType="separate"/>
          </w:r>
          <w:r>
            <w:rPr>
              <w:rStyle w:val="18"/>
            </w:rPr>
            <w:t xml:space="preserve">4 </w:t>
          </w:r>
          <w:r>
            <w:rPr>
              <w:rStyle w:val="18"/>
              <w:rFonts w:hint="eastAsia"/>
            </w:rPr>
            <w:t>室外环境检测</w:t>
          </w:r>
          <w:r>
            <w:tab/>
          </w:r>
          <w:r>
            <w:fldChar w:fldCharType="begin"/>
          </w:r>
          <w:r>
            <w:instrText xml:space="preserve"> PAGEREF _Toc17811141 \h </w:instrText>
          </w:r>
          <w:r>
            <w:fldChar w:fldCharType="separate"/>
          </w:r>
          <w:r>
            <w:t>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"_Toc17811142" </w:instrText>
          </w:r>
          <w:r>
            <w:fldChar w:fldCharType="separate"/>
          </w:r>
          <w:r>
            <w:rPr>
              <w:rStyle w:val="18"/>
              <w:lang w:val="zh-CN"/>
            </w:rPr>
            <w:t xml:space="preserve">4.1  </w:t>
          </w:r>
          <w:r>
            <w:rPr>
              <w:rStyle w:val="18"/>
              <w:rFonts w:hint="eastAsia"/>
              <w:lang w:val="zh-CN"/>
            </w:rPr>
            <w:t>一般规定</w:t>
          </w:r>
          <w:r>
            <w:tab/>
          </w:r>
          <w:r>
            <w:fldChar w:fldCharType="begin"/>
          </w:r>
          <w:r>
            <w:instrText xml:space="preserve"> PAGEREF _Toc17811142 \h </w:instrText>
          </w:r>
          <w:r>
            <w:fldChar w:fldCharType="separate"/>
          </w:r>
          <w:r>
            <w:t>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"_Toc17811143" </w:instrText>
          </w:r>
          <w:r>
            <w:fldChar w:fldCharType="separate"/>
          </w:r>
          <w:r>
            <w:rPr>
              <w:rStyle w:val="18"/>
              <w:lang w:val="zh-CN"/>
            </w:rPr>
            <w:t xml:space="preserve">4.2  </w:t>
          </w:r>
          <w:r>
            <w:rPr>
              <w:rStyle w:val="18"/>
              <w:rFonts w:hint="eastAsia"/>
              <w:lang w:val="zh-CN"/>
            </w:rPr>
            <w:t>场地土壤氡浓度检测</w:t>
          </w:r>
          <w:r>
            <w:tab/>
          </w:r>
          <w:r>
            <w:fldChar w:fldCharType="begin"/>
          </w:r>
          <w:r>
            <w:instrText xml:space="preserve"> PAGEREF _Toc17811143 \h </w:instrText>
          </w:r>
          <w:r>
            <w:fldChar w:fldCharType="separate"/>
          </w:r>
          <w:r>
            <w:t>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"_Toc17811144" </w:instrText>
          </w:r>
          <w:r>
            <w:fldChar w:fldCharType="separate"/>
          </w:r>
          <w:r>
            <w:rPr>
              <w:rStyle w:val="18"/>
              <w:lang w:val="zh-CN"/>
            </w:rPr>
            <w:t xml:space="preserve">4.3  </w:t>
          </w:r>
          <w:r>
            <w:rPr>
              <w:rStyle w:val="18"/>
              <w:rFonts w:hint="eastAsia"/>
              <w:lang w:val="zh-CN"/>
            </w:rPr>
            <w:t>场地电磁辐射检测</w:t>
          </w:r>
          <w:r>
            <w:tab/>
          </w:r>
          <w:r>
            <w:fldChar w:fldCharType="begin"/>
          </w:r>
          <w:r>
            <w:instrText xml:space="preserve"> PAGEREF _Toc17811144 \h </w:instrText>
          </w:r>
          <w:r>
            <w:fldChar w:fldCharType="separate"/>
          </w:r>
          <w:r>
            <w:t>5</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"_Toc17811145" </w:instrText>
          </w:r>
          <w:r>
            <w:fldChar w:fldCharType="separate"/>
          </w:r>
          <w:r>
            <w:rPr>
              <w:rStyle w:val="18"/>
              <w:lang w:val="zh-CN"/>
            </w:rPr>
            <w:t xml:space="preserve">4.4  </w:t>
          </w:r>
          <w:r>
            <w:rPr>
              <w:rStyle w:val="18"/>
              <w:rFonts w:hint="eastAsia"/>
              <w:lang w:val="zh-CN"/>
            </w:rPr>
            <w:t>场地环境噪声检测</w:t>
          </w:r>
          <w:r>
            <w:tab/>
          </w:r>
          <w:r>
            <w:fldChar w:fldCharType="begin"/>
          </w:r>
          <w:r>
            <w:instrText xml:space="preserve"> PAGEREF _Toc17811145 \h </w:instrText>
          </w:r>
          <w:r>
            <w:fldChar w:fldCharType="separate"/>
          </w:r>
          <w:r>
            <w:t>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"_Toc17811146" </w:instrText>
          </w:r>
          <w:r>
            <w:fldChar w:fldCharType="separate"/>
          </w:r>
          <w:r>
            <w:rPr>
              <w:rStyle w:val="18"/>
              <w:lang w:val="zh-CN"/>
            </w:rPr>
            <w:t xml:space="preserve">4.5  </w:t>
          </w:r>
          <w:r>
            <w:rPr>
              <w:rStyle w:val="18"/>
              <w:rFonts w:hint="eastAsia"/>
              <w:lang w:val="zh-CN"/>
            </w:rPr>
            <w:t>人行及非机动车道路照明检测</w:t>
          </w:r>
          <w:r>
            <w:tab/>
          </w:r>
          <w:r>
            <w:fldChar w:fldCharType="begin"/>
          </w:r>
          <w:r>
            <w:instrText xml:space="preserve"> PAGEREF _Toc17811146 \h </w:instrText>
          </w:r>
          <w:r>
            <w:fldChar w:fldCharType="separate"/>
          </w:r>
          <w:r>
            <w:t>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"_Toc17811147" </w:instrText>
          </w:r>
          <w:r>
            <w:fldChar w:fldCharType="separate"/>
          </w:r>
          <w:r>
            <w:rPr>
              <w:rStyle w:val="18"/>
              <w:lang w:val="zh-CN"/>
            </w:rPr>
            <w:t xml:space="preserve">4.6  </w:t>
          </w:r>
          <w:r>
            <w:rPr>
              <w:rStyle w:val="18"/>
              <w:rFonts w:hint="eastAsia"/>
              <w:lang w:val="zh-CN"/>
            </w:rPr>
            <w:t>室外照明光污染检测</w:t>
          </w:r>
          <w:r>
            <w:tab/>
          </w:r>
          <w:r>
            <w:fldChar w:fldCharType="begin"/>
          </w:r>
          <w:r>
            <w:instrText xml:space="preserve"> PAGEREF _Toc17811147 \h </w:instrText>
          </w:r>
          <w:r>
            <w:fldChar w:fldCharType="separate"/>
          </w:r>
          <w:r>
            <w:t>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"_Toc17811148" </w:instrText>
          </w:r>
          <w:r>
            <w:fldChar w:fldCharType="separate"/>
          </w:r>
          <w:r>
            <w:rPr>
              <w:rStyle w:val="18"/>
              <w:lang w:val="zh-CN"/>
            </w:rPr>
            <w:t xml:space="preserve">4.7  </w:t>
          </w:r>
          <w:r>
            <w:rPr>
              <w:rStyle w:val="18"/>
              <w:rFonts w:hint="eastAsia"/>
              <w:lang w:val="zh-CN"/>
            </w:rPr>
            <w:t>建筑外立面玻璃幕墙可见光反射比检测</w:t>
          </w:r>
          <w:r>
            <w:tab/>
          </w:r>
          <w:r>
            <w:fldChar w:fldCharType="begin"/>
          </w:r>
          <w:r>
            <w:instrText xml:space="preserve"> PAGEREF _Toc17811148 \h </w:instrText>
          </w:r>
          <w:r>
            <w:fldChar w:fldCharType="separate"/>
          </w:r>
          <w:r>
            <w:t>8</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"_Toc17811149" </w:instrText>
          </w:r>
          <w:r>
            <w:fldChar w:fldCharType="separate"/>
          </w:r>
          <w:r>
            <w:rPr>
              <w:rStyle w:val="18"/>
            </w:rPr>
            <w:t xml:space="preserve">4.8  </w:t>
          </w:r>
          <w:r>
            <w:rPr>
              <w:rStyle w:val="18"/>
              <w:rFonts w:hint="eastAsia"/>
              <w:lang w:val="zh-CN"/>
            </w:rPr>
            <w:t>地面材料防滑性能检测</w:t>
          </w:r>
          <w:r>
            <w:tab/>
          </w:r>
          <w:r>
            <w:fldChar w:fldCharType="begin"/>
          </w:r>
          <w:r>
            <w:instrText xml:space="preserve"> PAGEREF _Toc17811149 \h </w:instrText>
          </w:r>
          <w:r>
            <w:fldChar w:fldCharType="separate"/>
          </w:r>
          <w:r>
            <w:t>8</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"_Toc17811150" </w:instrText>
          </w:r>
          <w:r>
            <w:fldChar w:fldCharType="separate"/>
          </w:r>
          <w:r>
            <w:rPr>
              <w:rStyle w:val="18"/>
            </w:rPr>
            <w:t xml:space="preserve">4.9  </w:t>
          </w:r>
          <w:r>
            <w:rPr>
              <w:rStyle w:val="18"/>
              <w:rFonts w:hint="eastAsia"/>
              <w:lang w:val="zh-CN"/>
            </w:rPr>
            <w:t>透水铺装构造检验</w:t>
          </w:r>
          <w:r>
            <w:tab/>
          </w:r>
          <w:r>
            <w:fldChar w:fldCharType="begin"/>
          </w:r>
          <w:r>
            <w:instrText xml:space="preserve"> PAGEREF _Toc17811150 \h </w:instrText>
          </w:r>
          <w:r>
            <w:fldChar w:fldCharType="separate"/>
          </w:r>
          <w:r>
            <w:t>10</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"_Toc17811151" </w:instrText>
          </w:r>
          <w:r>
            <w:fldChar w:fldCharType="separate"/>
          </w:r>
          <w:r>
            <w:rPr>
              <w:rStyle w:val="18"/>
            </w:rPr>
            <w:t xml:space="preserve">5  </w:t>
          </w:r>
          <w:r>
            <w:rPr>
              <w:rStyle w:val="18"/>
              <w:rFonts w:hint="eastAsia"/>
            </w:rPr>
            <w:t>室内环境检测</w:t>
          </w:r>
          <w:r>
            <w:tab/>
          </w:r>
          <w:r>
            <w:fldChar w:fldCharType="begin"/>
          </w:r>
          <w:r>
            <w:instrText xml:space="preserve"> PAGEREF _Toc17811151 \h </w:instrText>
          </w:r>
          <w:r>
            <w:fldChar w:fldCharType="separate"/>
          </w:r>
          <w:r>
            <w:t>12</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"_Toc17811152" </w:instrText>
          </w:r>
          <w:r>
            <w:fldChar w:fldCharType="separate"/>
          </w:r>
          <w:r>
            <w:rPr>
              <w:rStyle w:val="18"/>
              <w:lang w:val="zh-CN"/>
            </w:rPr>
            <w:t xml:space="preserve">5.1  </w:t>
          </w:r>
          <w:r>
            <w:rPr>
              <w:rStyle w:val="18"/>
              <w:rFonts w:hint="eastAsia"/>
              <w:lang w:val="zh-CN"/>
            </w:rPr>
            <w:t>一般规定</w:t>
          </w:r>
          <w:r>
            <w:tab/>
          </w:r>
          <w:r>
            <w:fldChar w:fldCharType="begin"/>
          </w:r>
          <w:r>
            <w:instrText xml:space="preserve"> PAGEREF _Toc17811152 \h </w:instrText>
          </w:r>
          <w:r>
            <w:fldChar w:fldCharType="separate"/>
          </w:r>
          <w:r>
            <w:t>12</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"_Toc17811153" </w:instrText>
          </w:r>
          <w:r>
            <w:fldChar w:fldCharType="separate"/>
          </w:r>
          <w:r>
            <w:rPr>
              <w:rStyle w:val="18"/>
              <w:lang w:val="zh-CN"/>
            </w:rPr>
            <w:t xml:space="preserve">5.2  </w:t>
          </w:r>
          <w:r>
            <w:rPr>
              <w:rStyle w:val="18"/>
              <w:rFonts w:hint="eastAsia"/>
              <w:lang w:val="zh-CN"/>
            </w:rPr>
            <w:t>室内噪声检测</w:t>
          </w:r>
          <w:r>
            <w:tab/>
          </w:r>
          <w:r>
            <w:fldChar w:fldCharType="begin"/>
          </w:r>
          <w:r>
            <w:instrText xml:space="preserve"> PAGEREF _Toc17811153 \h </w:instrText>
          </w:r>
          <w:r>
            <w:fldChar w:fldCharType="separate"/>
          </w:r>
          <w:r>
            <w:t>12</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"_Toc17811154" </w:instrText>
          </w:r>
          <w:r>
            <w:fldChar w:fldCharType="separate"/>
          </w:r>
          <w:r>
            <w:rPr>
              <w:rStyle w:val="18"/>
              <w:lang w:val="zh-CN"/>
            </w:rPr>
            <w:t xml:space="preserve">5.3  </w:t>
          </w:r>
          <w:r>
            <w:rPr>
              <w:rStyle w:val="18"/>
              <w:rFonts w:hint="eastAsia"/>
              <w:lang w:val="zh-CN"/>
            </w:rPr>
            <w:t>楼板和隔墙空气声隔</w:t>
          </w:r>
          <w:r>
            <w:rPr>
              <w:rStyle w:val="18"/>
              <w:rFonts w:hint="eastAsia"/>
            </w:rPr>
            <w:t>声</w:t>
          </w:r>
          <w:r>
            <w:rPr>
              <w:rStyle w:val="18"/>
              <w:rFonts w:hint="eastAsia"/>
              <w:lang w:val="zh-CN"/>
            </w:rPr>
            <w:t>性能检测</w:t>
          </w:r>
          <w:r>
            <w:tab/>
          </w:r>
          <w:r>
            <w:fldChar w:fldCharType="begin"/>
          </w:r>
          <w:r>
            <w:instrText xml:space="preserve"> PAGEREF _Toc17811154 \h </w:instrText>
          </w:r>
          <w:r>
            <w:fldChar w:fldCharType="separate"/>
          </w:r>
          <w:r>
            <w:t>13</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"_Toc17811155" </w:instrText>
          </w:r>
          <w:r>
            <w:fldChar w:fldCharType="separate"/>
          </w:r>
          <w:r>
            <w:rPr>
              <w:rStyle w:val="18"/>
              <w:lang w:val="zh-CN"/>
            </w:rPr>
            <w:t xml:space="preserve">5.4  </w:t>
          </w:r>
          <w:r>
            <w:rPr>
              <w:rStyle w:val="18"/>
              <w:rFonts w:hint="eastAsia"/>
              <w:lang w:val="zh-CN"/>
            </w:rPr>
            <w:t>外窗和门空气声隔声性能检测</w:t>
          </w:r>
          <w:r>
            <w:tab/>
          </w:r>
          <w:r>
            <w:fldChar w:fldCharType="begin"/>
          </w:r>
          <w:r>
            <w:instrText xml:space="preserve"> PAGEREF _Toc17811155 \h </w:instrText>
          </w:r>
          <w:r>
            <w:fldChar w:fldCharType="separate"/>
          </w:r>
          <w:r>
            <w:t>13</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"_Toc17811156" </w:instrText>
          </w:r>
          <w:r>
            <w:fldChar w:fldCharType="separate"/>
          </w:r>
          <w:r>
            <w:rPr>
              <w:rStyle w:val="18"/>
              <w:lang w:val="zh-CN"/>
            </w:rPr>
            <w:t xml:space="preserve">5.5  </w:t>
          </w:r>
          <w:r>
            <w:rPr>
              <w:rStyle w:val="18"/>
              <w:rFonts w:hint="eastAsia"/>
              <w:lang w:val="zh-CN"/>
            </w:rPr>
            <w:t>楼板撞击声隔声性能检测</w:t>
          </w:r>
          <w:r>
            <w:tab/>
          </w:r>
          <w:r>
            <w:fldChar w:fldCharType="begin"/>
          </w:r>
          <w:r>
            <w:instrText xml:space="preserve"> PAGEREF _Toc17811156 \h </w:instrText>
          </w:r>
          <w:r>
            <w:fldChar w:fldCharType="separate"/>
          </w:r>
          <w:r>
            <w:t>14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"_Toc17811157" </w:instrText>
          </w:r>
          <w:r>
            <w:fldChar w:fldCharType="separate"/>
          </w:r>
          <w:r>
            <w:rPr>
              <w:rStyle w:val="18"/>
              <w:lang w:val="zh-CN"/>
            </w:rPr>
            <w:t xml:space="preserve">5.6  </w:t>
          </w:r>
          <w:r>
            <w:rPr>
              <w:rStyle w:val="18"/>
              <w:rFonts w:hint="eastAsia"/>
              <w:lang w:val="zh-CN"/>
            </w:rPr>
            <w:t>室内声学特性检测</w:t>
          </w:r>
          <w:r>
            <w:tab/>
          </w:r>
          <w:r>
            <w:fldChar w:fldCharType="begin"/>
          </w:r>
          <w:r>
            <w:instrText xml:space="preserve"> PAGEREF _Toc17811157 \h </w:instrText>
          </w:r>
          <w:r>
            <w:fldChar w:fldCharType="separate"/>
          </w:r>
          <w:r>
            <w:t>14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"_Toc17811158" </w:instrText>
          </w:r>
          <w:r>
            <w:fldChar w:fldCharType="separate"/>
          </w:r>
          <w:r>
            <w:rPr>
              <w:rStyle w:val="18"/>
              <w:lang w:val="zh-CN"/>
            </w:rPr>
            <w:t xml:space="preserve">5.7  </w:t>
          </w:r>
          <w:r>
            <w:rPr>
              <w:rStyle w:val="18"/>
              <w:rFonts w:hint="eastAsia"/>
              <w:lang w:val="zh-CN"/>
            </w:rPr>
            <w:t>室内电梯噪声检测</w:t>
          </w:r>
          <w:r>
            <w:tab/>
          </w:r>
          <w:r>
            <w:fldChar w:fldCharType="begin"/>
          </w:r>
          <w:r>
            <w:instrText xml:space="preserve"> PAGEREF _Toc17811158 \h </w:instrText>
          </w:r>
          <w:r>
            <w:fldChar w:fldCharType="separate"/>
          </w:r>
          <w:r>
            <w:t>15</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"_Toc17811159" </w:instrText>
          </w:r>
          <w:r>
            <w:fldChar w:fldCharType="separate"/>
          </w:r>
          <w:r>
            <w:rPr>
              <w:rStyle w:val="18"/>
              <w:lang w:val="zh-CN"/>
            </w:rPr>
            <w:t xml:space="preserve">5.8  </w:t>
          </w:r>
          <w:r>
            <w:rPr>
              <w:rStyle w:val="18"/>
              <w:rFonts w:hint="eastAsia"/>
              <w:lang w:val="zh-CN"/>
            </w:rPr>
            <w:t>室内采光系数和天然光照度检测</w:t>
          </w:r>
          <w:r>
            <w:tab/>
          </w:r>
          <w:r>
            <w:fldChar w:fldCharType="begin"/>
          </w:r>
          <w:r>
            <w:instrText xml:space="preserve"> PAGEREF _Toc17811159 \h </w:instrText>
          </w:r>
          <w:r>
            <w:fldChar w:fldCharType="separate"/>
          </w:r>
          <w:r>
            <w:t>16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"_Toc17811160" </w:instrText>
          </w:r>
          <w:r>
            <w:fldChar w:fldCharType="separate"/>
          </w:r>
          <w:r>
            <w:rPr>
              <w:rStyle w:val="18"/>
              <w:lang w:val="zh-CN"/>
            </w:rPr>
            <w:t xml:space="preserve">5.9  </w:t>
          </w:r>
          <w:r>
            <w:rPr>
              <w:rStyle w:val="18"/>
              <w:rFonts w:hint="eastAsia"/>
              <w:lang w:val="zh-CN"/>
            </w:rPr>
            <w:t>室内新风量检测</w:t>
          </w:r>
          <w:r>
            <w:tab/>
          </w:r>
          <w:r>
            <w:fldChar w:fldCharType="begin"/>
          </w:r>
          <w:r>
            <w:instrText xml:space="preserve"> PAGEREF _Toc17811160 \h </w:instrText>
          </w:r>
          <w:r>
            <w:fldChar w:fldCharType="separate"/>
          </w:r>
          <w:r>
            <w:t>16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"_Toc17811161" </w:instrText>
          </w:r>
          <w:r>
            <w:fldChar w:fldCharType="separate"/>
          </w:r>
          <w:r>
            <w:rPr>
              <w:rStyle w:val="18"/>
              <w:lang w:val="zh-CN"/>
            </w:rPr>
            <w:t xml:space="preserve">5.10 </w:t>
          </w:r>
          <w:r>
            <w:rPr>
              <w:rStyle w:val="18"/>
              <w:rFonts w:hint="eastAsia"/>
              <w:lang w:val="zh-CN"/>
            </w:rPr>
            <w:t>室内空气流速</w:t>
          </w:r>
          <w:r>
            <w:rPr>
              <w:rStyle w:val="18"/>
              <w:rFonts w:hint="eastAsia"/>
            </w:rPr>
            <w:t>检测</w:t>
          </w:r>
          <w:r>
            <w:tab/>
          </w:r>
          <w:r>
            <w:fldChar w:fldCharType="begin"/>
          </w:r>
          <w:r>
            <w:instrText xml:space="preserve"> PAGEREF _Toc17811161 \h </w:instrText>
          </w:r>
          <w:r>
            <w:fldChar w:fldCharType="separate"/>
          </w:r>
          <w:r>
            <w:t>17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"_Toc17811162" </w:instrText>
          </w:r>
          <w:r>
            <w:fldChar w:fldCharType="separate"/>
          </w:r>
          <w:r>
            <w:rPr>
              <w:rStyle w:val="18"/>
              <w:bCs/>
              <w:lang w:val="zh-CN"/>
            </w:rPr>
            <w:t xml:space="preserve">5.11 </w:t>
          </w:r>
          <w:r>
            <w:rPr>
              <w:rStyle w:val="18"/>
              <w:rFonts w:hint="eastAsia"/>
              <w:bCs/>
              <w:lang w:val="zh-CN"/>
            </w:rPr>
            <w:t>室内平均温度、湿度检测</w:t>
          </w:r>
          <w:r>
            <w:tab/>
          </w:r>
          <w:r>
            <w:fldChar w:fldCharType="begin"/>
          </w:r>
          <w:r>
            <w:instrText xml:space="preserve"> PAGEREF _Toc17811162 \h </w:instrText>
          </w:r>
          <w:r>
            <w:fldChar w:fldCharType="separate"/>
          </w:r>
          <w:r>
            <w:t>17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"_Toc17811163" </w:instrText>
          </w:r>
          <w:r>
            <w:fldChar w:fldCharType="separate"/>
          </w:r>
          <w:r>
            <w:rPr>
              <w:rStyle w:val="18"/>
              <w:bCs/>
              <w:lang w:val="zh-CN"/>
            </w:rPr>
            <w:t xml:space="preserve">5.12 </w:t>
          </w:r>
          <w:r>
            <w:rPr>
              <w:rStyle w:val="18"/>
              <w:rFonts w:hint="eastAsia"/>
              <w:bCs/>
              <w:lang w:val="zh-CN"/>
            </w:rPr>
            <w:t>室内空气污染物浓度检测</w:t>
          </w:r>
          <w:r>
            <w:tab/>
          </w:r>
          <w:r>
            <w:fldChar w:fldCharType="begin"/>
          </w:r>
          <w:r>
            <w:instrText xml:space="preserve"> PAGEREF _Toc17811163 \h </w:instrText>
          </w:r>
          <w:r>
            <w:fldChar w:fldCharType="separate"/>
          </w:r>
          <w:r>
            <w:t>18</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"_Toc17811164" </w:instrText>
          </w:r>
          <w:r>
            <w:fldChar w:fldCharType="separate"/>
          </w:r>
          <w:r>
            <w:rPr>
              <w:rStyle w:val="18"/>
              <w:bCs/>
              <w:lang w:val="zh-CN"/>
            </w:rPr>
            <w:t xml:space="preserve">5.13 </w:t>
          </w:r>
          <w:r>
            <w:rPr>
              <w:rStyle w:val="18"/>
              <w:rFonts w:hint="eastAsia"/>
              <w:bCs/>
              <w:lang w:val="zh-CN"/>
            </w:rPr>
            <w:t>室内</w:t>
          </w:r>
          <w:r>
            <w:rPr>
              <w:rStyle w:val="18"/>
              <w:bCs/>
              <w:lang w:val="zh-CN"/>
            </w:rPr>
            <w:t>CO</w:t>
          </w:r>
          <w:r>
            <w:rPr>
              <w:rStyle w:val="18"/>
              <w:bCs/>
              <w:vertAlign w:val="subscript"/>
              <w:lang w:val="zh-CN"/>
            </w:rPr>
            <w:t>2</w:t>
          </w:r>
          <w:r>
            <w:rPr>
              <w:rStyle w:val="18"/>
              <w:rFonts w:hint="eastAsia"/>
              <w:bCs/>
              <w:lang w:val="zh-CN"/>
            </w:rPr>
            <w:t>浓度检测</w:t>
          </w:r>
          <w:r>
            <w:tab/>
          </w:r>
          <w:r>
            <w:fldChar w:fldCharType="begin"/>
          </w:r>
          <w:r>
            <w:instrText xml:space="preserve"> PAGEREF _Toc17811164 \h </w:instrText>
          </w:r>
          <w:r>
            <w:fldChar w:fldCharType="separate"/>
          </w:r>
          <w:r>
            <w:t>18</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"_Toc17811165" </w:instrText>
          </w:r>
          <w:r>
            <w:fldChar w:fldCharType="separate"/>
          </w:r>
          <w:r>
            <w:rPr>
              <w:rStyle w:val="18"/>
              <w:lang w:val="zh-CN"/>
            </w:rPr>
            <w:t xml:space="preserve">5.14 </w:t>
          </w:r>
          <w:r>
            <w:rPr>
              <w:rStyle w:val="18"/>
              <w:rFonts w:hint="eastAsia"/>
              <w:lang w:val="zh-CN"/>
            </w:rPr>
            <w:t>室内</w:t>
          </w:r>
          <w:r>
            <w:rPr>
              <w:rStyle w:val="18"/>
              <w:rFonts w:hint="eastAsia"/>
            </w:rPr>
            <w:t>可吸入颗粒物检测</w:t>
          </w:r>
          <w:r>
            <w:tab/>
          </w:r>
          <w:r>
            <w:fldChar w:fldCharType="begin"/>
          </w:r>
          <w:r>
            <w:instrText xml:space="preserve"> PAGEREF _Toc17811165 \h </w:instrText>
          </w:r>
          <w:r>
            <w:fldChar w:fldCharType="separate"/>
          </w:r>
          <w:r>
            <w:t>19</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"_Toc17811166" </w:instrText>
          </w:r>
          <w:r>
            <w:fldChar w:fldCharType="separate"/>
          </w:r>
          <w:r>
            <w:rPr>
              <w:rStyle w:val="18"/>
            </w:rPr>
            <w:t xml:space="preserve">6  </w:t>
          </w:r>
          <w:r>
            <w:rPr>
              <w:rStyle w:val="18"/>
              <w:rFonts w:hint="eastAsia"/>
            </w:rPr>
            <w:t>外围护结构性能检测</w:t>
          </w:r>
          <w:r>
            <w:tab/>
          </w:r>
          <w:r>
            <w:fldChar w:fldCharType="begin"/>
          </w:r>
          <w:r>
            <w:instrText xml:space="preserve"> PAGEREF _Toc17811166 \h </w:instrText>
          </w:r>
          <w:r>
            <w:fldChar w:fldCharType="separate"/>
          </w:r>
          <w:r>
            <w:t>20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"_Toc17811167" </w:instrText>
          </w:r>
          <w:r>
            <w:fldChar w:fldCharType="separate"/>
          </w:r>
          <w:r>
            <w:rPr>
              <w:rStyle w:val="18"/>
              <w:lang w:val="zh-CN"/>
            </w:rPr>
            <w:t xml:space="preserve">6.1  </w:t>
          </w:r>
          <w:r>
            <w:rPr>
              <w:rStyle w:val="18"/>
              <w:rFonts w:hint="eastAsia"/>
              <w:lang w:val="zh-CN"/>
            </w:rPr>
            <w:t>一般规定</w:t>
          </w:r>
          <w:r>
            <w:tab/>
          </w:r>
          <w:r>
            <w:fldChar w:fldCharType="begin"/>
          </w:r>
          <w:r>
            <w:instrText xml:space="preserve"> PAGEREF _Toc17811167 \h </w:instrText>
          </w:r>
          <w:r>
            <w:fldChar w:fldCharType="separate"/>
          </w:r>
          <w:r>
            <w:t>20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"_Toc17811168" </w:instrText>
          </w:r>
          <w:r>
            <w:fldChar w:fldCharType="separate"/>
          </w:r>
          <w:r>
            <w:rPr>
              <w:rStyle w:val="18"/>
              <w:lang w:val="zh-CN"/>
            </w:rPr>
            <w:t xml:space="preserve">6.2  </w:t>
          </w:r>
          <w:r>
            <w:rPr>
              <w:rStyle w:val="18"/>
              <w:rFonts w:hint="eastAsia"/>
              <w:lang w:val="zh-CN"/>
            </w:rPr>
            <w:t>外围护结构传热系数检测</w:t>
          </w:r>
          <w:r>
            <w:tab/>
          </w:r>
          <w:r>
            <w:fldChar w:fldCharType="begin"/>
          </w:r>
          <w:r>
            <w:instrText xml:space="preserve"> PAGEREF _Toc17811168 \h </w:instrText>
          </w:r>
          <w:r>
            <w:fldChar w:fldCharType="separate"/>
          </w:r>
          <w:r>
            <w:t>20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"_Toc17811169" </w:instrText>
          </w:r>
          <w:r>
            <w:fldChar w:fldCharType="separate"/>
          </w:r>
          <w:r>
            <w:rPr>
              <w:rStyle w:val="18"/>
              <w:lang w:val="zh-CN"/>
            </w:rPr>
            <w:t xml:space="preserve">6.3  </w:t>
          </w:r>
          <w:r>
            <w:rPr>
              <w:rStyle w:val="18"/>
              <w:rFonts w:hint="eastAsia"/>
              <w:lang w:val="zh-CN"/>
            </w:rPr>
            <w:t>外围护结构热桥部位内表面温度检测</w:t>
          </w:r>
          <w:r>
            <w:tab/>
          </w:r>
          <w:r>
            <w:fldChar w:fldCharType="begin"/>
          </w:r>
          <w:r>
            <w:instrText xml:space="preserve"> PAGEREF _Toc17811169 \h </w:instrText>
          </w:r>
          <w:r>
            <w:fldChar w:fldCharType="separate"/>
          </w:r>
          <w:r>
            <w:t>20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"_Toc17811170" </w:instrText>
          </w:r>
          <w:r>
            <w:fldChar w:fldCharType="separate"/>
          </w:r>
          <w:r>
            <w:rPr>
              <w:rStyle w:val="18"/>
              <w:lang w:val="zh-CN"/>
            </w:rPr>
            <w:t xml:space="preserve">6.4  </w:t>
          </w:r>
          <w:r>
            <w:rPr>
              <w:rStyle w:val="18"/>
              <w:rFonts w:hint="eastAsia"/>
              <w:lang w:val="zh-CN"/>
            </w:rPr>
            <w:t>外围护结构隔热性能检测</w:t>
          </w:r>
          <w:r>
            <w:tab/>
          </w:r>
          <w:r>
            <w:fldChar w:fldCharType="begin"/>
          </w:r>
          <w:r>
            <w:instrText xml:space="preserve"> PAGEREF _Toc17811170 \h </w:instrText>
          </w:r>
          <w:r>
            <w:fldChar w:fldCharType="separate"/>
          </w:r>
          <w:r>
            <w:t>21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"_Toc17811171" </w:instrText>
          </w:r>
          <w:r>
            <w:fldChar w:fldCharType="separate"/>
          </w:r>
          <w:r>
            <w:rPr>
              <w:rStyle w:val="18"/>
              <w:lang w:val="zh-CN"/>
            </w:rPr>
            <w:t xml:space="preserve">6.5  </w:t>
          </w:r>
          <w:r>
            <w:rPr>
              <w:rStyle w:val="18"/>
              <w:rFonts w:hint="eastAsia"/>
              <w:lang w:val="zh-CN"/>
            </w:rPr>
            <w:t>外围护结构热工缺陷检测</w:t>
          </w:r>
          <w:r>
            <w:tab/>
          </w:r>
          <w:r>
            <w:fldChar w:fldCharType="begin"/>
          </w:r>
          <w:r>
            <w:instrText xml:space="preserve"> PAGEREF _Toc17811171 \h </w:instrText>
          </w:r>
          <w:r>
            <w:fldChar w:fldCharType="separate"/>
          </w:r>
          <w:r>
            <w:t>21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"_Toc17811172" </w:instrText>
          </w:r>
          <w:r>
            <w:fldChar w:fldCharType="separate"/>
          </w:r>
          <w:r>
            <w:rPr>
              <w:rStyle w:val="18"/>
              <w:lang w:val="zh-CN"/>
            </w:rPr>
            <w:t xml:space="preserve">6.6  </w:t>
          </w:r>
          <w:r>
            <w:rPr>
              <w:rStyle w:val="18"/>
              <w:rFonts w:hint="eastAsia"/>
              <w:lang w:val="zh-CN"/>
            </w:rPr>
            <w:t>外围护结构遮阳性能检测</w:t>
          </w:r>
          <w:r>
            <w:tab/>
          </w:r>
          <w:r>
            <w:fldChar w:fldCharType="begin"/>
          </w:r>
          <w:r>
            <w:instrText xml:space="preserve"> PAGEREF _Toc17811172 \h </w:instrText>
          </w:r>
          <w:r>
            <w:fldChar w:fldCharType="separate"/>
          </w:r>
          <w:r>
            <w:t>21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"_Toc17811173" </w:instrText>
          </w:r>
          <w:r>
            <w:fldChar w:fldCharType="separate"/>
          </w:r>
          <w:r>
            <w:rPr>
              <w:rStyle w:val="18"/>
              <w:lang w:val="zh-CN"/>
            </w:rPr>
            <w:t xml:space="preserve">6.7  </w:t>
          </w:r>
          <w:r>
            <w:rPr>
              <w:rStyle w:val="18"/>
              <w:rFonts w:hint="eastAsia"/>
              <w:lang w:val="zh-CN"/>
            </w:rPr>
            <w:t>外窗气密性能检测</w:t>
          </w:r>
          <w:r>
            <w:tab/>
          </w:r>
          <w:r>
            <w:fldChar w:fldCharType="begin"/>
          </w:r>
          <w:r>
            <w:instrText xml:space="preserve"> PAGEREF _Toc17811173 \h </w:instrText>
          </w:r>
          <w:r>
            <w:fldChar w:fldCharType="separate"/>
          </w:r>
          <w:r>
            <w:t>21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"_Toc17811174" </w:instrText>
          </w:r>
          <w:r>
            <w:fldChar w:fldCharType="separate"/>
          </w:r>
          <w:r>
            <w:rPr>
              <w:rStyle w:val="18"/>
              <w:lang w:val="zh-CN"/>
            </w:rPr>
            <w:t xml:space="preserve">6.8  </w:t>
          </w:r>
          <w:r>
            <w:rPr>
              <w:rStyle w:val="18"/>
              <w:rFonts w:hint="eastAsia"/>
              <w:lang w:val="zh-CN"/>
            </w:rPr>
            <w:t>透明幕墙气密性能检测</w:t>
          </w:r>
          <w:r>
            <w:tab/>
          </w:r>
          <w:r>
            <w:fldChar w:fldCharType="begin"/>
          </w:r>
          <w:r>
            <w:instrText xml:space="preserve"> PAGEREF _Toc17811174 \h </w:instrText>
          </w:r>
          <w:r>
            <w:fldChar w:fldCharType="separate"/>
          </w:r>
          <w:r>
            <w:t>22</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"_Toc17811175" </w:instrText>
          </w:r>
          <w:r>
            <w:fldChar w:fldCharType="separate"/>
          </w:r>
          <w:r>
            <w:rPr>
              <w:rStyle w:val="18"/>
            </w:rPr>
            <w:t xml:space="preserve">6.9  </w:t>
          </w:r>
          <w:r>
            <w:rPr>
              <w:rStyle w:val="18"/>
              <w:rFonts w:hint="eastAsia"/>
            </w:rPr>
            <w:t>中空玻璃密封性能检测</w:t>
          </w:r>
          <w:r>
            <w:tab/>
          </w:r>
          <w:r>
            <w:fldChar w:fldCharType="begin"/>
          </w:r>
          <w:r>
            <w:instrText xml:space="preserve"> PAGEREF _Toc17811175 \h </w:instrText>
          </w:r>
          <w:r>
            <w:fldChar w:fldCharType="separate"/>
          </w:r>
          <w:r>
            <w:t>22</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"_Toc17811176" </w:instrText>
          </w:r>
          <w:r>
            <w:fldChar w:fldCharType="separate"/>
          </w:r>
          <w:r>
            <w:rPr>
              <w:rStyle w:val="18"/>
              <w:lang w:val="zh-CN"/>
            </w:rPr>
            <w:t xml:space="preserve">6.10 </w:t>
          </w:r>
          <w:r>
            <w:rPr>
              <w:rStyle w:val="18"/>
              <w:rFonts w:hint="eastAsia"/>
              <w:lang w:val="zh-CN"/>
            </w:rPr>
            <w:t>玻璃光学热工性能现场检测</w:t>
          </w:r>
          <w:r>
            <w:tab/>
          </w:r>
          <w:r>
            <w:fldChar w:fldCharType="begin"/>
          </w:r>
          <w:r>
            <w:instrText xml:space="preserve"> PAGEREF _Toc17811176 \h </w:instrText>
          </w:r>
          <w:r>
            <w:fldChar w:fldCharType="separate"/>
          </w:r>
          <w:r>
            <w:t>22</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"_Toc17811177" </w:instrText>
          </w:r>
          <w:r>
            <w:fldChar w:fldCharType="separate"/>
          </w:r>
          <w:r>
            <w:rPr>
              <w:rStyle w:val="18"/>
              <w:lang w:val="zh-CN"/>
            </w:rPr>
            <w:t xml:space="preserve">6.11 </w:t>
          </w:r>
          <w:r>
            <w:rPr>
              <w:rStyle w:val="18"/>
              <w:rFonts w:hint="eastAsia"/>
            </w:rPr>
            <w:t>保温板粘贴面积比现场检测</w:t>
          </w:r>
          <w:r>
            <w:tab/>
          </w:r>
          <w:r>
            <w:fldChar w:fldCharType="begin"/>
          </w:r>
          <w:r>
            <w:instrText xml:space="preserve"> PAGEREF _Toc17811177 \h </w:instrText>
          </w:r>
          <w:r>
            <w:fldChar w:fldCharType="separate"/>
          </w:r>
          <w:r>
            <w:t>23</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"_Toc17811178" </w:instrText>
          </w:r>
          <w:r>
            <w:fldChar w:fldCharType="separate"/>
          </w:r>
          <w:r>
            <w:rPr>
              <w:rStyle w:val="18"/>
              <w:lang w:val="zh-CN"/>
            </w:rPr>
            <w:t xml:space="preserve">6.12 </w:t>
          </w:r>
          <w:r>
            <w:rPr>
              <w:rStyle w:val="18"/>
              <w:rFonts w:hint="eastAsia"/>
            </w:rPr>
            <w:t>保温板与基层的拉伸粘结强度现场检测</w:t>
          </w:r>
          <w:r>
            <w:tab/>
          </w:r>
          <w:r>
            <w:fldChar w:fldCharType="begin"/>
          </w:r>
          <w:r>
            <w:instrText xml:space="preserve"> PAGEREF _Toc17811178 \h </w:instrText>
          </w:r>
          <w:r>
            <w:fldChar w:fldCharType="separate"/>
          </w:r>
          <w:r>
            <w:t>24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"_Toc17811179" </w:instrText>
          </w:r>
          <w:r>
            <w:fldChar w:fldCharType="separate"/>
          </w:r>
          <w:r>
            <w:rPr>
              <w:rStyle w:val="18"/>
              <w:lang w:val="zh-CN"/>
            </w:rPr>
            <w:t xml:space="preserve">6.13 </w:t>
          </w:r>
          <w:r>
            <w:rPr>
              <w:rStyle w:val="18"/>
              <w:rFonts w:hint="eastAsia"/>
            </w:rPr>
            <w:t>保温砂浆导热系数、干密度、抗压强度同条件养护检测</w:t>
          </w:r>
          <w:r>
            <w:tab/>
          </w:r>
          <w:r>
            <w:fldChar w:fldCharType="begin"/>
          </w:r>
          <w:r>
            <w:instrText xml:space="preserve"> PAGEREF _Toc17811179 \h </w:instrText>
          </w:r>
          <w:r>
            <w:fldChar w:fldCharType="separate"/>
          </w:r>
          <w:r>
            <w:t>24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"_Toc17811180" </w:instrText>
          </w:r>
          <w:r>
            <w:fldChar w:fldCharType="separate"/>
          </w:r>
          <w:r>
            <w:rPr>
              <w:rStyle w:val="18"/>
            </w:rPr>
            <w:t xml:space="preserve">6.14 </w:t>
          </w:r>
          <w:r>
            <w:rPr>
              <w:rStyle w:val="18"/>
              <w:rFonts w:hint="eastAsia"/>
            </w:rPr>
            <w:t>外墙保温层厚度检测</w:t>
          </w:r>
          <w:r>
            <w:tab/>
          </w:r>
          <w:r>
            <w:fldChar w:fldCharType="begin"/>
          </w:r>
          <w:r>
            <w:instrText xml:space="preserve"> PAGEREF _Toc17811180 \h </w:instrText>
          </w:r>
          <w:r>
            <w:fldChar w:fldCharType="separate"/>
          </w:r>
          <w:r>
            <w:t>25</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"_Toc17811181" </w:instrText>
          </w:r>
          <w:r>
            <w:fldChar w:fldCharType="separate"/>
          </w:r>
          <w:r>
            <w:rPr>
              <w:rStyle w:val="18"/>
              <w:lang w:val="zh-CN"/>
            </w:rPr>
            <w:t xml:space="preserve">7  </w:t>
          </w:r>
          <w:r>
            <w:rPr>
              <w:rStyle w:val="18"/>
              <w:rFonts w:hint="eastAsia"/>
              <w:lang w:val="zh-CN"/>
            </w:rPr>
            <w:t>空调水系统性能检测</w:t>
          </w:r>
          <w:r>
            <w:tab/>
          </w:r>
          <w:r>
            <w:fldChar w:fldCharType="begin"/>
          </w:r>
          <w:r>
            <w:instrText xml:space="preserve"> PAGEREF _Toc17811181 \h </w:instrText>
          </w:r>
          <w:r>
            <w:fldChar w:fldCharType="separate"/>
          </w:r>
          <w:r>
            <w:t>27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"_Toc17811182" </w:instrText>
          </w:r>
          <w:r>
            <w:fldChar w:fldCharType="separate"/>
          </w:r>
          <w:r>
            <w:rPr>
              <w:rStyle w:val="18"/>
              <w:lang w:val="zh-CN"/>
            </w:rPr>
            <w:t xml:space="preserve">7.1  </w:t>
          </w:r>
          <w:r>
            <w:rPr>
              <w:rStyle w:val="18"/>
              <w:rFonts w:hint="eastAsia"/>
              <w:lang w:val="zh-CN"/>
            </w:rPr>
            <w:t>一般规定</w:t>
          </w:r>
          <w:r>
            <w:tab/>
          </w:r>
          <w:r>
            <w:fldChar w:fldCharType="begin"/>
          </w:r>
          <w:r>
            <w:instrText xml:space="preserve"> PAGEREF _Toc17811182 \h </w:instrText>
          </w:r>
          <w:r>
            <w:fldChar w:fldCharType="separate"/>
          </w:r>
          <w:r>
            <w:t>27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"_Toc17811183" </w:instrText>
          </w:r>
          <w:r>
            <w:fldChar w:fldCharType="separate"/>
          </w:r>
          <w:r>
            <w:rPr>
              <w:rStyle w:val="18"/>
            </w:rPr>
            <w:t xml:space="preserve">7.2  </w:t>
          </w:r>
          <w:r>
            <w:rPr>
              <w:rStyle w:val="18"/>
              <w:rFonts w:hint="eastAsia"/>
            </w:rPr>
            <w:t>冷水（热泵）机组实际性能系数检测</w:t>
          </w:r>
          <w:r>
            <w:tab/>
          </w:r>
          <w:r>
            <w:fldChar w:fldCharType="begin"/>
          </w:r>
          <w:r>
            <w:instrText xml:space="preserve"> PAGEREF _Toc17811183 \h </w:instrText>
          </w:r>
          <w:r>
            <w:fldChar w:fldCharType="separate"/>
          </w:r>
          <w:r>
            <w:t>27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"_Toc17811184" </w:instrText>
          </w:r>
          <w:r>
            <w:fldChar w:fldCharType="separate"/>
          </w:r>
          <w:r>
            <w:rPr>
              <w:rStyle w:val="18"/>
            </w:rPr>
            <w:t xml:space="preserve">7.3  </w:t>
          </w:r>
          <w:r>
            <w:rPr>
              <w:rStyle w:val="18"/>
              <w:rFonts w:hint="eastAsia"/>
            </w:rPr>
            <w:t>冷源系统能效系数检测</w:t>
          </w:r>
          <w:r>
            <w:tab/>
          </w:r>
          <w:r>
            <w:fldChar w:fldCharType="begin"/>
          </w:r>
          <w:r>
            <w:instrText xml:space="preserve"> PAGEREF _Toc17811184 \h </w:instrText>
          </w:r>
          <w:r>
            <w:fldChar w:fldCharType="separate"/>
          </w:r>
          <w:r>
            <w:t>28</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"_Toc17811185" </w:instrText>
          </w:r>
          <w:r>
            <w:fldChar w:fldCharType="separate"/>
          </w:r>
          <w:r>
            <w:rPr>
              <w:rStyle w:val="18"/>
            </w:rPr>
            <w:t xml:space="preserve">7.4  </w:t>
          </w:r>
          <w:r>
            <w:rPr>
              <w:rStyle w:val="18"/>
              <w:rFonts w:hint="eastAsia"/>
            </w:rPr>
            <w:t>水系统供、回水温差检测</w:t>
          </w:r>
          <w:r>
            <w:tab/>
          </w:r>
          <w:r>
            <w:fldChar w:fldCharType="begin"/>
          </w:r>
          <w:r>
            <w:instrText xml:space="preserve"> PAGEREF _Toc17811185 \h </w:instrText>
          </w:r>
          <w:r>
            <w:fldChar w:fldCharType="separate"/>
          </w:r>
          <w:r>
            <w:t>29</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"_Toc17811186" </w:instrText>
          </w:r>
          <w:r>
            <w:fldChar w:fldCharType="separate"/>
          </w:r>
          <w:r>
            <w:rPr>
              <w:rStyle w:val="18"/>
            </w:rPr>
            <w:t xml:space="preserve">7.5  </w:t>
          </w:r>
          <w:r>
            <w:rPr>
              <w:rStyle w:val="18"/>
              <w:rFonts w:hint="eastAsia"/>
            </w:rPr>
            <w:t>水泵效率检测</w:t>
          </w:r>
          <w:r>
            <w:tab/>
          </w:r>
          <w:r>
            <w:fldChar w:fldCharType="begin"/>
          </w:r>
          <w:r>
            <w:instrText xml:space="preserve"> PAGEREF _Toc17811186 \h </w:instrText>
          </w:r>
          <w:r>
            <w:fldChar w:fldCharType="separate"/>
          </w:r>
          <w:r>
            <w:t>29</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"_Toc17811187" </w:instrText>
          </w:r>
          <w:r>
            <w:fldChar w:fldCharType="separate"/>
          </w:r>
          <w:r>
            <w:rPr>
              <w:rStyle w:val="18"/>
            </w:rPr>
            <w:t xml:space="preserve">7.6  </w:t>
          </w:r>
          <w:r>
            <w:rPr>
              <w:rStyle w:val="18"/>
              <w:rFonts w:hint="eastAsia"/>
            </w:rPr>
            <w:t>冷却塔效率检测</w:t>
          </w:r>
          <w:r>
            <w:tab/>
          </w:r>
          <w:r>
            <w:fldChar w:fldCharType="begin"/>
          </w:r>
          <w:r>
            <w:instrText xml:space="preserve"> PAGEREF _Toc17811187 \h </w:instrText>
          </w:r>
          <w:r>
            <w:fldChar w:fldCharType="separate"/>
          </w:r>
          <w:r>
            <w:t>30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"_Toc17811188" </w:instrText>
          </w:r>
          <w:r>
            <w:fldChar w:fldCharType="separate"/>
          </w:r>
          <w:r>
            <w:rPr>
              <w:rStyle w:val="18"/>
            </w:rPr>
            <w:t xml:space="preserve">7.7  </w:t>
          </w:r>
          <w:r>
            <w:rPr>
              <w:rStyle w:val="18"/>
              <w:rFonts w:hint="eastAsia"/>
            </w:rPr>
            <w:t>冷却塔噪声检测</w:t>
          </w:r>
          <w:r>
            <w:tab/>
          </w:r>
          <w:r>
            <w:fldChar w:fldCharType="begin"/>
          </w:r>
          <w:r>
            <w:instrText xml:space="preserve"> PAGEREF _Toc17811188 \h </w:instrText>
          </w:r>
          <w:r>
            <w:fldChar w:fldCharType="separate"/>
          </w:r>
          <w:r>
            <w:t>30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"_Toc17811189" </w:instrText>
          </w:r>
          <w:r>
            <w:fldChar w:fldCharType="separate"/>
          </w:r>
          <w:r>
            <w:rPr>
              <w:rStyle w:val="18"/>
            </w:rPr>
            <w:t xml:space="preserve">7.8  </w:t>
          </w:r>
          <w:r>
            <w:rPr>
              <w:rStyle w:val="18"/>
              <w:rFonts w:hint="eastAsia"/>
            </w:rPr>
            <w:t>空调系统冷（热）水总流量检测</w:t>
          </w:r>
          <w:r>
            <w:tab/>
          </w:r>
          <w:r>
            <w:fldChar w:fldCharType="begin"/>
          </w:r>
          <w:r>
            <w:instrText xml:space="preserve"> PAGEREF _Toc17811189 \h </w:instrText>
          </w:r>
          <w:r>
            <w:fldChar w:fldCharType="separate"/>
          </w:r>
          <w:r>
            <w:t>31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"_Toc17811190" </w:instrText>
          </w:r>
          <w:r>
            <w:fldChar w:fldCharType="separate"/>
          </w:r>
          <w:r>
            <w:rPr>
              <w:rStyle w:val="18"/>
            </w:rPr>
            <w:t xml:space="preserve">7.9  </w:t>
          </w:r>
          <w:r>
            <w:rPr>
              <w:rStyle w:val="18"/>
              <w:rFonts w:hint="eastAsia"/>
            </w:rPr>
            <w:t>空调系统冷却水总流量检测</w:t>
          </w:r>
          <w:r>
            <w:tab/>
          </w:r>
          <w:r>
            <w:fldChar w:fldCharType="begin"/>
          </w:r>
          <w:r>
            <w:instrText xml:space="preserve"> PAGEREF _Toc17811190 \h </w:instrText>
          </w:r>
          <w:r>
            <w:fldChar w:fldCharType="separate"/>
          </w:r>
          <w:r>
            <w:t>31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"_Toc17811191" </w:instrText>
          </w:r>
          <w:r>
            <w:fldChar w:fldCharType="separate"/>
          </w:r>
          <w:r>
            <w:rPr>
              <w:rStyle w:val="18"/>
            </w:rPr>
            <w:t xml:space="preserve">7.10 </w:t>
          </w:r>
          <w:r>
            <w:rPr>
              <w:rStyle w:val="18"/>
              <w:rFonts w:hint="eastAsia"/>
            </w:rPr>
            <w:t>空调机组水流量检测</w:t>
          </w:r>
          <w:r>
            <w:tab/>
          </w:r>
          <w:r>
            <w:fldChar w:fldCharType="begin"/>
          </w:r>
          <w:r>
            <w:instrText xml:space="preserve"> PAGEREF _Toc17811191 \h </w:instrText>
          </w:r>
          <w:r>
            <w:fldChar w:fldCharType="separate"/>
          </w:r>
          <w:r>
            <w:t>32</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"_Toc17811192" </w:instrText>
          </w:r>
          <w:r>
            <w:fldChar w:fldCharType="separate"/>
          </w:r>
          <w:r>
            <w:rPr>
              <w:rStyle w:val="18"/>
            </w:rPr>
            <w:t xml:space="preserve">7.11 </w:t>
          </w:r>
          <w:r>
            <w:rPr>
              <w:rStyle w:val="18"/>
              <w:rFonts w:hint="eastAsia"/>
            </w:rPr>
            <w:t>耗电输冷（热）比检测</w:t>
          </w:r>
          <w:r>
            <w:tab/>
          </w:r>
          <w:r>
            <w:fldChar w:fldCharType="begin"/>
          </w:r>
          <w:r>
            <w:instrText xml:space="preserve"> PAGEREF _Toc17811192 \h </w:instrText>
          </w:r>
          <w:r>
            <w:fldChar w:fldCharType="separate"/>
          </w:r>
          <w:r>
            <w:t>32</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"_Toc17811193" </w:instrText>
          </w:r>
          <w:r>
            <w:fldChar w:fldCharType="separate"/>
          </w:r>
          <w:r>
            <w:rPr>
              <w:rStyle w:val="18"/>
            </w:rPr>
            <w:t xml:space="preserve">7.12 </w:t>
          </w:r>
          <w:r>
            <w:rPr>
              <w:rStyle w:val="18"/>
              <w:rFonts w:hint="eastAsia"/>
            </w:rPr>
            <w:t>蓄冷性能系数检测</w:t>
          </w:r>
          <w:r>
            <w:tab/>
          </w:r>
          <w:r>
            <w:fldChar w:fldCharType="begin"/>
          </w:r>
          <w:r>
            <w:instrText xml:space="preserve"> PAGEREF _Toc17811193 \h </w:instrText>
          </w:r>
          <w:r>
            <w:fldChar w:fldCharType="separate"/>
          </w:r>
          <w:r>
            <w:t>35</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"_Toc17811194" </w:instrText>
          </w:r>
          <w:r>
            <w:fldChar w:fldCharType="separate"/>
          </w:r>
          <w:r>
            <w:rPr>
              <w:rStyle w:val="18"/>
              <w:lang w:val="zh-CN"/>
            </w:rPr>
            <w:t xml:space="preserve">8  </w:t>
          </w:r>
          <w:r>
            <w:rPr>
              <w:rStyle w:val="18"/>
              <w:rFonts w:hint="eastAsia"/>
              <w:lang w:val="zh-CN"/>
            </w:rPr>
            <w:t>通风与空调风系统性能检测</w:t>
          </w:r>
          <w:r>
            <w:tab/>
          </w:r>
          <w:r>
            <w:fldChar w:fldCharType="begin"/>
          </w:r>
          <w:r>
            <w:instrText xml:space="preserve"> PAGEREF _Toc17811194 \h </w:instrText>
          </w:r>
          <w:r>
            <w:fldChar w:fldCharType="separate"/>
          </w:r>
          <w:r>
            <w:t>36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"_Toc17811195" </w:instrText>
          </w:r>
          <w:r>
            <w:fldChar w:fldCharType="separate"/>
          </w:r>
          <w:r>
            <w:rPr>
              <w:rStyle w:val="18"/>
            </w:rPr>
            <w:t xml:space="preserve">8.1  </w:t>
          </w:r>
          <w:r>
            <w:rPr>
              <w:rStyle w:val="18"/>
              <w:rFonts w:hint="eastAsia"/>
            </w:rPr>
            <w:t>一般规定</w:t>
          </w:r>
          <w:r>
            <w:tab/>
          </w:r>
          <w:r>
            <w:fldChar w:fldCharType="begin"/>
          </w:r>
          <w:r>
            <w:instrText xml:space="preserve"> PAGEREF _Toc17811195 \h </w:instrText>
          </w:r>
          <w:r>
            <w:fldChar w:fldCharType="separate"/>
          </w:r>
          <w:r>
            <w:t>36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"_Toc17811196" </w:instrText>
          </w:r>
          <w:r>
            <w:fldChar w:fldCharType="separate"/>
          </w:r>
          <w:r>
            <w:rPr>
              <w:rStyle w:val="18"/>
            </w:rPr>
            <w:t xml:space="preserve">8.2  </w:t>
          </w:r>
          <w:r>
            <w:rPr>
              <w:rStyle w:val="18"/>
              <w:rFonts w:hint="eastAsia"/>
            </w:rPr>
            <w:t>系统总风量（新风量）检测</w:t>
          </w:r>
          <w:r>
            <w:tab/>
          </w:r>
          <w:r>
            <w:fldChar w:fldCharType="begin"/>
          </w:r>
          <w:r>
            <w:instrText xml:space="preserve"> PAGEREF _Toc17811196 \h </w:instrText>
          </w:r>
          <w:r>
            <w:fldChar w:fldCharType="separate"/>
          </w:r>
          <w:r>
            <w:t>36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"_Toc17811197" </w:instrText>
          </w:r>
          <w:r>
            <w:fldChar w:fldCharType="separate"/>
          </w:r>
          <w:r>
            <w:rPr>
              <w:rStyle w:val="18"/>
            </w:rPr>
            <w:t xml:space="preserve">8.3  </w:t>
          </w:r>
          <w:r>
            <w:rPr>
              <w:rStyle w:val="18"/>
              <w:rFonts w:hint="eastAsia"/>
            </w:rPr>
            <w:t>风口风量检测</w:t>
          </w:r>
          <w:r>
            <w:tab/>
          </w:r>
          <w:r>
            <w:fldChar w:fldCharType="begin"/>
          </w:r>
          <w:r>
            <w:instrText xml:space="preserve"> PAGEREF _Toc17811197 \h </w:instrText>
          </w:r>
          <w:r>
            <w:fldChar w:fldCharType="separate"/>
          </w:r>
          <w:r>
            <w:t>37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"_Toc17811198" </w:instrText>
          </w:r>
          <w:r>
            <w:fldChar w:fldCharType="separate"/>
          </w:r>
          <w:r>
            <w:rPr>
              <w:rStyle w:val="18"/>
            </w:rPr>
            <w:t xml:space="preserve">8.4  </w:t>
          </w:r>
          <w:r>
            <w:rPr>
              <w:rStyle w:val="18"/>
              <w:rFonts w:hint="eastAsia"/>
            </w:rPr>
            <w:t>定风量系统平衡度检测</w:t>
          </w:r>
          <w:r>
            <w:tab/>
          </w:r>
          <w:r>
            <w:fldChar w:fldCharType="begin"/>
          </w:r>
          <w:r>
            <w:instrText xml:space="preserve"> PAGEREF _Toc17811198 \h </w:instrText>
          </w:r>
          <w:r>
            <w:fldChar w:fldCharType="separate"/>
          </w:r>
          <w:r>
            <w:t>37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"_Toc17811199" </w:instrText>
          </w:r>
          <w:r>
            <w:fldChar w:fldCharType="separate"/>
          </w:r>
          <w:r>
            <w:rPr>
              <w:rStyle w:val="18"/>
            </w:rPr>
            <w:t xml:space="preserve">8.5  </w:t>
          </w:r>
          <w:r>
            <w:rPr>
              <w:rStyle w:val="18"/>
              <w:rFonts w:hint="eastAsia"/>
            </w:rPr>
            <w:t>风机单位风量耗功率检测</w:t>
          </w:r>
          <w:r>
            <w:tab/>
          </w:r>
          <w:r>
            <w:fldChar w:fldCharType="begin"/>
          </w:r>
          <w:r>
            <w:instrText xml:space="preserve"> PAGEREF _Toc17811199 \h </w:instrText>
          </w:r>
          <w:r>
            <w:fldChar w:fldCharType="separate"/>
          </w:r>
          <w:r>
            <w:t>37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"_Toc17811200" </w:instrText>
          </w:r>
          <w:r>
            <w:fldChar w:fldCharType="separate"/>
          </w:r>
          <w:r>
            <w:rPr>
              <w:rStyle w:val="18"/>
              <w:lang w:val="zh-CN"/>
            </w:rPr>
            <w:t xml:space="preserve">8.6  </w:t>
          </w:r>
          <w:r>
            <w:rPr>
              <w:rStyle w:val="18"/>
              <w:rFonts w:hint="eastAsia"/>
              <w:lang w:val="zh-CN"/>
            </w:rPr>
            <w:t>空调热回收装置交换效率检测</w:t>
          </w:r>
          <w:r>
            <w:tab/>
          </w:r>
          <w:r>
            <w:fldChar w:fldCharType="begin"/>
          </w:r>
          <w:r>
            <w:instrText xml:space="preserve"> PAGEREF _Toc17811200 \h </w:instrText>
          </w:r>
          <w:r>
            <w:fldChar w:fldCharType="separate"/>
          </w:r>
          <w:r>
            <w:t>38</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"_Toc17811201" </w:instrText>
          </w:r>
          <w:r>
            <w:fldChar w:fldCharType="separate"/>
          </w:r>
          <w:r>
            <w:rPr>
              <w:rStyle w:val="18"/>
              <w:lang w:val="zh-CN"/>
            </w:rPr>
            <w:t xml:space="preserve">8.7  </w:t>
          </w:r>
          <w:r>
            <w:rPr>
              <w:rStyle w:val="18"/>
              <w:rFonts w:hint="eastAsia"/>
            </w:rPr>
            <w:t>住宅排气道系统通风性能检测</w:t>
          </w:r>
          <w:r>
            <w:tab/>
          </w:r>
          <w:r>
            <w:fldChar w:fldCharType="begin"/>
          </w:r>
          <w:r>
            <w:instrText xml:space="preserve"> PAGEREF _Toc17811201 \h </w:instrText>
          </w:r>
          <w:r>
            <w:fldChar w:fldCharType="separate"/>
          </w:r>
          <w:r>
            <w:t>38</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"_Toc17811202" </w:instrText>
          </w:r>
          <w:r>
            <w:fldChar w:fldCharType="separate"/>
          </w:r>
          <w:r>
            <w:rPr>
              <w:rStyle w:val="18"/>
            </w:rPr>
            <w:t xml:space="preserve">9  </w:t>
          </w:r>
          <w:r>
            <w:rPr>
              <w:rStyle w:val="18"/>
              <w:rFonts w:hint="eastAsia"/>
            </w:rPr>
            <w:t>给水排水系统检测</w:t>
          </w:r>
          <w:r>
            <w:tab/>
          </w:r>
          <w:r>
            <w:fldChar w:fldCharType="begin"/>
          </w:r>
          <w:r>
            <w:instrText xml:space="preserve"> PAGEREF _Toc17811202 \h </w:instrText>
          </w:r>
          <w:r>
            <w:fldChar w:fldCharType="separate"/>
          </w:r>
          <w:r>
            <w:t>40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"_Toc17811203" </w:instrText>
          </w:r>
          <w:r>
            <w:fldChar w:fldCharType="separate"/>
          </w:r>
          <w:r>
            <w:rPr>
              <w:rStyle w:val="18"/>
              <w:lang w:val="zh-CN"/>
            </w:rPr>
            <w:t xml:space="preserve">9.1  </w:t>
          </w:r>
          <w:r>
            <w:rPr>
              <w:rStyle w:val="18"/>
              <w:rFonts w:hint="eastAsia"/>
              <w:lang w:val="zh-CN"/>
            </w:rPr>
            <w:t>一般规定</w:t>
          </w:r>
          <w:r>
            <w:tab/>
          </w:r>
          <w:r>
            <w:fldChar w:fldCharType="begin"/>
          </w:r>
          <w:r>
            <w:instrText xml:space="preserve"> PAGEREF _Toc17811203 \h </w:instrText>
          </w:r>
          <w:r>
            <w:fldChar w:fldCharType="separate"/>
          </w:r>
          <w:r>
            <w:t>40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"_Toc17811204" </w:instrText>
          </w:r>
          <w:r>
            <w:fldChar w:fldCharType="separate"/>
          </w:r>
          <w:r>
            <w:rPr>
              <w:rStyle w:val="18"/>
              <w:lang w:val="zh-CN"/>
            </w:rPr>
            <w:t xml:space="preserve">9.2  </w:t>
          </w:r>
          <w:r>
            <w:rPr>
              <w:rStyle w:val="18"/>
              <w:rFonts w:hint="eastAsia"/>
            </w:rPr>
            <w:t>生活饮用水水质检测</w:t>
          </w:r>
          <w:r>
            <w:tab/>
          </w:r>
          <w:r>
            <w:fldChar w:fldCharType="begin"/>
          </w:r>
          <w:r>
            <w:instrText xml:space="preserve"> PAGEREF _Toc17811204 \h </w:instrText>
          </w:r>
          <w:r>
            <w:fldChar w:fldCharType="separate"/>
          </w:r>
          <w:r>
            <w:t>40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"_Toc17811205" </w:instrText>
          </w:r>
          <w:r>
            <w:fldChar w:fldCharType="separate"/>
          </w:r>
          <w:r>
            <w:rPr>
              <w:rStyle w:val="18"/>
            </w:rPr>
            <w:t xml:space="preserve">9.3  </w:t>
          </w:r>
          <w:r>
            <w:rPr>
              <w:rStyle w:val="18"/>
              <w:rFonts w:hint="eastAsia"/>
            </w:rPr>
            <w:t>循环净化水水质检测</w:t>
          </w:r>
          <w:r>
            <w:tab/>
          </w:r>
          <w:r>
            <w:fldChar w:fldCharType="begin"/>
          </w:r>
          <w:r>
            <w:instrText xml:space="preserve"> PAGEREF _Toc17811205 \h </w:instrText>
          </w:r>
          <w:r>
            <w:fldChar w:fldCharType="separate"/>
          </w:r>
          <w:r>
            <w:t>40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"_Toc17811206" </w:instrText>
          </w:r>
          <w:r>
            <w:fldChar w:fldCharType="separate"/>
          </w:r>
          <w:r>
            <w:rPr>
              <w:rStyle w:val="18"/>
            </w:rPr>
            <w:t xml:space="preserve">9.4  </w:t>
          </w:r>
          <w:r>
            <w:rPr>
              <w:rStyle w:val="18"/>
              <w:rFonts w:hint="eastAsia"/>
            </w:rPr>
            <w:t>非传统水源水质检测</w:t>
          </w:r>
          <w:r>
            <w:tab/>
          </w:r>
          <w:r>
            <w:fldChar w:fldCharType="begin"/>
          </w:r>
          <w:r>
            <w:instrText xml:space="preserve"> PAGEREF _Toc17811206 \h </w:instrText>
          </w:r>
          <w:r>
            <w:fldChar w:fldCharType="separate"/>
          </w:r>
          <w:r>
            <w:t>41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"_Toc17811207" </w:instrText>
          </w:r>
          <w:r>
            <w:fldChar w:fldCharType="separate"/>
          </w:r>
          <w:r>
            <w:rPr>
              <w:rStyle w:val="18"/>
              <w:lang w:val="zh-CN"/>
            </w:rPr>
            <w:t xml:space="preserve">9.5  </w:t>
          </w:r>
          <w:r>
            <w:rPr>
              <w:rStyle w:val="18"/>
              <w:rFonts w:hint="eastAsia"/>
              <w:lang w:val="zh-CN"/>
            </w:rPr>
            <w:t>污水排放水质检测</w:t>
          </w:r>
          <w:r>
            <w:tab/>
          </w:r>
          <w:r>
            <w:fldChar w:fldCharType="begin"/>
          </w:r>
          <w:r>
            <w:instrText xml:space="preserve"> PAGEREF _Toc17811207 \h </w:instrText>
          </w:r>
          <w:r>
            <w:fldChar w:fldCharType="separate"/>
          </w:r>
          <w:r>
            <w:t>42</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"_Toc17811208" </w:instrText>
          </w:r>
          <w:r>
            <w:fldChar w:fldCharType="separate"/>
          </w:r>
          <w:r>
            <w:rPr>
              <w:rStyle w:val="18"/>
            </w:rPr>
            <w:t xml:space="preserve">9.6  </w:t>
          </w:r>
          <w:r>
            <w:rPr>
              <w:rStyle w:val="18"/>
              <w:rFonts w:hint="eastAsia"/>
            </w:rPr>
            <w:t>供水管道漏损检测</w:t>
          </w:r>
          <w:r>
            <w:tab/>
          </w:r>
          <w:r>
            <w:fldChar w:fldCharType="begin"/>
          </w:r>
          <w:r>
            <w:instrText xml:space="preserve"> PAGEREF _Toc17811208 \h </w:instrText>
          </w:r>
          <w:r>
            <w:fldChar w:fldCharType="separate"/>
          </w:r>
          <w:r>
            <w:t>43</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"_Toc17811209" </w:instrText>
          </w:r>
          <w:r>
            <w:fldChar w:fldCharType="separate"/>
          </w:r>
          <w:r>
            <w:rPr>
              <w:rStyle w:val="18"/>
            </w:rPr>
            <w:t xml:space="preserve">10  </w:t>
          </w:r>
          <w:r>
            <w:rPr>
              <w:rStyle w:val="18"/>
              <w:rFonts w:hint="eastAsia"/>
            </w:rPr>
            <w:t>供配电系统检测</w:t>
          </w:r>
          <w:r>
            <w:tab/>
          </w:r>
          <w:r>
            <w:fldChar w:fldCharType="begin"/>
          </w:r>
          <w:r>
            <w:instrText xml:space="preserve"> PAGEREF _Toc17811209 \h </w:instrText>
          </w:r>
          <w:r>
            <w:fldChar w:fldCharType="separate"/>
          </w:r>
          <w:r>
            <w:t>44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"_Toc17811210" </w:instrText>
          </w:r>
          <w:r>
            <w:fldChar w:fldCharType="separate"/>
          </w:r>
          <w:r>
            <w:rPr>
              <w:rStyle w:val="18"/>
            </w:rPr>
            <w:t xml:space="preserve">10.1  </w:t>
          </w:r>
          <w:r>
            <w:rPr>
              <w:rStyle w:val="18"/>
              <w:rFonts w:hint="eastAsia"/>
            </w:rPr>
            <w:t>一般规定</w:t>
          </w:r>
          <w:r>
            <w:tab/>
          </w:r>
          <w:r>
            <w:fldChar w:fldCharType="begin"/>
          </w:r>
          <w:r>
            <w:instrText xml:space="preserve"> PAGEREF _Toc17811210 \h </w:instrText>
          </w:r>
          <w:r>
            <w:fldChar w:fldCharType="separate"/>
          </w:r>
          <w:r>
            <w:t>44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"_Toc17811211" </w:instrText>
          </w:r>
          <w:r>
            <w:fldChar w:fldCharType="separate"/>
          </w:r>
          <w:r>
            <w:rPr>
              <w:rStyle w:val="18"/>
            </w:rPr>
            <w:t xml:space="preserve">10.2  </w:t>
          </w:r>
          <w:r>
            <w:rPr>
              <w:rStyle w:val="18"/>
              <w:rFonts w:hint="eastAsia"/>
            </w:rPr>
            <w:t>三相电压不平衡检测</w:t>
          </w:r>
          <w:r>
            <w:tab/>
          </w:r>
          <w:r>
            <w:fldChar w:fldCharType="begin"/>
          </w:r>
          <w:r>
            <w:instrText xml:space="preserve"> PAGEREF _Toc17811211 \h </w:instrText>
          </w:r>
          <w:r>
            <w:fldChar w:fldCharType="separate"/>
          </w:r>
          <w:r>
            <w:t>44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"_Toc17811212" </w:instrText>
          </w:r>
          <w:r>
            <w:fldChar w:fldCharType="separate"/>
          </w:r>
          <w:r>
            <w:rPr>
              <w:rStyle w:val="18"/>
            </w:rPr>
            <w:t xml:space="preserve">10.3  </w:t>
          </w:r>
          <w:r>
            <w:rPr>
              <w:rStyle w:val="18"/>
              <w:rFonts w:hint="eastAsia"/>
            </w:rPr>
            <w:t>谐波电压及谐波电流检测</w:t>
          </w:r>
          <w:r>
            <w:tab/>
          </w:r>
          <w:r>
            <w:fldChar w:fldCharType="begin"/>
          </w:r>
          <w:r>
            <w:instrText xml:space="preserve"> PAGEREF _Toc17811212 \h </w:instrText>
          </w:r>
          <w:r>
            <w:fldChar w:fldCharType="separate"/>
          </w:r>
          <w:r>
            <w:t>45</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"_Toc17811213" </w:instrText>
          </w:r>
          <w:r>
            <w:fldChar w:fldCharType="separate"/>
          </w:r>
          <w:r>
            <w:rPr>
              <w:rStyle w:val="18"/>
            </w:rPr>
            <w:t xml:space="preserve">10.4  </w:t>
          </w:r>
          <w:r>
            <w:rPr>
              <w:rStyle w:val="18"/>
              <w:rFonts w:hint="eastAsia"/>
            </w:rPr>
            <w:t>功率因数检测</w:t>
          </w:r>
          <w:r>
            <w:tab/>
          </w:r>
          <w:r>
            <w:fldChar w:fldCharType="begin"/>
          </w:r>
          <w:r>
            <w:instrText xml:space="preserve"> PAGEREF _Toc17811213 \h </w:instrText>
          </w:r>
          <w:r>
            <w:fldChar w:fldCharType="separate"/>
          </w:r>
          <w:r>
            <w:t>45</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"_Toc17811214" </w:instrText>
          </w:r>
          <w:r>
            <w:fldChar w:fldCharType="separate"/>
          </w:r>
          <w:r>
            <w:rPr>
              <w:rStyle w:val="18"/>
            </w:rPr>
            <w:t xml:space="preserve">10.5  </w:t>
          </w:r>
          <w:r>
            <w:rPr>
              <w:rStyle w:val="18"/>
              <w:rFonts w:hint="eastAsia"/>
            </w:rPr>
            <w:t>电压偏差检测</w:t>
          </w:r>
          <w:r>
            <w:tab/>
          </w:r>
          <w:r>
            <w:fldChar w:fldCharType="begin"/>
          </w:r>
          <w:r>
            <w:instrText xml:space="preserve"> PAGEREF _Toc17811214 \h </w:instrText>
          </w:r>
          <w:r>
            <w:fldChar w:fldCharType="separate"/>
          </w:r>
          <w:r>
            <w:t>45</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"_Toc17811215" </w:instrText>
          </w:r>
          <w:r>
            <w:fldChar w:fldCharType="separate"/>
          </w:r>
          <w:r>
            <w:rPr>
              <w:rStyle w:val="18"/>
            </w:rPr>
            <w:t xml:space="preserve">10.6  </w:t>
          </w:r>
          <w:r>
            <w:rPr>
              <w:rStyle w:val="18"/>
              <w:rFonts w:hint="eastAsia"/>
            </w:rPr>
            <w:t>分项计量电能回路用电量校核检测</w:t>
          </w:r>
          <w:r>
            <w:tab/>
          </w:r>
          <w:r>
            <w:fldChar w:fldCharType="begin"/>
          </w:r>
          <w:r>
            <w:instrText xml:space="preserve"> PAGEREF _Toc17811215 \h </w:instrText>
          </w:r>
          <w:r>
            <w:fldChar w:fldCharType="separate"/>
          </w:r>
          <w:r>
            <w:t>45</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"_Toc17811216" </w:instrText>
          </w:r>
          <w:r>
            <w:fldChar w:fldCharType="separate"/>
          </w:r>
          <w:r>
            <w:rPr>
              <w:rStyle w:val="18"/>
            </w:rPr>
            <w:t xml:space="preserve">11 </w:t>
          </w:r>
          <w:r>
            <w:rPr>
              <w:rStyle w:val="18"/>
              <w:rFonts w:hint="eastAsia"/>
            </w:rPr>
            <w:t>照明系统检测</w:t>
          </w:r>
          <w:r>
            <w:tab/>
          </w:r>
          <w:r>
            <w:fldChar w:fldCharType="begin"/>
          </w:r>
          <w:r>
            <w:instrText xml:space="preserve"> PAGEREF _Toc17811216 \h </w:instrText>
          </w:r>
          <w:r>
            <w:fldChar w:fldCharType="separate"/>
          </w:r>
          <w:r>
            <w:t>47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"_Toc17811217" </w:instrText>
          </w:r>
          <w:r>
            <w:fldChar w:fldCharType="separate"/>
          </w:r>
          <w:r>
            <w:rPr>
              <w:rStyle w:val="18"/>
              <w:lang w:val="zh-CN"/>
            </w:rPr>
            <w:t xml:space="preserve">11.1  </w:t>
          </w:r>
          <w:r>
            <w:rPr>
              <w:rStyle w:val="18"/>
              <w:rFonts w:hint="eastAsia"/>
              <w:lang w:val="zh-CN"/>
            </w:rPr>
            <w:t>一般规定</w:t>
          </w:r>
          <w:r>
            <w:tab/>
          </w:r>
          <w:r>
            <w:fldChar w:fldCharType="begin"/>
          </w:r>
          <w:r>
            <w:instrText xml:space="preserve"> PAGEREF _Toc17811217 \h </w:instrText>
          </w:r>
          <w:r>
            <w:fldChar w:fldCharType="separate"/>
          </w:r>
          <w:r>
            <w:t>47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"_Toc17811218" </w:instrText>
          </w:r>
          <w:r>
            <w:fldChar w:fldCharType="separate"/>
          </w:r>
          <w:r>
            <w:rPr>
              <w:rStyle w:val="18"/>
              <w:lang w:val="zh-CN"/>
            </w:rPr>
            <w:t xml:space="preserve">11.2  </w:t>
          </w:r>
          <w:r>
            <w:rPr>
              <w:rStyle w:val="18"/>
              <w:rFonts w:hint="eastAsia"/>
              <w:lang w:val="zh-CN"/>
            </w:rPr>
            <w:t>照度值检测</w:t>
          </w:r>
          <w:r>
            <w:tab/>
          </w:r>
          <w:r>
            <w:fldChar w:fldCharType="begin"/>
          </w:r>
          <w:r>
            <w:instrText xml:space="preserve"> PAGEREF _Toc17811218 \h </w:instrText>
          </w:r>
          <w:r>
            <w:fldChar w:fldCharType="separate"/>
          </w:r>
          <w:r>
            <w:t>47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"_Toc17811219" </w:instrText>
          </w:r>
          <w:r>
            <w:fldChar w:fldCharType="separate"/>
          </w:r>
          <w:r>
            <w:rPr>
              <w:rStyle w:val="18"/>
              <w:lang w:val="zh-CN"/>
            </w:rPr>
            <w:t xml:space="preserve">11.3  </w:t>
          </w:r>
          <w:r>
            <w:rPr>
              <w:rStyle w:val="18"/>
              <w:rFonts w:hint="eastAsia"/>
              <w:lang w:val="zh-CN"/>
            </w:rPr>
            <w:t>照度均匀度检测</w:t>
          </w:r>
          <w:r>
            <w:tab/>
          </w:r>
          <w:r>
            <w:fldChar w:fldCharType="begin"/>
          </w:r>
          <w:r>
            <w:instrText xml:space="preserve"> PAGEREF _Toc17811219 \h </w:instrText>
          </w:r>
          <w:r>
            <w:fldChar w:fldCharType="separate"/>
          </w:r>
          <w:r>
            <w:t>47</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"_Toc17811220" </w:instrText>
          </w:r>
          <w:r>
            <w:fldChar w:fldCharType="separate"/>
          </w:r>
          <w:r>
            <w:rPr>
              <w:rStyle w:val="18"/>
              <w:lang w:val="zh-CN"/>
            </w:rPr>
            <w:t xml:space="preserve">11.4  </w:t>
          </w:r>
          <w:r>
            <w:rPr>
              <w:rStyle w:val="18"/>
              <w:rFonts w:hint="eastAsia"/>
              <w:lang w:val="zh-CN"/>
            </w:rPr>
            <w:t>一般显色指数检测</w:t>
          </w:r>
          <w:r>
            <w:tab/>
          </w:r>
          <w:r>
            <w:fldChar w:fldCharType="begin"/>
          </w:r>
          <w:r>
            <w:instrText xml:space="preserve"> PAGEREF _Toc17811220 \h </w:instrText>
          </w:r>
          <w:r>
            <w:fldChar w:fldCharType="separate"/>
          </w:r>
          <w:r>
            <w:t>48</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"_Toc17811221" </w:instrText>
          </w:r>
          <w:r>
            <w:fldChar w:fldCharType="separate"/>
          </w:r>
          <w:r>
            <w:rPr>
              <w:rStyle w:val="18"/>
              <w:lang w:val="zh-CN"/>
            </w:rPr>
            <w:t xml:space="preserve">11.5  </w:t>
          </w:r>
          <w:r>
            <w:rPr>
              <w:rStyle w:val="18"/>
              <w:rFonts w:hint="eastAsia"/>
              <w:lang w:val="zh-CN"/>
            </w:rPr>
            <w:t>照明功率密度值检测</w:t>
          </w:r>
          <w:r>
            <w:tab/>
          </w:r>
          <w:r>
            <w:fldChar w:fldCharType="begin"/>
          </w:r>
          <w:r>
            <w:instrText xml:space="preserve"> PAGEREF _Toc17811221 \h </w:instrText>
          </w:r>
          <w:r>
            <w:fldChar w:fldCharType="separate"/>
          </w:r>
          <w:r>
            <w:t>48</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"_Toc17811222" </w:instrText>
          </w:r>
          <w:r>
            <w:fldChar w:fldCharType="separate"/>
          </w:r>
          <w:r>
            <w:rPr>
              <w:rStyle w:val="18"/>
              <w:lang w:val="zh-CN"/>
            </w:rPr>
            <w:t xml:space="preserve">11.6  </w:t>
          </w:r>
          <w:r>
            <w:rPr>
              <w:rStyle w:val="18"/>
              <w:rFonts w:hint="eastAsia"/>
              <w:lang w:val="zh-CN"/>
            </w:rPr>
            <w:t>统一眩光值检测</w:t>
          </w:r>
          <w:r>
            <w:tab/>
          </w:r>
          <w:r>
            <w:fldChar w:fldCharType="begin"/>
          </w:r>
          <w:r>
            <w:instrText xml:space="preserve"> PAGEREF _Toc17811222 \h </w:instrText>
          </w:r>
          <w:r>
            <w:fldChar w:fldCharType="separate"/>
          </w:r>
          <w:r>
            <w:t>49</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"_Toc17811223" </w:instrText>
          </w:r>
          <w:r>
            <w:fldChar w:fldCharType="separate"/>
          </w:r>
          <w:r>
            <w:rPr>
              <w:rStyle w:val="18"/>
              <w:lang w:val="zh-CN"/>
            </w:rPr>
            <w:t xml:space="preserve">11.7  </w:t>
          </w:r>
          <w:r>
            <w:rPr>
              <w:rStyle w:val="18"/>
              <w:rFonts w:hint="eastAsia"/>
              <w:lang w:val="zh-CN"/>
            </w:rPr>
            <w:t>公共区照明控制检测</w:t>
          </w:r>
          <w:r>
            <w:tab/>
          </w:r>
          <w:r>
            <w:fldChar w:fldCharType="begin"/>
          </w:r>
          <w:r>
            <w:instrText xml:space="preserve"> PAGEREF _Toc17811223 \h </w:instrText>
          </w:r>
          <w:r>
            <w:fldChar w:fldCharType="separate"/>
          </w:r>
          <w:r>
            <w:t>49</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"_Toc17811224" </w:instrText>
          </w:r>
          <w:r>
            <w:fldChar w:fldCharType="separate"/>
          </w:r>
          <w:r>
            <w:rPr>
              <w:rStyle w:val="18"/>
            </w:rPr>
            <w:t xml:space="preserve">12 </w:t>
          </w:r>
          <w:r>
            <w:rPr>
              <w:rStyle w:val="18"/>
              <w:rFonts w:hint="eastAsia"/>
            </w:rPr>
            <w:t>监测与控制系统性能检测</w:t>
          </w:r>
          <w:r>
            <w:tab/>
          </w:r>
          <w:r>
            <w:fldChar w:fldCharType="begin"/>
          </w:r>
          <w:r>
            <w:instrText xml:space="preserve"> PAGEREF _Toc17811224 \h </w:instrText>
          </w:r>
          <w:r>
            <w:fldChar w:fldCharType="separate"/>
          </w:r>
          <w:r>
            <w:t>50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"_Toc17811225" </w:instrText>
          </w:r>
          <w:r>
            <w:fldChar w:fldCharType="separate"/>
          </w:r>
          <w:r>
            <w:rPr>
              <w:rStyle w:val="18"/>
              <w:lang w:val="zh-CN"/>
            </w:rPr>
            <w:t xml:space="preserve">12.1  </w:t>
          </w:r>
          <w:r>
            <w:rPr>
              <w:rStyle w:val="18"/>
              <w:rFonts w:hint="eastAsia"/>
              <w:lang w:val="zh-CN"/>
            </w:rPr>
            <w:t>一般规定</w:t>
          </w:r>
          <w:r>
            <w:tab/>
          </w:r>
          <w:r>
            <w:fldChar w:fldCharType="begin"/>
          </w:r>
          <w:r>
            <w:instrText xml:space="preserve"> PAGEREF _Toc17811225 \h </w:instrText>
          </w:r>
          <w:r>
            <w:fldChar w:fldCharType="separate"/>
          </w:r>
          <w:r>
            <w:t>50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"_Toc17811226" </w:instrText>
          </w:r>
          <w:r>
            <w:fldChar w:fldCharType="separate"/>
          </w:r>
          <w:r>
            <w:rPr>
              <w:rStyle w:val="18"/>
              <w:lang w:val="zh-CN"/>
            </w:rPr>
            <w:t xml:space="preserve">12.2  </w:t>
          </w:r>
          <w:r>
            <w:rPr>
              <w:rStyle w:val="18"/>
              <w:rFonts w:hint="eastAsia"/>
              <w:lang w:val="zh-CN"/>
            </w:rPr>
            <w:t>活动外遮阳监控性能检查</w:t>
          </w:r>
          <w:r>
            <w:tab/>
          </w:r>
          <w:r>
            <w:fldChar w:fldCharType="begin"/>
          </w:r>
          <w:r>
            <w:instrText xml:space="preserve"> PAGEREF _Toc17811226 \h </w:instrText>
          </w:r>
          <w:r>
            <w:fldChar w:fldCharType="separate"/>
          </w:r>
          <w:r>
            <w:t>50</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"_Toc17811227" </w:instrText>
          </w:r>
          <w:r>
            <w:fldChar w:fldCharType="separate"/>
          </w:r>
          <w:r>
            <w:rPr>
              <w:rStyle w:val="18"/>
              <w:lang w:val="zh-CN"/>
            </w:rPr>
            <w:t xml:space="preserve">12.3  </w:t>
          </w:r>
          <w:r>
            <w:rPr>
              <w:rStyle w:val="18"/>
              <w:rFonts w:hint="eastAsia"/>
              <w:lang w:val="zh-CN"/>
            </w:rPr>
            <w:t>送（回）风温度及湿度监控功能检测</w:t>
          </w:r>
          <w:r>
            <w:tab/>
          </w:r>
          <w:r>
            <w:fldChar w:fldCharType="begin"/>
          </w:r>
          <w:r>
            <w:instrText xml:space="preserve"> PAGEREF _Toc17811227 \h </w:instrText>
          </w:r>
          <w:r>
            <w:fldChar w:fldCharType="separate"/>
          </w:r>
          <w:r>
            <w:t>51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"_Toc17811228" </w:instrText>
          </w:r>
          <w:r>
            <w:fldChar w:fldCharType="separate"/>
          </w:r>
          <w:r>
            <w:rPr>
              <w:rStyle w:val="18"/>
              <w:lang w:val="zh-CN"/>
            </w:rPr>
            <w:t xml:space="preserve">12.4  </w:t>
          </w:r>
          <w:r>
            <w:rPr>
              <w:rStyle w:val="18"/>
              <w:rFonts w:hint="eastAsia"/>
              <w:lang w:val="zh-CN"/>
            </w:rPr>
            <w:t>空调冷源水系统压差控制功能检测</w:t>
          </w:r>
          <w:r>
            <w:tab/>
          </w:r>
          <w:r>
            <w:fldChar w:fldCharType="begin"/>
          </w:r>
          <w:r>
            <w:instrText xml:space="preserve"> PAGEREF _Toc17811228 \h </w:instrText>
          </w:r>
          <w:r>
            <w:fldChar w:fldCharType="separate"/>
          </w:r>
          <w:r>
            <w:t>51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"_Toc17811229" </w:instrText>
          </w:r>
          <w:r>
            <w:fldChar w:fldCharType="separate"/>
          </w:r>
          <w:r>
            <w:rPr>
              <w:rStyle w:val="18"/>
              <w:lang w:val="zh-CN"/>
            </w:rPr>
            <w:t xml:space="preserve">12.5  </w:t>
          </w:r>
          <w:r>
            <w:rPr>
              <w:rStyle w:val="18"/>
              <w:rFonts w:hint="eastAsia"/>
              <w:lang w:val="zh-CN"/>
            </w:rPr>
            <w:t>风机盘管变水量控制性能检测</w:t>
          </w:r>
          <w:r>
            <w:tab/>
          </w:r>
          <w:r>
            <w:fldChar w:fldCharType="begin"/>
          </w:r>
          <w:r>
            <w:instrText xml:space="preserve"> PAGEREF _Toc17811229 \h </w:instrText>
          </w:r>
          <w:r>
            <w:fldChar w:fldCharType="separate"/>
          </w:r>
          <w:r>
            <w:t>51</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"_Toc17811230" </w:instrText>
          </w:r>
          <w:r>
            <w:fldChar w:fldCharType="separate"/>
          </w:r>
          <w:r>
            <w:rPr>
              <w:rStyle w:val="18"/>
              <w:lang w:val="zh-CN"/>
            </w:rPr>
            <w:t xml:space="preserve">12.6  </w:t>
          </w:r>
          <w:r>
            <w:rPr>
              <w:rStyle w:val="18"/>
              <w:rFonts w:hint="eastAsia"/>
              <w:lang w:val="zh-CN"/>
            </w:rPr>
            <w:t>照明及动力设备监控性能检测</w:t>
          </w:r>
          <w:r>
            <w:tab/>
          </w:r>
          <w:r>
            <w:fldChar w:fldCharType="begin"/>
          </w:r>
          <w:r>
            <w:instrText xml:space="preserve"> PAGEREF _Toc17811230 \h </w:instrText>
          </w:r>
          <w:r>
            <w:fldChar w:fldCharType="separate"/>
          </w:r>
          <w:r>
            <w:t>52</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"_Toc17811231" </w:instrText>
          </w:r>
          <w:r>
            <w:fldChar w:fldCharType="separate"/>
          </w:r>
          <w:r>
            <w:rPr>
              <w:rStyle w:val="18"/>
            </w:rPr>
            <w:t xml:space="preserve">13  </w:t>
          </w:r>
          <w:r>
            <w:rPr>
              <w:rStyle w:val="18"/>
              <w:rFonts w:hint="eastAsia"/>
            </w:rPr>
            <w:t>太阳能系统检测</w:t>
          </w:r>
          <w:r>
            <w:tab/>
          </w:r>
          <w:r>
            <w:fldChar w:fldCharType="begin"/>
          </w:r>
          <w:r>
            <w:instrText xml:space="preserve"> PAGEREF _Toc17811231 \h </w:instrText>
          </w:r>
          <w:r>
            <w:fldChar w:fldCharType="separate"/>
          </w:r>
          <w:r>
            <w:t>53</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"_Toc17811232" </w:instrText>
          </w:r>
          <w:r>
            <w:fldChar w:fldCharType="separate"/>
          </w:r>
          <w:r>
            <w:rPr>
              <w:rStyle w:val="18"/>
            </w:rPr>
            <w:t xml:space="preserve">13.1  </w:t>
          </w:r>
          <w:r>
            <w:rPr>
              <w:rStyle w:val="18"/>
              <w:rFonts w:hint="eastAsia"/>
            </w:rPr>
            <w:t>一般规定</w:t>
          </w:r>
          <w:r>
            <w:tab/>
          </w:r>
          <w:r>
            <w:fldChar w:fldCharType="begin"/>
          </w:r>
          <w:r>
            <w:instrText xml:space="preserve"> PAGEREF _Toc17811232 \h </w:instrText>
          </w:r>
          <w:r>
            <w:fldChar w:fldCharType="separate"/>
          </w:r>
          <w:r>
            <w:t>53</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"_Toc17811233" </w:instrText>
          </w:r>
          <w:r>
            <w:fldChar w:fldCharType="separate"/>
          </w:r>
          <w:r>
            <w:rPr>
              <w:rStyle w:val="18"/>
            </w:rPr>
            <w:t xml:space="preserve">13.2  </w:t>
          </w:r>
          <w:r>
            <w:rPr>
              <w:rStyle w:val="18"/>
              <w:rFonts w:hint="eastAsia"/>
            </w:rPr>
            <w:t>太阳能集热系统效率检测</w:t>
          </w:r>
          <w:r>
            <w:tab/>
          </w:r>
          <w:r>
            <w:fldChar w:fldCharType="begin"/>
          </w:r>
          <w:r>
            <w:instrText xml:space="preserve"> PAGEREF _Toc17811233 \h </w:instrText>
          </w:r>
          <w:r>
            <w:fldChar w:fldCharType="separate"/>
          </w:r>
          <w:r>
            <w:t>53</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"_Toc17811234" </w:instrText>
          </w:r>
          <w:r>
            <w:fldChar w:fldCharType="separate"/>
          </w:r>
          <w:r>
            <w:rPr>
              <w:rStyle w:val="18"/>
            </w:rPr>
            <w:t xml:space="preserve">13.3  </w:t>
          </w:r>
          <w:r>
            <w:rPr>
              <w:rStyle w:val="18"/>
              <w:rFonts w:hint="eastAsia"/>
            </w:rPr>
            <w:t>太阳能贮热水箱热损因数检测</w:t>
          </w:r>
          <w:r>
            <w:tab/>
          </w:r>
          <w:r>
            <w:fldChar w:fldCharType="begin"/>
          </w:r>
          <w:r>
            <w:instrText xml:space="preserve"> PAGEREF _Toc17811234 \h </w:instrText>
          </w:r>
          <w:r>
            <w:fldChar w:fldCharType="separate"/>
          </w:r>
          <w:r>
            <w:t>54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"_Toc17811235" </w:instrText>
          </w:r>
          <w:r>
            <w:fldChar w:fldCharType="separate"/>
          </w:r>
          <w:r>
            <w:rPr>
              <w:rStyle w:val="18"/>
            </w:rPr>
            <w:t xml:space="preserve">13.4  </w:t>
          </w:r>
          <w:r>
            <w:rPr>
              <w:rStyle w:val="18"/>
              <w:rFonts w:hint="eastAsia"/>
            </w:rPr>
            <w:t>太阳能供热水温度检测</w:t>
          </w:r>
          <w:r>
            <w:tab/>
          </w:r>
          <w:r>
            <w:fldChar w:fldCharType="begin"/>
          </w:r>
          <w:r>
            <w:instrText xml:space="preserve"> PAGEREF _Toc17811235 \h </w:instrText>
          </w:r>
          <w:r>
            <w:fldChar w:fldCharType="separate"/>
          </w:r>
          <w:r>
            <w:t>54</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"_Toc17811236" </w:instrText>
          </w:r>
          <w:r>
            <w:fldChar w:fldCharType="separate"/>
          </w:r>
          <w:r>
            <w:rPr>
              <w:rStyle w:val="18"/>
            </w:rPr>
            <w:t xml:space="preserve">13.5  </w:t>
          </w:r>
          <w:r>
            <w:rPr>
              <w:rStyle w:val="18"/>
              <w:rFonts w:hint="eastAsia"/>
            </w:rPr>
            <w:t>太阳能光伏系统光电转换效率检测</w:t>
          </w:r>
          <w:r>
            <w:tab/>
          </w:r>
          <w:r>
            <w:fldChar w:fldCharType="begin"/>
          </w:r>
          <w:r>
            <w:instrText xml:space="preserve"> PAGEREF _Toc17811236 \h </w:instrText>
          </w:r>
          <w:r>
            <w:fldChar w:fldCharType="separate"/>
          </w:r>
          <w:r>
            <w:t>55</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"_Toc17811237" </w:instrText>
          </w:r>
          <w:r>
            <w:fldChar w:fldCharType="separate"/>
          </w:r>
          <w:r>
            <w:rPr>
              <w:rStyle w:val="18"/>
            </w:rPr>
            <w:t xml:space="preserve">14  </w:t>
          </w:r>
          <w:r>
            <w:rPr>
              <w:rStyle w:val="18"/>
              <w:rFonts w:hint="eastAsia"/>
            </w:rPr>
            <w:t>地源热泵系统检测</w:t>
          </w:r>
          <w:r>
            <w:tab/>
          </w:r>
          <w:r>
            <w:fldChar w:fldCharType="begin"/>
          </w:r>
          <w:r>
            <w:instrText xml:space="preserve"> PAGEREF _Toc17811237 \h </w:instrText>
          </w:r>
          <w:r>
            <w:fldChar w:fldCharType="separate"/>
          </w:r>
          <w:r>
            <w:t>56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"_Toc17811238" </w:instrText>
          </w:r>
          <w:r>
            <w:fldChar w:fldCharType="separate"/>
          </w:r>
          <w:r>
            <w:rPr>
              <w:rStyle w:val="18"/>
            </w:rPr>
            <w:t xml:space="preserve">14.1  </w:t>
          </w:r>
          <w:r>
            <w:rPr>
              <w:rStyle w:val="18"/>
              <w:rFonts w:hint="eastAsia"/>
            </w:rPr>
            <w:t>一般规定</w:t>
          </w:r>
          <w:r>
            <w:tab/>
          </w:r>
          <w:r>
            <w:fldChar w:fldCharType="begin"/>
          </w:r>
          <w:r>
            <w:instrText xml:space="preserve"> PAGEREF _Toc17811238 \h </w:instrText>
          </w:r>
          <w:r>
            <w:fldChar w:fldCharType="separate"/>
          </w:r>
          <w:r>
            <w:t>56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"_Toc17811239" </w:instrText>
          </w:r>
          <w:r>
            <w:fldChar w:fldCharType="separate"/>
          </w:r>
          <w:r>
            <w:rPr>
              <w:rStyle w:val="18"/>
            </w:rPr>
            <w:t xml:space="preserve">14.2  </w:t>
          </w:r>
          <w:r>
            <w:rPr>
              <w:rStyle w:val="18"/>
              <w:rFonts w:hint="eastAsia"/>
            </w:rPr>
            <w:t>热泵机组制热性能系数、制冷能效比检测</w:t>
          </w:r>
          <w:r>
            <w:tab/>
          </w:r>
          <w:r>
            <w:fldChar w:fldCharType="begin"/>
          </w:r>
          <w:r>
            <w:instrText xml:space="preserve"> PAGEREF _Toc17811239 \h </w:instrText>
          </w:r>
          <w:r>
            <w:fldChar w:fldCharType="separate"/>
          </w:r>
          <w:r>
            <w:t>56</w:t>
          </w:r>
          <w:r>
            <w:fldChar w:fldCharType="end"/>
          </w:r>
          <w:r>
            <w:fldChar w:fldCharType="end"/>
          </w:r>
        </w:p>
        <w:p>
          <w:pPr>
            <w:pStyle w:val="15"/>
            <w:tabs>
              <w:tab w:val="right" w:leader="dot" w:pos="8296"/>
            </w:tabs>
            <w:rPr>
              <w:rFonts w:asciiTheme="minorHAnsi" w:hAnsiTheme="minorHAnsi" w:eastAsiaTheme="minorEastAsia" w:cstheme="minorBidi"/>
              <w:szCs w:val="22"/>
            </w:rPr>
          </w:pPr>
          <w:r>
            <w:fldChar w:fldCharType="begin"/>
          </w:r>
          <w:r>
            <w:instrText xml:space="preserve"> HYPERLINK \l "_Toc17811240" </w:instrText>
          </w:r>
          <w:r>
            <w:fldChar w:fldCharType="separate"/>
          </w:r>
          <w:r>
            <w:rPr>
              <w:rStyle w:val="18"/>
            </w:rPr>
            <w:t xml:space="preserve">14.3  </w:t>
          </w:r>
          <w:r>
            <w:rPr>
              <w:rStyle w:val="18"/>
              <w:rFonts w:hint="eastAsia"/>
            </w:rPr>
            <w:t>热泵系统制热性能系数、制冷能效比检测</w:t>
          </w:r>
          <w:r>
            <w:tab/>
          </w:r>
          <w:r>
            <w:fldChar w:fldCharType="begin"/>
          </w:r>
          <w:r>
            <w:instrText xml:space="preserve"> PAGEREF _Toc17811240 \h </w:instrText>
          </w:r>
          <w:r>
            <w:fldChar w:fldCharType="separate"/>
          </w:r>
          <w:r>
            <w:t>57</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"_Toc17811241" </w:instrText>
          </w:r>
          <w:r>
            <w:fldChar w:fldCharType="separate"/>
          </w:r>
          <w:r>
            <w:rPr>
              <w:rStyle w:val="18"/>
              <w:rFonts w:hint="eastAsia"/>
            </w:rPr>
            <w:t>附录</w:t>
          </w:r>
          <w:r>
            <w:rPr>
              <w:rStyle w:val="18"/>
            </w:rPr>
            <w:t xml:space="preserve">A  </w:t>
          </w:r>
          <w:r>
            <w:rPr>
              <w:rStyle w:val="18"/>
              <w:rFonts w:hint="eastAsia"/>
            </w:rPr>
            <w:t>中空玻璃密封性能检测方法</w:t>
          </w:r>
          <w:r>
            <w:tab/>
          </w:r>
          <w:r>
            <w:fldChar w:fldCharType="begin"/>
          </w:r>
          <w:r>
            <w:instrText xml:space="preserve"> PAGEREF _Toc17811241 \h </w:instrText>
          </w:r>
          <w:r>
            <w:fldChar w:fldCharType="separate"/>
          </w:r>
          <w:r>
            <w:t>58</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"_Toc17811242" </w:instrText>
          </w:r>
          <w:r>
            <w:fldChar w:fldCharType="separate"/>
          </w:r>
          <w:r>
            <w:rPr>
              <w:rStyle w:val="18"/>
              <w:rFonts w:hint="eastAsia"/>
            </w:rPr>
            <w:t>附录</w:t>
          </w:r>
          <w:r>
            <w:rPr>
              <w:rStyle w:val="18"/>
            </w:rPr>
            <w:t xml:space="preserve">B </w:t>
          </w:r>
          <w:r>
            <w:rPr>
              <w:rStyle w:val="18"/>
              <w:rFonts w:hint="eastAsia"/>
            </w:rPr>
            <w:t>玻璃光学热工性能现场检测方法</w:t>
          </w:r>
          <w:r>
            <w:tab/>
          </w:r>
          <w:r>
            <w:fldChar w:fldCharType="begin"/>
          </w:r>
          <w:r>
            <w:instrText xml:space="preserve"> PAGEREF _Toc17811242 \h </w:instrText>
          </w:r>
          <w:r>
            <w:fldChar w:fldCharType="separate"/>
          </w:r>
          <w:r>
            <w:t>60</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"_Toc17811243" </w:instrText>
          </w:r>
          <w:r>
            <w:fldChar w:fldCharType="separate"/>
          </w:r>
          <w:r>
            <w:rPr>
              <w:rStyle w:val="18"/>
              <w:rFonts w:hint="eastAsia"/>
            </w:rPr>
            <w:t>附录</w:t>
          </w:r>
          <w:r>
            <w:rPr>
              <w:rStyle w:val="18"/>
            </w:rPr>
            <w:t xml:space="preserve">C  </w:t>
          </w:r>
          <w:r>
            <w:rPr>
              <w:rStyle w:val="18"/>
              <w:rFonts w:hint="eastAsia"/>
            </w:rPr>
            <w:t>保温板粘贴面积比现场剥离检测方法</w:t>
          </w:r>
          <w:r>
            <w:tab/>
          </w:r>
          <w:r>
            <w:fldChar w:fldCharType="begin"/>
          </w:r>
          <w:r>
            <w:instrText xml:space="preserve"> PAGEREF _Toc17811243 \h </w:instrText>
          </w:r>
          <w:r>
            <w:fldChar w:fldCharType="separate"/>
          </w:r>
          <w:r>
            <w:t>63</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"_Toc17811244" </w:instrText>
          </w:r>
          <w:r>
            <w:fldChar w:fldCharType="separate"/>
          </w:r>
          <w:r>
            <w:rPr>
              <w:rStyle w:val="18"/>
              <w:rFonts w:hint="eastAsia"/>
            </w:rPr>
            <w:t>附录</w:t>
          </w:r>
          <w:r>
            <w:rPr>
              <w:rStyle w:val="18"/>
            </w:rPr>
            <w:t xml:space="preserve">D  </w:t>
          </w:r>
          <w:r>
            <w:rPr>
              <w:rStyle w:val="18"/>
              <w:rFonts w:hint="eastAsia"/>
            </w:rPr>
            <w:t>保温板与基层的拉伸粘结强度现场拉拔检测方法</w:t>
          </w:r>
          <w:r>
            <w:tab/>
          </w:r>
          <w:r>
            <w:fldChar w:fldCharType="begin"/>
          </w:r>
          <w:r>
            <w:instrText xml:space="preserve"> PAGEREF _Toc17811244 \h </w:instrText>
          </w:r>
          <w:r>
            <w:fldChar w:fldCharType="separate"/>
          </w:r>
          <w:r>
            <w:t>64</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"_Toc17811245" </w:instrText>
          </w:r>
          <w:r>
            <w:fldChar w:fldCharType="separate"/>
          </w:r>
          <w:r>
            <w:rPr>
              <w:rStyle w:val="18"/>
              <w:rFonts w:hint="eastAsia"/>
            </w:rPr>
            <w:t>附录</w:t>
          </w:r>
          <w:r>
            <w:rPr>
              <w:rStyle w:val="18"/>
            </w:rPr>
            <w:t xml:space="preserve">E  </w:t>
          </w:r>
          <w:r>
            <w:rPr>
              <w:rStyle w:val="18"/>
              <w:rFonts w:hint="eastAsia"/>
            </w:rPr>
            <w:t>保温砂浆导热系数、干密度、抗压强度同条件养护检测方法</w:t>
          </w:r>
          <w:r>
            <w:tab/>
          </w:r>
          <w:r>
            <w:fldChar w:fldCharType="begin"/>
          </w:r>
          <w:r>
            <w:instrText xml:space="preserve"> PAGEREF _Toc17811245 \h </w:instrText>
          </w:r>
          <w:r>
            <w:fldChar w:fldCharType="separate"/>
          </w:r>
          <w:r>
            <w:t>66</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"_Toc17811246" </w:instrText>
          </w:r>
          <w:r>
            <w:fldChar w:fldCharType="separate"/>
          </w:r>
          <w:r>
            <w:rPr>
              <w:rStyle w:val="18"/>
              <w:rFonts w:hint="eastAsia"/>
            </w:rPr>
            <w:t>附录</w:t>
          </w:r>
          <w:r>
            <w:rPr>
              <w:rStyle w:val="18"/>
            </w:rPr>
            <w:t xml:space="preserve">F  </w:t>
          </w:r>
          <w:r>
            <w:rPr>
              <w:rStyle w:val="18"/>
              <w:rFonts w:hint="eastAsia"/>
            </w:rPr>
            <w:t>外墙节能构造钻芯检测方法</w:t>
          </w:r>
          <w:r>
            <w:tab/>
          </w:r>
          <w:r>
            <w:fldChar w:fldCharType="begin"/>
          </w:r>
          <w:r>
            <w:instrText xml:space="preserve"> PAGEREF _Toc17811246 \h </w:instrText>
          </w:r>
          <w:r>
            <w:fldChar w:fldCharType="separate"/>
          </w:r>
          <w:r>
            <w:t>67</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"_Toc17811247" </w:instrText>
          </w:r>
          <w:r>
            <w:fldChar w:fldCharType="separate"/>
          </w:r>
          <w:r>
            <w:rPr>
              <w:rStyle w:val="18"/>
              <w:rFonts w:hint="eastAsia"/>
            </w:rPr>
            <w:t>本标准用词说明</w:t>
          </w:r>
          <w:r>
            <w:tab/>
          </w:r>
          <w:r>
            <w:fldChar w:fldCharType="begin"/>
          </w:r>
          <w:r>
            <w:instrText xml:space="preserve"> PAGEREF _Toc17811247 \h </w:instrText>
          </w:r>
          <w:r>
            <w:fldChar w:fldCharType="separate"/>
          </w:r>
          <w:r>
            <w:t>68</w:t>
          </w:r>
          <w:r>
            <w:fldChar w:fldCharType="end"/>
          </w:r>
          <w:r>
            <w:fldChar w:fldCharType="end"/>
          </w:r>
        </w:p>
        <w:p>
          <w:pPr>
            <w:pStyle w:val="12"/>
            <w:tabs>
              <w:tab w:val="right" w:leader="dot" w:pos="8296"/>
            </w:tabs>
            <w:rPr>
              <w:rFonts w:asciiTheme="minorHAnsi" w:hAnsiTheme="minorHAnsi" w:eastAsiaTheme="minorEastAsia" w:cstheme="minorBidi"/>
              <w:szCs w:val="22"/>
            </w:rPr>
          </w:pPr>
          <w:r>
            <w:fldChar w:fldCharType="begin"/>
          </w:r>
          <w:r>
            <w:instrText xml:space="preserve"> HYPERLINK \l "_Toc17811248" </w:instrText>
          </w:r>
          <w:r>
            <w:fldChar w:fldCharType="separate"/>
          </w:r>
          <w:r>
            <w:rPr>
              <w:rStyle w:val="18"/>
              <w:rFonts w:hint="eastAsia"/>
            </w:rPr>
            <w:t>引用标准名录</w:t>
          </w:r>
          <w:r>
            <w:tab/>
          </w:r>
          <w:r>
            <w:fldChar w:fldCharType="begin"/>
          </w:r>
          <w:r>
            <w:instrText xml:space="preserve"> PAGEREF _Toc17811248 \h </w:instrText>
          </w:r>
          <w:r>
            <w:fldChar w:fldCharType="separate"/>
          </w:r>
          <w:r>
            <w:t>69</w:t>
          </w:r>
          <w:r>
            <w:fldChar w:fldCharType="end"/>
          </w:r>
          <w:r>
            <w:fldChar w:fldCharType="end"/>
          </w:r>
        </w:p>
        <w:p>
          <w:r>
            <w:rPr>
              <w:b/>
              <w:bCs/>
              <w:lang w:val="zh-CN"/>
            </w:rPr>
            <w:fldChar w:fldCharType="end"/>
          </w:r>
        </w:p>
      </w:sdtContent>
    </w:sdt>
    <w:p>
      <w:pPr>
        <w:ind w:firstLine="422" w:firstLineChars="200"/>
        <w:rPr>
          <w:b/>
          <w:bCs/>
          <w:lang w:val="zh-CN"/>
        </w:rPr>
      </w:pPr>
    </w:p>
    <w:p>
      <w:pPr>
        <w:ind w:firstLine="422" w:firstLineChars="200"/>
        <w:rPr>
          <w:b/>
          <w:bCs/>
          <w:lang w:val="zh-CN"/>
        </w:rPr>
      </w:pPr>
    </w:p>
    <w:p>
      <w:pPr>
        <w:widowControl/>
        <w:jc w:val="left"/>
        <w:rPr>
          <w:b/>
          <w:sz w:val="32"/>
        </w:rPr>
      </w:pPr>
      <w:r>
        <w:rPr>
          <w:b/>
          <w:sz w:val="32"/>
        </w:rPr>
        <w:br w:type="page"/>
      </w:r>
    </w:p>
    <w:p>
      <w:pPr>
        <w:widowControl/>
        <w:jc w:val="center"/>
        <w:rPr>
          <w:b/>
          <w:sz w:val="40"/>
          <w:szCs w:val="40"/>
        </w:rPr>
      </w:pPr>
      <w:r>
        <w:rPr>
          <w:b/>
          <w:sz w:val="40"/>
          <w:szCs w:val="40"/>
        </w:rPr>
        <w:t>Contents</w:t>
      </w:r>
    </w:p>
    <w:p>
      <w:pPr>
        <w:widowControl/>
        <w:jc w:val="center"/>
        <w:rPr>
          <w:b/>
          <w:sz w:val="40"/>
          <w:szCs w:val="40"/>
        </w:rPr>
      </w:pPr>
    </w:p>
    <w:p>
      <w:pPr>
        <w:widowControl/>
        <w:spacing w:line="300" w:lineRule="auto"/>
        <w:jc w:val="left"/>
        <w:rPr>
          <w:sz w:val="24"/>
        </w:rPr>
      </w:pPr>
      <w:r>
        <w:rPr>
          <w:sz w:val="24"/>
        </w:rPr>
        <w:t>1</w:t>
      </w:r>
      <w:r>
        <w:rPr>
          <w:rFonts w:hint="eastAsia"/>
          <w:sz w:val="24"/>
        </w:rPr>
        <w:t xml:space="preserve">  </w:t>
      </w:r>
      <w:r>
        <w:rPr>
          <w:sz w:val="24"/>
        </w:rPr>
        <w:t>General Provisions……………………………………………………………</w:t>
      </w:r>
      <w:r>
        <w:rPr>
          <w:rFonts w:hint="eastAsia"/>
          <w:sz w:val="24"/>
        </w:rPr>
        <w:t>...</w:t>
      </w:r>
      <w:r>
        <w:rPr>
          <w:sz w:val="24"/>
        </w:rPr>
        <w:t>…</w:t>
      </w:r>
      <w:r>
        <w:rPr>
          <w:rFonts w:hint="eastAsia"/>
          <w:sz w:val="24"/>
        </w:rPr>
        <w:t>1</w:t>
      </w:r>
    </w:p>
    <w:p>
      <w:pPr>
        <w:widowControl/>
        <w:spacing w:line="300" w:lineRule="auto"/>
        <w:jc w:val="left"/>
        <w:rPr>
          <w:sz w:val="24"/>
        </w:rPr>
      </w:pPr>
      <w:r>
        <w:rPr>
          <w:rFonts w:hint="eastAsia"/>
          <w:sz w:val="24"/>
        </w:rPr>
        <w:t xml:space="preserve">2  Terms </w:t>
      </w:r>
      <w:r>
        <w:rPr>
          <w:sz w:val="24"/>
        </w:rPr>
        <w:t>……………………………………………</w:t>
      </w:r>
      <w:r>
        <w:rPr>
          <w:rFonts w:hint="eastAsia"/>
          <w:sz w:val="24"/>
        </w:rPr>
        <w:t>.</w:t>
      </w:r>
      <w:r>
        <w:rPr>
          <w:sz w:val="24"/>
        </w:rPr>
        <w:t>…………………………</w:t>
      </w:r>
      <w:r>
        <w:rPr>
          <w:rFonts w:hint="eastAsia"/>
          <w:sz w:val="24"/>
        </w:rPr>
        <w:t>.</w:t>
      </w:r>
      <w:r>
        <w:rPr>
          <w:sz w:val="24"/>
        </w:rPr>
        <w:t>…</w:t>
      </w:r>
      <w:r>
        <w:rPr>
          <w:rFonts w:hint="eastAsia"/>
          <w:sz w:val="24"/>
        </w:rPr>
        <w:t>.</w:t>
      </w:r>
      <w:r>
        <w:rPr>
          <w:sz w:val="24"/>
        </w:rPr>
        <w:t>…</w:t>
      </w:r>
      <w:r>
        <w:rPr>
          <w:rFonts w:hint="eastAsia"/>
          <w:sz w:val="24"/>
        </w:rPr>
        <w:t>2</w:t>
      </w:r>
    </w:p>
    <w:p>
      <w:pPr>
        <w:widowControl/>
        <w:spacing w:line="300" w:lineRule="auto"/>
        <w:jc w:val="left"/>
        <w:rPr>
          <w:sz w:val="24"/>
        </w:rPr>
      </w:pPr>
      <w:r>
        <w:rPr>
          <w:sz w:val="24"/>
        </w:rPr>
        <w:t xml:space="preserve">3 </w:t>
      </w:r>
      <w:r>
        <w:rPr>
          <w:rFonts w:hint="eastAsia"/>
          <w:sz w:val="24"/>
        </w:rPr>
        <w:t xml:space="preserve"> </w:t>
      </w:r>
      <w:r>
        <w:rPr>
          <w:sz w:val="24"/>
        </w:rPr>
        <w:t>Basic Requirements………………………………………………</w:t>
      </w:r>
      <w:r>
        <w:rPr>
          <w:rFonts w:hint="eastAsia"/>
          <w:sz w:val="24"/>
        </w:rPr>
        <w:t>.</w:t>
      </w:r>
      <w:r>
        <w:rPr>
          <w:sz w:val="24"/>
        </w:rPr>
        <w:t>………………</w:t>
      </w:r>
      <w:r>
        <w:rPr>
          <w:rFonts w:hint="eastAsia"/>
          <w:sz w:val="24"/>
        </w:rPr>
        <w:t>.3</w:t>
      </w:r>
    </w:p>
    <w:p>
      <w:pPr>
        <w:widowControl/>
        <w:spacing w:line="300" w:lineRule="auto"/>
        <w:jc w:val="left"/>
        <w:rPr>
          <w:sz w:val="24"/>
        </w:rPr>
      </w:pPr>
      <w:r>
        <w:rPr>
          <w:rFonts w:hint="eastAsia"/>
          <w:sz w:val="24"/>
        </w:rPr>
        <w:t xml:space="preserve">4  </w:t>
      </w:r>
      <w:r>
        <w:rPr>
          <w:sz w:val="24"/>
        </w:rPr>
        <w:t xml:space="preserve">Outdoor </w:t>
      </w:r>
      <w:r>
        <w:rPr>
          <w:rFonts w:hint="eastAsia"/>
          <w:sz w:val="24"/>
        </w:rPr>
        <w:t>E</w:t>
      </w:r>
      <w:r>
        <w:rPr>
          <w:sz w:val="24"/>
        </w:rPr>
        <w:t>nvironment</w:t>
      </w:r>
      <w:r>
        <w:rPr>
          <w:rFonts w:hint="eastAsia"/>
          <w:sz w:val="24"/>
        </w:rPr>
        <w:t xml:space="preserve"> Test</w:t>
      </w:r>
      <w:r>
        <w:rPr>
          <w:sz w:val="24"/>
        </w:rPr>
        <w:t>………………………………………………………</w:t>
      </w:r>
      <w:r>
        <w:rPr>
          <w:rFonts w:hint="eastAsia"/>
          <w:sz w:val="24"/>
        </w:rPr>
        <w:t>...4</w:t>
      </w:r>
    </w:p>
    <w:p>
      <w:pPr>
        <w:widowControl/>
        <w:spacing w:line="300" w:lineRule="auto"/>
        <w:ind w:firstLine="210" w:firstLineChars="100"/>
        <w:jc w:val="left"/>
        <w:rPr>
          <w:szCs w:val="21"/>
        </w:rPr>
      </w:pPr>
      <w:r>
        <w:rPr>
          <w:rFonts w:hint="eastAsia"/>
          <w:szCs w:val="21"/>
        </w:rPr>
        <w:t>4.1  Ge</w:t>
      </w:r>
      <w:r>
        <w:rPr>
          <w:szCs w:val="21"/>
        </w:rPr>
        <w:t>nera1</w:t>
      </w:r>
      <w:r>
        <w:rPr>
          <w:rFonts w:hint="eastAsia"/>
          <w:szCs w:val="21"/>
        </w:rPr>
        <w:t xml:space="preserve"> </w:t>
      </w:r>
      <w:r>
        <w:rPr>
          <w:szCs w:val="21"/>
        </w:rPr>
        <w:t>Requirements……………………………………………………………</w:t>
      </w:r>
      <w:r>
        <w:rPr>
          <w:rFonts w:hint="eastAsia"/>
          <w:szCs w:val="21"/>
        </w:rPr>
        <w:t>..</w:t>
      </w:r>
      <w:r>
        <w:rPr>
          <w:szCs w:val="21"/>
        </w:rPr>
        <w:t>…</w:t>
      </w:r>
      <w:r>
        <w:rPr>
          <w:rFonts w:hint="eastAsia"/>
          <w:szCs w:val="21"/>
        </w:rPr>
        <w:t>.</w:t>
      </w:r>
      <w:r>
        <w:rPr>
          <w:szCs w:val="21"/>
        </w:rPr>
        <w:t>…</w:t>
      </w:r>
      <w:r>
        <w:rPr>
          <w:rFonts w:hint="eastAsia"/>
          <w:szCs w:val="21"/>
        </w:rPr>
        <w:t>...4</w:t>
      </w:r>
    </w:p>
    <w:p>
      <w:pPr>
        <w:widowControl/>
        <w:spacing w:line="300" w:lineRule="auto"/>
        <w:ind w:firstLine="210" w:firstLineChars="100"/>
        <w:jc w:val="left"/>
        <w:rPr>
          <w:szCs w:val="21"/>
        </w:rPr>
      </w:pPr>
      <w:r>
        <w:rPr>
          <w:szCs w:val="21"/>
        </w:rPr>
        <w:t>4.2  Radon Concentration Measurement on Construction Sites………………………</w:t>
      </w:r>
      <w:r>
        <w:rPr>
          <w:rFonts w:hint="eastAsia"/>
          <w:szCs w:val="21"/>
        </w:rPr>
        <w:t>..</w:t>
      </w:r>
      <w:r>
        <w:rPr>
          <w:szCs w:val="21"/>
        </w:rPr>
        <w:t>…</w:t>
      </w:r>
      <w:r>
        <w:rPr>
          <w:rFonts w:hint="eastAsia"/>
          <w:szCs w:val="21"/>
        </w:rPr>
        <w:t>.</w:t>
      </w:r>
      <w:r>
        <w:rPr>
          <w:szCs w:val="21"/>
        </w:rPr>
        <w:t>…</w:t>
      </w:r>
      <w:r>
        <w:rPr>
          <w:rFonts w:hint="eastAsia"/>
          <w:szCs w:val="21"/>
        </w:rPr>
        <w:t>...4</w:t>
      </w:r>
    </w:p>
    <w:p>
      <w:pPr>
        <w:widowControl/>
        <w:spacing w:line="300" w:lineRule="auto"/>
        <w:ind w:firstLine="210" w:firstLineChars="100"/>
        <w:jc w:val="left"/>
        <w:rPr>
          <w:szCs w:val="21"/>
        </w:rPr>
      </w:pPr>
      <w:r>
        <w:rPr>
          <w:szCs w:val="21"/>
        </w:rPr>
        <w:t>4.3  Electromagnetic Radiation Monitoring on Construction Sites………………………</w:t>
      </w:r>
      <w:r>
        <w:rPr>
          <w:rFonts w:hint="eastAsia"/>
          <w:szCs w:val="21"/>
        </w:rPr>
        <w:t>..</w:t>
      </w:r>
      <w:r>
        <w:rPr>
          <w:szCs w:val="21"/>
        </w:rPr>
        <w:t>…</w:t>
      </w:r>
      <w:r>
        <w:rPr>
          <w:rFonts w:hint="eastAsia"/>
          <w:szCs w:val="21"/>
        </w:rPr>
        <w:t>...5</w:t>
      </w:r>
    </w:p>
    <w:p>
      <w:pPr>
        <w:widowControl/>
        <w:spacing w:line="300" w:lineRule="auto"/>
        <w:ind w:firstLine="210" w:firstLineChars="100"/>
        <w:jc w:val="left"/>
        <w:rPr>
          <w:szCs w:val="21"/>
        </w:rPr>
      </w:pPr>
      <w:r>
        <w:rPr>
          <w:szCs w:val="21"/>
        </w:rPr>
        <w:t>4.4  Environmental Noise Monitoring on Construction Site………………………</w:t>
      </w:r>
      <w:r>
        <w:rPr>
          <w:rFonts w:hint="eastAsia"/>
          <w:szCs w:val="21"/>
        </w:rPr>
        <w:t>.</w:t>
      </w:r>
      <w:r>
        <w:rPr>
          <w:szCs w:val="21"/>
        </w:rPr>
        <w:t>………</w:t>
      </w:r>
      <w:r>
        <w:rPr>
          <w:rFonts w:hint="eastAsia"/>
          <w:szCs w:val="21"/>
        </w:rPr>
        <w:t>......6</w:t>
      </w:r>
    </w:p>
    <w:p>
      <w:pPr>
        <w:widowControl/>
        <w:spacing w:line="300" w:lineRule="auto"/>
        <w:ind w:firstLine="210" w:firstLineChars="100"/>
        <w:jc w:val="left"/>
        <w:rPr>
          <w:szCs w:val="21"/>
        </w:rPr>
      </w:pPr>
      <w:r>
        <w:rPr>
          <w:szCs w:val="21"/>
        </w:rPr>
        <w:t>4.5  Lighting of Pedestrian and Bicycle Road……………………………………………</w:t>
      </w:r>
      <w:r>
        <w:rPr>
          <w:rFonts w:hint="eastAsia"/>
          <w:szCs w:val="21"/>
        </w:rPr>
        <w:t>.</w:t>
      </w:r>
      <w:r>
        <w:rPr>
          <w:szCs w:val="21"/>
        </w:rPr>
        <w:t>…</w:t>
      </w:r>
      <w:r>
        <w:rPr>
          <w:rFonts w:hint="eastAsia"/>
          <w:szCs w:val="21"/>
        </w:rPr>
        <w:t>....6</w:t>
      </w:r>
    </w:p>
    <w:p>
      <w:pPr>
        <w:widowControl/>
        <w:spacing w:line="300" w:lineRule="auto"/>
        <w:ind w:firstLine="210" w:firstLineChars="100"/>
        <w:jc w:val="left"/>
        <w:rPr>
          <w:szCs w:val="21"/>
        </w:rPr>
      </w:pPr>
      <w:r>
        <w:rPr>
          <w:szCs w:val="21"/>
        </w:rPr>
        <w:t>4.6  Outdoor Light Pollution ………………………………………………</w:t>
      </w:r>
      <w:r>
        <w:rPr>
          <w:rFonts w:hint="eastAsia"/>
          <w:szCs w:val="21"/>
        </w:rPr>
        <w:t>..</w:t>
      </w:r>
      <w:r>
        <w:rPr>
          <w:szCs w:val="21"/>
        </w:rPr>
        <w:t>…………</w:t>
      </w:r>
      <w:r>
        <w:rPr>
          <w:rFonts w:hint="eastAsia"/>
          <w:szCs w:val="21"/>
        </w:rPr>
        <w:t>.</w:t>
      </w:r>
      <w:r>
        <w:rPr>
          <w:szCs w:val="21"/>
        </w:rPr>
        <w:t>……</w:t>
      </w:r>
      <w:r>
        <w:rPr>
          <w:rFonts w:hint="eastAsia"/>
          <w:szCs w:val="21"/>
        </w:rPr>
        <w:t>....7</w:t>
      </w:r>
    </w:p>
    <w:p>
      <w:pPr>
        <w:widowControl/>
        <w:spacing w:line="300" w:lineRule="auto"/>
        <w:ind w:firstLine="210" w:firstLineChars="100"/>
        <w:jc w:val="left"/>
        <w:rPr>
          <w:szCs w:val="21"/>
        </w:rPr>
      </w:pPr>
      <w:r>
        <w:rPr>
          <w:szCs w:val="21"/>
        </w:rPr>
        <w:t>4.7  Visible Light Reflectance of Building Facade Glass Curtain Walls………</w:t>
      </w:r>
      <w:r>
        <w:rPr>
          <w:rFonts w:hint="eastAsia"/>
          <w:szCs w:val="21"/>
        </w:rPr>
        <w:t>..</w:t>
      </w:r>
      <w:r>
        <w:rPr>
          <w:szCs w:val="21"/>
        </w:rPr>
        <w:t>………</w:t>
      </w:r>
      <w:r>
        <w:rPr>
          <w:rFonts w:hint="eastAsia"/>
          <w:szCs w:val="21"/>
        </w:rPr>
        <w:t>.</w:t>
      </w:r>
      <w:r>
        <w:rPr>
          <w:szCs w:val="21"/>
        </w:rPr>
        <w:t>…</w:t>
      </w:r>
      <w:r>
        <w:rPr>
          <w:rFonts w:hint="eastAsia"/>
          <w:szCs w:val="21"/>
        </w:rPr>
        <w:t>......8</w:t>
      </w:r>
    </w:p>
    <w:p>
      <w:pPr>
        <w:widowControl/>
        <w:spacing w:line="300" w:lineRule="auto"/>
        <w:ind w:firstLine="210" w:firstLineChars="100"/>
        <w:jc w:val="left"/>
        <w:rPr>
          <w:szCs w:val="21"/>
        </w:rPr>
      </w:pPr>
      <w:r>
        <w:rPr>
          <w:szCs w:val="21"/>
        </w:rPr>
        <w:t>4.8  Slip Resistance of Building Floor………</w:t>
      </w:r>
      <w:r>
        <w:rPr>
          <w:rFonts w:hint="eastAsia"/>
          <w:szCs w:val="21"/>
        </w:rPr>
        <w:t>..</w:t>
      </w:r>
      <w:r>
        <w:rPr>
          <w:szCs w:val="21"/>
        </w:rPr>
        <w:t>………………………………</w:t>
      </w:r>
      <w:r>
        <w:rPr>
          <w:rFonts w:hint="eastAsia"/>
          <w:szCs w:val="21"/>
        </w:rPr>
        <w:t>.</w:t>
      </w:r>
      <w:r>
        <w:rPr>
          <w:szCs w:val="21"/>
        </w:rPr>
        <w:t>……………</w:t>
      </w:r>
      <w:r>
        <w:rPr>
          <w:rFonts w:hint="eastAsia"/>
          <w:szCs w:val="21"/>
        </w:rPr>
        <w:t>......8</w:t>
      </w:r>
    </w:p>
    <w:p>
      <w:pPr>
        <w:widowControl/>
        <w:spacing w:line="300" w:lineRule="auto"/>
        <w:ind w:firstLine="210" w:firstLineChars="100"/>
        <w:jc w:val="left"/>
        <w:rPr>
          <w:szCs w:val="21"/>
        </w:rPr>
      </w:pPr>
      <w:r>
        <w:rPr>
          <w:szCs w:val="21"/>
        </w:rPr>
        <w:t>4.9  Water Permeable Paving Structure……</w:t>
      </w:r>
      <w:r>
        <w:rPr>
          <w:rFonts w:hint="eastAsia"/>
          <w:szCs w:val="21"/>
        </w:rPr>
        <w:t>..</w:t>
      </w:r>
      <w:r>
        <w:rPr>
          <w:szCs w:val="21"/>
        </w:rPr>
        <w:t>………………………………</w:t>
      </w:r>
      <w:r>
        <w:rPr>
          <w:rFonts w:hint="eastAsia"/>
          <w:szCs w:val="21"/>
        </w:rPr>
        <w:t>.</w:t>
      </w:r>
      <w:r>
        <w:rPr>
          <w:szCs w:val="21"/>
        </w:rPr>
        <w:t>……………</w:t>
      </w:r>
      <w:r>
        <w:rPr>
          <w:rFonts w:hint="eastAsia"/>
          <w:szCs w:val="21"/>
        </w:rPr>
        <w:t>.......10</w:t>
      </w:r>
    </w:p>
    <w:p>
      <w:pPr>
        <w:widowControl/>
        <w:spacing w:line="300" w:lineRule="auto"/>
        <w:jc w:val="left"/>
        <w:rPr>
          <w:sz w:val="24"/>
        </w:rPr>
      </w:pPr>
      <w:r>
        <w:rPr>
          <w:rFonts w:hint="eastAsia"/>
          <w:sz w:val="24"/>
        </w:rPr>
        <w:t>5</w:t>
      </w:r>
      <w:r>
        <w:rPr>
          <w:sz w:val="24"/>
        </w:rPr>
        <w:t xml:space="preserve"> </w:t>
      </w:r>
      <w:r>
        <w:rPr>
          <w:rFonts w:hint="eastAsia"/>
          <w:sz w:val="24"/>
        </w:rPr>
        <w:t xml:space="preserve"> In</w:t>
      </w:r>
      <w:r>
        <w:rPr>
          <w:sz w:val="24"/>
        </w:rPr>
        <w:t xml:space="preserve">door </w:t>
      </w:r>
      <w:r>
        <w:rPr>
          <w:rFonts w:hint="eastAsia"/>
          <w:sz w:val="24"/>
        </w:rPr>
        <w:t>E</w:t>
      </w:r>
      <w:r>
        <w:rPr>
          <w:sz w:val="24"/>
        </w:rPr>
        <w:t>nvironment</w:t>
      </w:r>
      <w:r>
        <w:rPr>
          <w:rFonts w:hint="eastAsia"/>
          <w:sz w:val="24"/>
        </w:rPr>
        <w:t xml:space="preserve"> Test</w:t>
      </w:r>
      <w:r>
        <w:rPr>
          <w:sz w:val="24"/>
        </w:rPr>
        <w:t>……</w:t>
      </w:r>
      <w:r>
        <w:rPr>
          <w:rFonts w:hint="eastAsia"/>
          <w:sz w:val="24"/>
        </w:rPr>
        <w:t>..</w:t>
      </w:r>
      <w:r>
        <w:rPr>
          <w:sz w:val="24"/>
        </w:rPr>
        <w:t>………………………</w:t>
      </w:r>
      <w:r>
        <w:rPr>
          <w:rFonts w:hint="eastAsia"/>
          <w:sz w:val="24"/>
        </w:rPr>
        <w:t>..</w:t>
      </w:r>
      <w:r>
        <w:rPr>
          <w:sz w:val="24"/>
        </w:rPr>
        <w:t>………………</w:t>
      </w:r>
      <w:r>
        <w:rPr>
          <w:rFonts w:hint="eastAsia"/>
          <w:sz w:val="24"/>
        </w:rPr>
        <w:t>.</w:t>
      </w:r>
      <w:r>
        <w:rPr>
          <w:sz w:val="24"/>
        </w:rPr>
        <w:t>……</w:t>
      </w:r>
      <w:r>
        <w:rPr>
          <w:rFonts w:hint="eastAsia"/>
          <w:sz w:val="24"/>
        </w:rPr>
        <w:t>.......12</w:t>
      </w:r>
    </w:p>
    <w:p>
      <w:pPr>
        <w:widowControl/>
        <w:spacing w:line="300" w:lineRule="auto"/>
        <w:ind w:firstLine="210" w:firstLineChars="100"/>
        <w:jc w:val="left"/>
        <w:rPr>
          <w:szCs w:val="21"/>
        </w:rPr>
      </w:pPr>
      <w:r>
        <w:rPr>
          <w:szCs w:val="21"/>
        </w:rPr>
        <w:t>5.1  Genera1Requirements……</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.........12</w:t>
      </w:r>
    </w:p>
    <w:p>
      <w:pPr>
        <w:widowControl/>
        <w:spacing w:line="300" w:lineRule="auto"/>
        <w:ind w:firstLine="210" w:firstLineChars="100"/>
        <w:jc w:val="left"/>
        <w:rPr>
          <w:szCs w:val="21"/>
        </w:rPr>
      </w:pPr>
      <w:r>
        <w:rPr>
          <w:szCs w:val="21"/>
        </w:rPr>
        <w:t>5.2  Indoor Noise Levels……</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.........12</w:t>
      </w:r>
    </w:p>
    <w:p>
      <w:pPr>
        <w:widowControl/>
        <w:spacing w:line="300" w:lineRule="auto"/>
        <w:ind w:firstLine="210" w:firstLineChars="100"/>
        <w:jc w:val="left"/>
        <w:rPr>
          <w:szCs w:val="21"/>
        </w:rPr>
      </w:pPr>
      <w:r>
        <w:rPr>
          <w:szCs w:val="21"/>
        </w:rPr>
        <w:t>5.3  Airborne Sound Insulation of Floor and Wall……</w:t>
      </w:r>
      <w:r>
        <w:rPr>
          <w:rFonts w:hint="eastAsia"/>
          <w:szCs w:val="21"/>
        </w:rPr>
        <w:t>..</w:t>
      </w:r>
      <w:r>
        <w:rPr>
          <w:szCs w:val="21"/>
        </w:rPr>
        <w:t>………………………………</w:t>
      </w:r>
      <w:r>
        <w:rPr>
          <w:rFonts w:hint="eastAsia"/>
          <w:szCs w:val="21"/>
        </w:rPr>
        <w:t>.</w:t>
      </w:r>
      <w:r>
        <w:rPr>
          <w:szCs w:val="21"/>
        </w:rPr>
        <w:t>…</w:t>
      </w:r>
      <w:r>
        <w:rPr>
          <w:rFonts w:hint="eastAsia"/>
          <w:szCs w:val="21"/>
        </w:rPr>
        <w:t>......13</w:t>
      </w:r>
    </w:p>
    <w:p>
      <w:pPr>
        <w:widowControl/>
        <w:spacing w:line="300" w:lineRule="auto"/>
        <w:ind w:firstLine="210" w:firstLineChars="100"/>
        <w:jc w:val="left"/>
        <w:rPr>
          <w:szCs w:val="21"/>
        </w:rPr>
      </w:pPr>
      <w:r>
        <w:rPr>
          <w:szCs w:val="21"/>
        </w:rPr>
        <w:t>5.4  Airborne Sound Insulation of Windows and Doors……</w:t>
      </w:r>
      <w:r>
        <w:rPr>
          <w:rFonts w:hint="eastAsia"/>
          <w:szCs w:val="21"/>
        </w:rPr>
        <w:t>..</w:t>
      </w:r>
      <w:r>
        <w:rPr>
          <w:szCs w:val="21"/>
        </w:rPr>
        <w:t>……………………………</w:t>
      </w:r>
      <w:r>
        <w:rPr>
          <w:rFonts w:hint="eastAsia"/>
          <w:szCs w:val="21"/>
        </w:rPr>
        <w:t>......13</w:t>
      </w:r>
    </w:p>
    <w:p>
      <w:pPr>
        <w:widowControl/>
        <w:spacing w:line="300" w:lineRule="auto"/>
        <w:ind w:firstLine="210" w:firstLineChars="100"/>
        <w:jc w:val="left"/>
        <w:rPr>
          <w:szCs w:val="21"/>
        </w:rPr>
      </w:pPr>
      <w:r>
        <w:rPr>
          <w:szCs w:val="21"/>
        </w:rPr>
        <w:t xml:space="preserve">5.5  Impact Sound </w:t>
      </w:r>
      <w:r>
        <w:rPr>
          <w:rFonts w:hint="eastAsia"/>
          <w:szCs w:val="21"/>
        </w:rPr>
        <w:t>I</w:t>
      </w:r>
      <w:r>
        <w:rPr>
          <w:szCs w:val="21"/>
        </w:rPr>
        <w:t>nsulation of Floor ……</w:t>
      </w:r>
      <w:r>
        <w:rPr>
          <w:rFonts w:hint="eastAsia"/>
          <w:szCs w:val="21"/>
        </w:rPr>
        <w:t>..</w:t>
      </w:r>
      <w:r>
        <w:rPr>
          <w:szCs w:val="21"/>
        </w:rPr>
        <w:t>……………………………………………</w:t>
      </w:r>
      <w:r>
        <w:rPr>
          <w:rFonts w:hint="eastAsia"/>
          <w:szCs w:val="21"/>
        </w:rPr>
        <w:t>........14</w:t>
      </w:r>
    </w:p>
    <w:p>
      <w:pPr>
        <w:widowControl/>
        <w:spacing w:line="300" w:lineRule="auto"/>
        <w:ind w:firstLine="210" w:firstLineChars="100"/>
        <w:jc w:val="left"/>
        <w:rPr>
          <w:szCs w:val="21"/>
        </w:rPr>
      </w:pPr>
      <w:r>
        <w:rPr>
          <w:szCs w:val="21"/>
        </w:rPr>
        <w:t>5.6  Acoustical Characteristics……</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......14</w:t>
      </w:r>
    </w:p>
    <w:p>
      <w:pPr>
        <w:widowControl/>
        <w:spacing w:line="300" w:lineRule="auto"/>
        <w:ind w:firstLine="210" w:firstLineChars="100"/>
        <w:jc w:val="left"/>
        <w:rPr>
          <w:szCs w:val="21"/>
        </w:rPr>
      </w:pPr>
      <w:r>
        <w:rPr>
          <w:szCs w:val="21"/>
        </w:rPr>
        <w:t>5.7  Elevator Noise……</w:t>
      </w:r>
      <w:r>
        <w:rPr>
          <w:rFonts w:hint="eastAsia"/>
          <w:szCs w:val="21"/>
        </w:rPr>
        <w:t>..</w:t>
      </w:r>
      <w:r>
        <w:rPr>
          <w:szCs w:val="21"/>
        </w:rPr>
        <w:t>……………………………………………………………</w:t>
      </w:r>
      <w:r>
        <w:rPr>
          <w:rFonts w:hint="eastAsia"/>
          <w:szCs w:val="21"/>
        </w:rPr>
        <w:t>...</w:t>
      </w:r>
      <w:r>
        <w:rPr>
          <w:szCs w:val="21"/>
        </w:rPr>
        <w:t>…</w:t>
      </w:r>
      <w:r>
        <w:rPr>
          <w:rFonts w:hint="eastAsia"/>
          <w:szCs w:val="21"/>
        </w:rPr>
        <w:t>........15</w:t>
      </w:r>
    </w:p>
    <w:p>
      <w:pPr>
        <w:widowControl/>
        <w:spacing w:line="300" w:lineRule="auto"/>
        <w:ind w:firstLine="210" w:firstLineChars="100"/>
        <w:jc w:val="left"/>
        <w:rPr>
          <w:szCs w:val="21"/>
        </w:rPr>
      </w:pPr>
      <w:r>
        <w:rPr>
          <w:szCs w:val="21"/>
        </w:rPr>
        <w:t xml:space="preserve">5.8  Daylight Factor and Interior </w:t>
      </w:r>
      <w:r>
        <w:rPr>
          <w:rFonts w:hint="eastAsia"/>
          <w:szCs w:val="21"/>
        </w:rPr>
        <w:t>D</w:t>
      </w:r>
      <w:r>
        <w:rPr>
          <w:szCs w:val="21"/>
        </w:rPr>
        <w:t xml:space="preserve">ay </w:t>
      </w:r>
      <w:r>
        <w:rPr>
          <w:rFonts w:hint="eastAsia"/>
          <w:szCs w:val="21"/>
        </w:rPr>
        <w:t>L</w:t>
      </w:r>
      <w:r>
        <w:rPr>
          <w:szCs w:val="21"/>
        </w:rPr>
        <w:t>ight</w:t>
      </w:r>
      <w:r>
        <w:rPr>
          <w:rFonts w:hint="eastAsia"/>
          <w:szCs w:val="21"/>
        </w:rPr>
        <w:t xml:space="preserve"> I</w:t>
      </w:r>
      <w:r>
        <w:rPr>
          <w:szCs w:val="21"/>
        </w:rPr>
        <w:t>llumination……</w:t>
      </w:r>
      <w:r>
        <w:rPr>
          <w:rFonts w:hint="eastAsia"/>
          <w:szCs w:val="21"/>
        </w:rPr>
        <w:t>..</w:t>
      </w:r>
      <w:r>
        <w:rPr>
          <w:szCs w:val="21"/>
        </w:rPr>
        <w:t>………………………</w:t>
      </w:r>
      <w:r>
        <w:rPr>
          <w:rFonts w:hint="eastAsia"/>
          <w:szCs w:val="21"/>
        </w:rPr>
        <w:t>..</w:t>
      </w:r>
      <w:r>
        <w:rPr>
          <w:szCs w:val="21"/>
        </w:rPr>
        <w:t>…</w:t>
      </w:r>
      <w:r>
        <w:rPr>
          <w:rFonts w:hint="eastAsia"/>
          <w:szCs w:val="21"/>
        </w:rPr>
        <w:t>......16</w:t>
      </w:r>
    </w:p>
    <w:p>
      <w:pPr>
        <w:widowControl/>
        <w:spacing w:line="300" w:lineRule="auto"/>
        <w:ind w:firstLine="210" w:firstLineChars="100"/>
        <w:jc w:val="left"/>
        <w:rPr>
          <w:szCs w:val="21"/>
        </w:rPr>
      </w:pPr>
      <w:r>
        <w:rPr>
          <w:szCs w:val="21"/>
        </w:rPr>
        <w:t>5.9  Volume of Fresh Air……</w:t>
      </w:r>
      <w:r>
        <w:rPr>
          <w:rFonts w:hint="eastAsia"/>
          <w:szCs w:val="21"/>
        </w:rPr>
        <w:t>..</w:t>
      </w:r>
      <w:r>
        <w:rPr>
          <w:szCs w:val="21"/>
        </w:rPr>
        <w:t>…………………………………………………………</w:t>
      </w:r>
      <w:r>
        <w:rPr>
          <w:rFonts w:hint="eastAsia"/>
          <w:szCs w:val="21"/>
        </w:rPr>
        <w:t>..</w:t>
      </w:r>
      <w:r>
        <w:rPr>
          <w:szCs w:val="21"/>
        </w:rPr>
        <w:t>…</w:t>
      </w:r>
      <w:r>
        <w:rPr>
          <w:rFonts w:hint="eastAsia"/>
          <w:szCs w:val="21"/>
        </w:rPr>
        <w:t>....16</w:t>
      </w:r>
    </w:p>
    <w:p>
      <w:pPr>
        <w:widowControl/>
        <w:spacing w:line="300" w:lineRule="auto"/>
        <w:ind w:firstLine="210" w:firstLineChars="100"/>
        <w:jc w:val="left"/>
        <w:rPr>
          <w:szCs w:val="21"/>
        </w:rPr>
      </w:pPr>
      <w:r>
        <w:rPr>
          <w:szCs w:val="21"/>
        </w:rPr>
        <w:t>5.10  Indoor Air Velocity……</w:t>
      </w:r>
      <w:r>
        <w:rPr>
          <w:rFonts w:hint="eastAsia"/>
          <w:szCs w:val="21"/>
        </w:rPr>
        <w:t>..</w:t>
      </w:r>
      <w:r>
        <w:rPr>
          <w:szCs w:val="21"/>
        </w:rPr>
        <w:t>……………………………………………</w:t>
      </w:r>
      <w:r>
        <w:rPr>
          <w:rFonts w:hint="eastAsia"/>
          <w:szCs w:val="21"/>
        </w:rPr>
        <w:t>.</w:t>
      </w:r>
      <w:r>
        <w:rPr>
          <w:szCs w:val="21"/>
        </w:rPr>
        <w:t>……</w:t>
      </w:r>
      <w:r>
        <w:rPr>
          <w:rFonts w:hint="eastAsia"/>
          <w:szCs w:val="21"/>
        </w:rPr>
        <w:t>.....................17</w:t>
      </w:r>
    </w:p>
    <w:p>
      <w:pPr>
        <w:widowControl/>
        <w:spacing w:line="300" w:lineRule="auto"/>
        <w:ind w:firstLine="210" w:firstLineChars="100"/>
        <w:jc w:val="left"/>
        <w:rPr>
          <w:szCs w:val="21"/>
        </w:rPr>
      </w:pPr>
      <w:r>
        <w:rPr>
          <w:szCs w:val="21"/>
        </w:rPr>
        <w:t>5.11  Average Indoor Air Temperature and Relative……</w:t>
      </w:r>
      <w:r>
        <w:rPr>
          <w:rFonts w:hint="eastAsia"/>
          <w:szCs w:val="21"/>
        </w:rPr>
        <w:t>..</w:t>
      </w:r>
      <w:r>
        <w:rPr>
          <w:szCs w:val="21"/>
        </w:rPr>
        <w:t>………………………</w:t>
      </w:r>
      <w:r>
        <w:rPr>
          <w:rFonts w:hint="eastAsia"/>
          <w:szCs w:val="21"/>
        </w:rPr>
        <w:t>.</w:t>
      </w:r>
      <w:r>
        <w:rPr>
          <w:szCs w:val="21"/>
        </w:rPr>
        <w:t>………</w:t>
      </w:r>
      <w:r>
        <w:rPr>
          <w:rFonts w:hint="eastAsia"/>
          <w:szCs w:val="21"/>
        </w:rPr>
        <w:t>.......17</w:t>
      </w:r>
    </w:p>
    <w:p>
      <w:pPr>
        <w:widowControl/>
        <w:spacing w:line="300" w:lineRule="auto"/>
        <w:ind w:firstLine="210" w:firstLineChars="100"/>
        <w:jc w:val="left"/>
        <w:rPr>
          <w:szCs w:val="21"/>
        </w:rPr>
      </w:pPr>
      <w:r>
        <w:rPr>
          <w:szCs w:val="21"/>
        </w:rPr>
        <w:t>5.12  Concentration of Indoor Pollutants……</w:t>
      </w:r>
      <w:r>
        <w:rPr>
          <w:rFonts w:hint="eastAsia"/>
          <w:szCs w:val="21"/>
        </w:rPr>
        <w:t>..</w:t>
      </w:r>
      <w:r>
        <w:rPr>
          <w:szCs w:val="21"/>
        </w:rPr>
        <w:t>……………………………………………</w:t>
      </w:r>
      <w:r>
        <w:rPr>
          <w:rFonts w:hint="eastAsia"/>
          <w:szCs w:val="21"/>
        </w:rPr>
        <w:t>.....18</w:t>
      </w:r>
    </w:p>
    <w:p>
      <w:pPr>
        <w:widowControl/>
        <w:spacing w:line="300" w:lineRule="auto"/>
        <w:ind w:firstLine="210" w:firstLineChars="100"/>
        <w:jc w:val="left"/>
        <w:rPr>
          <w:szCs w:val="21"/>
        </w:rPr>
      </w:pPr>
      <w:r>
        <w:rPr>
          <w:szCs w:val="21"/>
        </w:rPr>
        <w:t xml:space="preserve">5.13  Concentration of Carbon </w:t>
      </w:r>
      <w:r>
        <w:rPr>
          <w:rFonts w:hint="eastAsia"/>
          <w:szCs w:val="21"/>
        </w:rPr>
        <w:t>D</w:t>
      </w:r>
      <w:r>
        <w:rPr>
          <w:szCs w:val="21"/>
        </w:rPr>
        <w:t>ioxide……</w:t>
      </w:r>
      <w:r>
        <w:rPr>
          <w:rFonts w:hint="eastAsia"/>
          <w:szCs w:val="21"/>
        </w:rPr>
        <w:t>..</w:t>
      </w:r>
      <w:r>
        <w:rPr>
          <w:szCs w:val="21"/>
        </w:rPr>
        <w:t>……………………………………</w:t>
      </w:r>
      <w:r>
        <w:rPr>
          <w:rFonts w:hint="eastAsia"/>
          <w:szCs w:val="21"/>
        </w:rPr>
        <w:t>...................18</w:t>
      </w:r>
    </w:p>
    <w:p>
      <w:pPr>
        <w:widowControl/>
        <w:spacing w:line="300" w:lineRule="auto"/>
        <w:ind w:firstLine="210" w:firstLineChars="100"/>
        <w:jc w:val="left"/>
        <w:rPr>
          <w:szCs w:val="21"/>
        </w:rPr>
      </w:pPr>
      <w:r>
        <w:rPr>
          <w:szCs w:val="21"/>
        </w:rPr>
        <w:t>5.14  Concentration of Inhalable Particles……</w:t>
      </w:r>
      <w:r>
        <w:rPr>
          <w:rFonts w:hint="eastAsia"/>
          <w:szCs w:val="21"/>
        </w:rPr>
        <w:t>..</w:t>
      </w:r>
      <w:r>
        <w:rPr>
          <w:szCs w:val="21"/>
        </w:rPr>
        <w:t>………………………………</w:t>
      </w:r>
      <w:r>
        <w:rPr>
          <w:rFonts w:hint="eastAsia"/>
          <w:szCs w:val="21"/>
        </w:rPr>
        <w:t>..</w:t>
      </w:r>
      <w:r>
        <w:rPr>
          <w:szCs w:val="21"/>
        </w:rPr>
        <w:t>…</w:t>
      </w:r>
      <w:r>
        <w:rPr>
          <w:rFonts w:hint="eastAsia"/>
          <w:szCs w:val="21"/>
        </w:rPr>
        <w:t>.................19</w:t>
      </w:r>
    </w:p>
    <w:p>
      <w:pPr>
        <w:widowControl/>
        <w:spacing w:line="300" w:lineRule="auto"/>
        <w:jc w:val="left"/>
        <w:rPr>
          <w:sz w:val="24"/>
        </w:rPr>
      </w:pPr>
      <w:r>
        <w:rPr>
          <w:rFonts w:hint="eastAsia"/>
          <w:sz w:val="24"/>
        </w:rPr>
        <w:t>6  Performance of Exterior Building Envelopes Test</w:t>
      </w:r>
      <w:r>
        <w:rPr>
          <w:sz w:val="24"/>
        </w:rPr>
        <w:t>………………………</w:t>
      </w:r>
      <w:r>
        <w:rPr>
          <w:rFonts w:hint="eastAsia"/>
          <w:sz w:val="24"/>
        </w:rPr>
        <w:t>..</w:t>
      </w:r>
      <w:r>
        <w:rPr>
          <w:sz w:val="24"/>
        </w:rPr>
        <w:t>…</w:t>
      </w:r>
      <w:r>
        <w:rPr>
          <w:rFonts w:hint="eastAsia"/>
          <w:sz w:val="24"/>
        </w:rPr>
        <w:t>.......20</w:t>
      </w:r>
    </w:p>
    <w:p>
      <w:pPr>
        <w:widowControl/>
        <w:spacing w:line="300" w:lineRule="auto"/>
        <w:ind w:firstLine="210" w:firstLineChars="100"/>
        <w:jc w:val="left"/>
        <w:rPr>
          <w:szCs w:val="21"/>
        </w:rPr>
      </w:pPr>
      <w:r>
        <w:rPr>
          <w:rFonts w:hint="eastAsia"/>
          <w:szCs w:val="21"/>
        </w:rPr>
        <w:t>6.1  Ge</w:t>
      </w:r>
      <w:r>
        <w:rPr>
          <w:szCs w:val="21"/>
        </w:rPr>
        <w:t>nera1</w:t>
      </w:r>
      <w:r>
        <w:rPr>
          <w:rFonts w:hint="eastAsia"/>
          <w:szCs w:val="21"/>
        </w:rPr>
        <w:t xml:space="preserve"> </w:t>
      </w:r>
      <w:r>
        <w:rPr>
          <w:szCs w:val="21"/>
        </w:rPr>
        <w:t>Requirements……</w:t>
      </w:r>
      <w:r>
        <w:rPr>
          <w:rFonts w:hint="eastAsia"/>
          <w:szCs w:val="21"/>
        </w:rPr>
        <w:t>..</w:t>
      </w:r>
      <w:r>
        <w:rPr>
          <w:szCs w:val="21"/>
        </w:rPr>
        <w:t>……………………………………………………</w:t>
      </w:r>
      <w:r>
        <w:rPr>
          <w:rFonts w:hint="eastAsia"/>
          <w:szCs w:val="21"/>
        </w:rPr>
        <w:t>....</w:t>
      </w:r>
      <w:r>
        <w:rPr>
          <w:szCs w:val="21"/>
        </w:rPr>
        <w:t>…</w:t>
      </w:r>
      <w:r>
        <w:rPr>
          <w:rFonts w:hint="eastAsia"/>
          <w:szCs w:val="21"/>
        </w:rPr>
        <w:t>......20</w:t>
      </w:r>
    </w:p>
    <w:p>
      <w:pPr>
        <w:widowControl/>
        <w:spacing w:line="300" w:lineRule="auto"/>
        <w:ind w:firstLine="210" w:firstLineChars="100"/>
        <w:jc w:val="left"/>
        <w:rPr>
          <w:szCs w:val="21"/>
        </w:rPr>
      </w:pPr>
      <w:r>
        <w:rPr>
          <w:szCs w:val="21"/>
        </w:rPr>
        <w:t>6.2  Overall Heat Transfer Coefficients of Building……</w:t>
      </w:r>
      <w:r>
        <w:rPr>
          <w:rFonts w:hint="eastAsia"/>
          <w:szCs w:val="21"/>
        </w:rPr>
        <w:t>..</w:t>
      </w:r>
      <w:r>
        <w:rPr>
          <w:szCs w:val="21"/>
        </w:rPr>
        <w:t>……………………………</w:t>
      </w:r>
      <w:r>
        <w:rPr>
          <w:rFonts w:hint="eastAsia"/>
          <w:szCs w:val="21"/>
        </w:rPr>
        <w:t>............20</w:t>
      </w:r>
    </w:p>
    <w:p>
      <w:pPr>
        <w:widowControl/>
        <w:spacing w:line="300" w:lineRule="auto"/>
        <w:ind w:firstLine="210" w:firstLineChars="100"/>
        <w:jc w:val="left"/>
        <w:rPr>
          <w:szCs w:val="21"/>
        </w:rPr>
      </w:pPr>
      <w:r>
        <w:rPr>
          <w:szCs w:val="21"/>
        </w:rPr>
        <w:t>6.3  Inside Surface Temperature of Thermal Bridge of Exterior Building Envelopes</w:t>
      </w:r>
      <w:r>
        <w:rPr>
          <w:rFonts w:hint="eastAsia"/>
          <w:szCs w:val="21"/>
        </w:rPr>
        <w:t>...............20</w:t>
      </w:r>
    </w:p>
    <w:p>
      <w:pPr>
        <w:widowControl/>
        <w:spacing w:line="300" w:lineRule="auto"/>
        <w:ind w:firstLine="210" w:firstLineChars="100"/>
        <w:jc w:val="left"/>
        <w:rPr>
          <w:szCs w:val="21"/>
        </w:rPr>
      </w:pPr>
      <w:r>
        <w:rPr>
          <w:szCs w:val="21"/>
        </w:rPr>
        <w:t>6.4  Insulation Performance of Exterior Building Envelopes……………</w:t>
      </w:r>
      <w:r>
        <w:rPr>
          <w:rFonts w:hint="eastAsia"/>
          <w:szCs w:val="21"/>
        </w:rPr>
        <w:t>................................21</w:t>
      </w:r>
    </w:p>
    <w:p>
      <w:pPr>
        <w:widowControl/>
        <w:spacing w:line="300" w:lineRule="auto"/>
        <w:ind w:firstLine="210" w:firstLineChars="100"/>
        <w:jc w:val="left"/>
        <w:rPr>
          <w:szCs w:val="21"/>
        </w:rPr>
      </w:pPr>
      <w:r>
        <w:rPr>
          <w:szCs w:val="21"/>
        </w:rPr>
        <w:t>6.5  Thermal Irregularities of Exterior Building Envelopes……………</w:t>
      </w:r>
      <w:r>
        <w:rPr>
          <w:rFonts w:hint="eastAsia"/>
          <w:szCs w:val="21"/>
        </w:rPr>
        <w:t>..................................21</w:t>
      </w:r>
    </w:p>
    <w:p>
      <w:pPr>
        <w:widowControl/>
        <w:spacing w:line="300" w:lineRule="auto"/>
        <w:ind w:firstLine="210" w:firstLineChars="100"/>
        <w:jc w:val="left"/>
        <w:rPr>
          <w:szCs w:val="21"/>
        </w:rPr>
      </w:pPr>
      <w:r>
        <w:rPr>
          <w:szCs w:val="21"/>
        </w:rPr>
        <w:t>6.6  Shading Coefficient of Exterior Building Envelopes……………</w:t>
      </w:r>
      <w:r>
        <w:rPr>
          <w:rFonts w:hint="eastAsia"/>
          <w:szCs w:val="21"/>
        </w:rPr>
        <w:t>......................................21</w:t>
      </w:r>
    </w:p>
    <w:p>
      <w:pPr>
        <w:widowControl/>
        <w:spacing w:line="300" w:lineRule="auto"/>
        <w:ind w:firstLine="210" w:firstLineChars="100"/>
        <w:jc w:val="left"/>
        <w:rPr>
          <w:szCs w:val="21"/>
        </w:rPr>
      </w:pPr>
      <w:r>
        <w:rPr>
          <w:szCs w:val="21"/>
        </w:rPr>
        <w:t>6.7  Exterior Window Air Tightness……………</w:t>
      </w:r>
      <w:r>
        <w:rPr>
          <w:rFonts w:hint="eastAsia"/>
          <w:szCs w:val="21"/>
        </w:rPr>
        <w:t>.......................................................................21</w:t>
      </w:r>
    </w:p>
    <w:p>
      <w:pPr>
        <w:widowControl/>
        <w:spacing w:line="300" w:lineRule="auto"/>
        <w:ind w:firstLine="210" w:firstLineChars="100"/>
        <w:jc w:val="left"/>
        <w:rPr>
          <w:szCs w:val="21"/>
        </w:rPr>
      </w:pPr>
      <w:r>
        <w:rPr>
          <w:szCs w:val="21"/>
        </w:rPr>
        <w:t>6.8  Transparent Walls Air Tightness……………</w:t>
      </w:r>
      <w:r>
        <w:rPr>
          <w:rFonts w:hint="eastAsia"/>
          <w:szCs w:val="21"/>
        </w:rPr>
        <w:t>.....................................................................22</w:t>
      </w:r>
    </w:p>
    <w:p>
      <w:pPr>
        <w:widowControl/>
        <w:spacing w:line="300" w:lineRule="auto"/>
        <w:ind w:firstLine="210" w:firstLineChars="100"/>
        <w:jc w:val="left"/>
        <w:rPr>
          <w:szCs w:val="21"/>
        </w:rPr>
      </w:pPr>
      <w:r>
        <w:rPr>
          <w:szCs w:val="21"/>
        </w:rPr>
        <w:t xml:space="preserve">6.9  Sealing Performance of Insulating </w:t>
      </w:r>
      <w:r>
        <w:rPr>
          <w:rFonts w:hint="eastAsia"/>
          <w:szCs w:val="21"/>
        </w:rPr>
        <w:t>G</w:t>
      </w:r>
      <w:r>
        <w:rPr>
          <w:szCs w:val="21"/>
        </w:rPr>
        <w:t xml:space="preserve">lass </w:t>
      </w:r>
      <w:r>
        <w:rPr>
          <w:rFonts w:hint="eastAsia"/>
          <w:szCs w:val="21"/>
        </w:rPr>
        <w:t>U</w:t>
      </w:r>
      <w:r>
        <w:rPr>
          <w:szCs w:val="21"/>
        </w:rPr>
        <w:t>nit</w:t>
      </w:r>
      <w:r>
        <w:rPr>
          <w:rFonts w:hint="eastAsia"/>
          <w:szCs w:val="21"/>
        </w:rPr>
        <w:t>....................................................................22</w:t>
      </w:r>
    </w:p>
    <w:p>
      <w:pPr>
        <w:widowControl/>
        <w:spacing w:line="300" w:lineRule="auto"/>
        <w:ind w:firstLine="210" w:firstLineChars="100"/>
        <w:jc w:val="left"/>
        <w:rPr>
          <w:szCs w:val="21"/>
        </w:rPr>
      </w:pPr>
      <w:r>
        <w:rPr>
          <w:szCs w:val="21"/>
        </w:rPr>
        <w:t xml:space="preserve">6.10 </w:t>
      </w:r>
      <w:r>
        <w:rPr>
          <w:rFonts w:hint="eastAsia"/>
          <w:szCs w:val="21"/>
        </w:rPr>
        <w:t xml:space="preserve"> </w:t>
      </w:r>
      <w:r>
        <w:rPr>
          <w:szCs w:val="21"/>
        </w:rPr>
        <w:t xml:space="preserve">Optical and Thermal </w:t>
      </w:r>
      <w:r>
        <w:rPr>
          <w:rFonts w:hint="eastAsia"/>
          <w:szCs w:val="21"/>
        </w:rPr>
        <w:t>P</w:t>
      </w:r>
      <w:r>
        <w:rPr>
          <w:szCs w:val="21"/>
        </w:rPr>
        <w:t xml:space="preserve">arameters of </w:t>
      </w:r>
      <w:r>
        <w:rPr>
          <w:rFonts w:hint="eastAsia"/>
          <w:szCs w:val="21"/>
        </w:rPr>
        <w:t>G</w:t>
      </w:r>
      <w:r>
        <w:rPr>
          <w:szCs w:val="21"/>
        </w:rPr>
        <w:t xml:space="preserve">lass for </w:t>
      </w:r>
      <w:r>
        <w:rPr>
          <w:rFonts w:hint="eastAsia"/>
          <w:szCs w:val="21"/>
        </w:rPr>
        <w:t>B</w:t>
      </w:r>
      <w:r>
        <w:rPr>
          <w:szCs w:val="21"/>
        </w:rPr>
        <w:t>uilding</w:t>
      </w:r>
      <w:r>
        <w:rPr>
          <w:rFonts w:hint="eastAsia"/>
          <w:szCs w:val="21"/>
        </w:rPr>
        <w:t>....................................................22</w:t>
      </w:r>
    </w:p>
    <w:p>
      <w:pPr>
        <w:widowControl/>
        <w:spacing w:line="300" w:lineRule="auto"/>
        <w:ind w:firstLine="210" w:firstLineChars="100"/>
        <w:jc w:val="left"/>
        <w:rPr>
          <w:szCs w:val="21"/>
        </w:rPr>
      </w:pPr>
      <w:r>
        <w:rPr>
          <w:szCs w:val="21"/>
        </w:rPr>
        <w:t xml:space="preserve">6.11  Paste </w:t>
      </w:r>
      <w:r>
        <w:rPr>
          <w:rFonts w:hint="eastAsia"/>
          <w:szCs w:val="21"/>
        </w:rPr>
        <w:t>A</w:t>
      </w:r>
      <w:r>
        <w:rPr>
          <w:szCs w:val="21"/>
        </w:rPr>
        <w:t xml:space="preserve">rea </w:t>
      </w:r>
      <w:r>
        <w:rPr>
          <w:rFonts w:hint="eastAsia"/>
          <w:szCs w:val="21"/>
        </w:rPr>
        <w:t>R</w:t>
      </w:r>
      <w:r>
        <w:rPr>
          <w:szCs w:val="21"/>
        </w:rPr>
        <w:t>atio of Insulation Board</w:t>
      </w:r>
      <w:r>
        <w:rPr>
          <w:rFonts w:hint="eastAsia"/>
          <w:szCs w:val="21"/>
        </w:rPr>
        <w:t>................................................................................23</w:t>
      </w:r>
    </w:p>
    <w:p>
      <w:pPr>
        <w:widowControl/>
        <w:spacing w:line="300" w:lineRule="auto"/>
        <w:ind w:firstLine="210" w:firstLineChars="100"/>
        <w:jc w:val="left"/>
        <w:rPr>
          <w:szCs w:val="21"/>
        </w:rPr>
      </w:pPr>
      <w:r>
        <w:rPr>
          <w:szCs w:val="21"/>
        </w:rPr>
        <w:t xml:space="preserve">6.12  Tensile </w:t>
      </w:r>
      <w:r>
        <w:rPr>
          <w:rFonts w:hint="eastAsia"/>
          <w:szCs w:val="21"/>
        </w:rPr>
        <w:t>B</w:t>
      </w:r>
      <w:r>
        <w:rPr>
          <w:szCs w:val="21"/>
        </w:rPr>
        <w:t xml:space="preserve">ond </w:t>
      </w:r>
      <w:r>
        <w:rPr>
          <w:rFonts w:hint="eastAsia"/>
          <w:szCs w:val="21"/>
        </w:rPr>
        <w:t>S</w:t>
      </w:r>
      <w:r>
        <w:rPr>
          <w:szCs w:val="21"/>
        </w:rPr>
        <w:t xml:space="preserve">trength of Insulation </w:t>
      </w:r>
      <w:r>
        <w:rPr>
          <w:rFonts w:hint="eastAsia"/>
          <w:szCs w:val="21"/>
        </w:rPr>
        <w:t>P</w:t>
      </w:r>
      <w:r>
        <w:rPr>
          <w:szCs w:val="21"/>
        </w:rPr>
        <w:t xml:space="preserve">late </w:t>
      </w:r>
      <w:r>
        <w:rPr>
          <w:rFonts w:hint="eastAsia"/>
          <w:szCs w:val="21"/>
        </w:rPr>
        <w:t>W</w:t>
      </w:r>
      <w:r>
        <w:rPr>
          <w:szCs w:val="21"/>
        </w:rPr>
        <w:t xml:space="preserve">ith </w:t>
      </w:r>
      <w:r>
        <w:rPr>
          <w:rFonts w:hint="eastAsia"/>
          <w:szCs w:val="21"/>
        </w:rPr>
        <w:t>B</w:t>
      </w:r>
      <w:r>
        <w:rPr>
          <w:szCs w:val="21"/>
        </w:rPr>
        <w:t>ase</w:t>
      </w:r>
      <w:r>
        <w:rPr>
          <w:rFonts w:hint="eastAsia"/>
          <w:szCs w:val="21"/>
        </w:rPr>
        <w:t>.......................................................24</w:t>
      </w:r>
    </w:p>
    <w:p>
      <w:pPr>
        <w:widowControl/>
        <w:spacing w:line="300" w:lineRule="auto"/>
        <w:ind w:left="840" w:leftChars="100" w:hanging="630" w:hangingChars="300"/>
        <w:jc w:val="left"/>
        <w:rPr>
          <w:szCs w:val="21"/>
        </w:rPr>
      </w:pPr>
      <w:r>
        <w:rPr>
          <w:rFonts w:hint="eastAsia"/>
          <w:szCs w:val="21"/>
        </w:rPr>
        <w:t xml:space="preserve">6.13  Detection of Thermal </w:t>
      </w:r>
      <w:r>
        <w:rPr>
          <w:szCs w:val="21"/>
        </w:rPr>
        <w:t>Conductivity</w:t>
      </w:r>
      <w:r>
        <w:rPr>
          <w:rFonts w:hint="eastAsia"/>
          <w:szCs w:val="21"/>
        </w:rPr>
        <w:t>, dry Density and Compressive Strength of Thermal Insulation Mortar Under the Same Conditions................................................................24</w:t>
      </w:r>
    </w:p>
    <w:p>
      <w:pPr>
        <w:widowControl/>
        <w:spacing w:line="300" w:lineRule="auto"/>
        <w:ind w:firstLine="210" w:firstLineChars="100"/>
        <w:jc w:val="left"/>
        <w:rPr>
          <w:szCs w:val="21"/>
        </w:rPr>
      </w:pPr>
      <w:r>
        <w:rPr>
          <w:szCs w:val="21"/>
        </w:rPr>
        <w:t>6.14  Thermal Layer Thickness of External Wall</w:t>
      </w:r>
      <w:r>
        <w:rPr>
          <w:rFonts w:hint="eastAsia"/>
          <w:szCs w:val="21"/>
        </w:rPr>
        <w:t>......................................................................25</w:t>
      </w:r>
    </w:p>
    <w:p>
      <w:pPr>
        <w:widowControl/>
        <w:spacing w:line="300" w:lineRule="auto"/>
        <w:jc w:val="left"/>
        <w:rPr>
          <w:sz w:val="24"/>
        </w:rPr>
      </w:pPr>
      <w:r>
        <w:rPr>
          <w:rFonts w:hint="eastAsia"/>
          <w:sz w:val="24"/>
        </w:rPr>
        <w:t xml:space="preserve">7  Air-conditioning Water System </w:t>
      </w:r>
      <w:r>
        <w:rPr>
          <w:sz w:val="24"/>
        </w:rPr>
        <w:t>Perfor</w:t>
      </w:r>
      <w:r>
        <w:rPr>
          <w:rFonts w:hint="eastAsia"/>
          <w:sz w:val="24"/>
        </w:rPr>
        <w:t>m</w:t>
      </w:r>
      <w:r>
        <w:rPr>
          <w:sz w:val="24"/>
        </w:rPr>
        <w:t>ance</w:t>
      </w:r>
      <w:r>
        <w:rPr>
          <w:rFonts w:hint="eastAsia"/>
          <w:sz w:val="24"/>
        </w:rPr>
        <w:t xml:space="preserve"> </w:t>
      </w:r>
      <w:r>
        <w:rPr>
          <w:sz w:val="24"/>
        </w:rPr>
        <w:t>Test…………………………</w:t>
      </w:r>
      <w:r>
        <w:rPr>
          <w:rFonts w:hint="eastAsia"/>
          <w:sz w:val="24"/>
        </w:rPr>
        <w:t>..</w:t>
      </w:r>
      <w:r>
        <w:rPr>
          <w:sz w:val="24"/>
        </w:rPr>
        <w:t>…</w:t>
      </w:r>
      <w:r>
        <w:rPr>
          <w:rFonts w:hint="eastAsia"/>
          <w:sz w:val="24"/>
        </w:rPr>
        <w:t>...27</w:t>
      </w:r>
    </w:p>
    <w:p>
      <w:pPr>
        <w:widowControl/>
        <w:spacing w:line="300" w:lineRule="auto"/>
        <w:jc w:val="left"/>
        <w:rPr>
          <w:szCs w:val="21"/>
        </w:rPr>
      </w:pPr>
      <w:r>
        <w:rPr>
          <w:rFonts w:hint="eastAsia"/>
          <w:szCs w:val="21"/>
        </w:rPr>
        <w:t xml:space="preserve">  7.1  Ge</w:t>
      </w:r>
      <w:r>
        <w:rPr>
          <w:szCs w:val="21"/>
        </w:rPr>
        <w:t>nera1</w:t>
      </w:r>
      <w:r>
        <w:rPr>
          <w:rFonts w:hint="eastAsia"/>
          <w:szCs w:val="21"/>
        </w:rPr>
        <w:t xml:space="preserve"> </w:t>
      </w:r>
      <w:r>
        <w:rPr>
          <w:szCs w:val="21"/>
        </w:rPr>
        <w:t>Requirements</w:t>
      </w:r>
      <w:r>
        <w:rPr>
          <w:rFonts w:hint="eastAsia"/>
          <w:szCs w:val="21"/>
        </w:rPr>
        <w:t>........................................................................................................27</w:t>
      </w:r>
    </w:p>
    <w:p>
      <w:pPr>
        <w:widowControl/>
        <w:spacing w:line="300" w:lineRule="auto"/>
        <w:ind w:firstLine="210" w:firstLineChars="100"/>
        <w:jc w:val="left"/>
        <w:rPr>
          <w:szCs w:val="21"/>
        </w:rPr>
      </w:pPr>
      <w:r>
        <w:rPr>
          <w:rFonts w:hint="eastAsia"/>
          <w:szCs w:val="21"/>
        </w:rPr>
        <w:t xml:space="preserve">7.2  </w:t>
      </w:r>
      <w:r>
        <w:rPr>
          <w:szCs w:val="21"/>
        </w:rPr>
        <w:t>Chiller/Heat Pump Actua</w:t>
      </w:r>
      <w:r>
        <w:rPr>
          <w:rFonts w:hint="eastAsia"/>
          <w:szCs w:val="21"/>
        </w:rPr>
        <w:t>l</w:t>
      </w:r>
      <w:r>
        <w:rPr>
          <w:szCs w:val="21"/>
        </w:rPr>
        <w:t xml:space="preserve"> Coefficient</w:t>
      </w:r>
      <w:r>
        <w:rPr>
          <w:rFonts w:hint="eastAsia"/>
          <w:szCs w:val="21"/>
        </w:rPr>
        <w:t xml:space="preserve"> o</w:t>
      </w:r>
      <w:r>
        <w:rPr>
          <w:szCs w:val="21"/>
        </w:rPr>
        <w:t>f Perfor</w:t>
      </w:r>
      <w:r>
        <w:rPr>
          <w:rFonts w:hint="eastAsia"/>
          <w:szCs w:val="21"/>
        </w:rPr>
        <w:t>m</w:t>
      </w:r>
      <w:r>
        <w:rPr>
          <w:szCs w:val="21"/>
        </w:rPr>
        <w:t>ance</w:t>
      </w:r>
      <w:r>
        <w:rPr>
          <w:rFonts w:hint="eastAsia"/>
          <w:szCs w:val="21"/>
        </w:rPr>
        <w:t>......................................................27</w:t>
      </w:r>
    </w:p>
    <w:p>
      <w:pPr>
        <w:widowControl/>
        <w:spacing w:line="300" w:lineRule="auto"/>
        <w:ind w:firstLine="210" w:firstLineChars="100"/>
        <w:jc w:val="left"/>
        <w:rPr>
          <w:szCs w:val="21"/>
        </w:rPr>
      </w:pPr>
      <w:r>
        <w:rPr>
          <w:rFonts w:hint="eastAsia"/>
          <w:szCs w:val="21"/>
        </w:rPr>
        <w:t>7.3  Energy Efficiency Ratio of Cooling Source System...........................................................28</w:t>
      </w:r>
    </w:p>
    <w:p>
      <w:pPr>
        <w:widowControl/>
        <w:spacing w:line="300" w:lineRule="auto"/>
        <w:ind w:firstLine="210" w:firstLineChars="100"/>
        <w:jc w:val="left"/>
        <w:rPr>
          <w:szCs w:val="21"/>
        </w:rPr>
      </w:pPr>
      <w:r>
        <w:rPr>
          <w:rFonts w:hint="eastAsia"/>
          <w:szCs w:val="21"/>
        </w:rPr>
        <w:t>7.4  Temperature Difference of the Transfer Liquid..................................................................29</w:t>
      </w:r>
    </w:p>
    <w:p>
      <w:pPr>
        <w:widowControl/>
        <w:spacing w:line="300" w:lineRule="auto"/>
        <w:ind w:firstLine="210" w:firstLineChars="100"/>
        <w:jc w:val="left"/>
        <w:rPr>
          <w:szCs w:val="21"/>
        </w:rPr>
      </w:pPr>
      <w:r>
        <w:rPr>
          <w:rFonts w:hint="eastAsia"/>
          <w:szCs w:val="21"/>
        </w:rPr>
        <w:t xml:space="preserve">7.5  Pump </w:t>
      </w:r>
      <w:r>
        <w:rPr>
          <w:szCs w:val="21"/>
        </w:rPr>
        <w:t>Effic</w:t>
      </w:r>
      <w:r>
        <w:rPr>
          <w:rFonts w:hint="eastAsia"/>
          <w:szCs w:val="21"/>
        </w:rPr>
        <w:t>i</w:t>
      </w:r>
      <w:r>
        <w:rPr>
          <w:szCs w:val="21"/>
        </w:rPr>
        <w:t>ency</w:t>
      </w:r>
      <w:r>
        <w:rPr>
          <w:rFonts w:hint="eastAsia"/>
          <w:szCs w:val="21"/>
        </w:rPr>
        <w:t>..................................................................................................................29</w:t>
      </w:r>
    </w:p>
    <w:p>
      <w:pPr>
        <w:widowControl/>
        <w:spacing w:line="300" w:lineRule="auto"/>
        <w:ind w:firstLine="210" w:firstLineChars="100"/>
        <w:jc w:val="left"/>
        <w:rPr>
          <w:szCs w:val="21"/>
        </w:rPr>
      </w:pPr>
      <w:r>
        <w:rPr>
          <w:rFonts w:hint="eastAsia"/>
          <w:szCs w:val="21"/>
        </w:rPr>
        <w:t xml:space="preserve">7.6  </w:t>
      </w:r>
      <w:r>
        <w:rPr>
          <w:szCs w:val="21"/>
        </w:rPr>
        <w:t>Cooling Tower Efficiency</w:t>
      </w:r>
      <w:r>
        <w:rPr>
          <w:rFonts w:hint="eastAsia"/>
          <w:szCs w:val="21"/>
        </w:rPr>
        <w:t>...................................................................................................30</w:t>
      </w:r>
    </w:p>
    <w:p>
      <w:pPr>
        <w:widowControl/>
        <w:spacing w:line="300" w:lineRule="auto"/>
        <w:ind w:firstLine="210" w:firstLineChars="100"/>
        <w:jc w:val="left"/>
        <w:rPr>
          <w:szCs w:val="21"/>
        </w:rPr>
      </w:pPr>
      <w:r>
        <w:rPr>
          <w:rFonts w:hint="eastAsia"/>
          <w:szCs w:val="21"/>
        </w:rPr>
        <w:t xml:space="preserve">7.7  </w:t>
      </w:r>
      <w:r>
        <w:rPr>
          <w:szCs w:val="21"/>
        </w:rPr>
        <w:t>Cooling Tower Noise</w:t>
      </w:r>
      <w:r>
        <w:rPr>
          <w:rFonts w:hint="eastAsia"/>
          <w:szCs w:val="21"/>
        </w:rPr>
        <w:t>..........................................................................................................30</w:t>
      </w:r>
    </w:p>
    <w:p>
      <w:pPr>
        <w:widowControl/>
        <w:spacing w:line="300" w:lineRule="auto"/>
        <w:ind w:firstLine="210" w:firstLineChars="100"/>
        <w:jc w:val="left"/>
        <w:rPr>
          <w:szCs w:val="21"/>
        </w:rPr>
      </w:pPr>
      <w:r>
        <w:rPr>
          <w:rFonts w:hint="eastAsia"/>
          <w:szCs w:val="21"/>
        </w:rPr>
        <w:t xml:space="preserve">7.8  </w:t>
      </w:r>
      <w:r>
        <w:rPr>
          <w:szCs w:val="21"/>
        </w:rPr>
        <w:t xml:space="preserve">Total </w:t>
      </w:r>
      <w:r>
        <w:rPr>
          <w:rFonts w:hint="eastAsia"/>
          <w:szCs w:val="21"/>
        </w:rPr>
        <w:t>C</w:t>
      </w:r>
      <w:r>
        <w:rPr>
          <w:szCs w:val="21"/>
        </w:rPr>
        <w:t>old</w:t>
      </w:r>
      <w:r>
        <w:rPr>
          <w:rFonts w:hint="eastAsia"/>
          <w:szCs w:val="21"/>
        </w:rPr>
        <w:t xml:space="preserve"> (H</w:t>
      </w:r>
      <w:r>
        <w:rPr>
          <w:szCs w:val="21"/>
        </w:rPr>
        <w:t>ot</w:t>
      </w:r>
      <w:r>
        <w:rPr>
          <w:rFonts w:hint="eastAsia"/>
          <w:szCs w:val="21"/>
        </w:rPr>
        <w:t>) W</w:t>
      </w:r>
      <w:r>
        <w:rPr>
          <w:szCs w:val="21"/>
        </w:rPr>
        <w:t>ater</w:t>
      </w:r>
      <w:r>
        <w:rPr>
          <w:rFonts w:hint="eastAsia"/>
          <w:szCs w:val="21"/>
        </w:rPr>
        <w:t xml:space="preserve"> F</w:t>
      </w:r>
      <w:r>
        <w:rPr>
          <w:szCs w:val="21"/>
        </w:rPr>
        <w:t xml:space="preserve">low </w:t>
      </w:r>
      <w:r>
        <w:rPr>
          <w:rFonts w:hint="eastAsia"/>
          <w:szCs w:val="21"/>
        </w:rPr>
        <w:t>of</w:t>
      </w:r>
      <w:r>
        <w:rPr>
          <w:szCs w:val="21"/>
        </w:rPr>
        <w:t xml:space="preserve"> </w:t>
      </w:r>
      <w:r>
        <w:rPr>
          <w:rFonts w:hint="eastAsia"/>
          <w:szCs w:val="21"/>
        </w:rPr>
        <w:t>A</w:t>
      </w:r>
      <w:r>
        <w:rPr>
          <w:szCs w:val="21"/>
        </w:rPr>
        <w:t>ir</w:t>
      </w:r>
      <w:r>
        <w:rPr>
          <w:rFonts w:hint="eastAsia"/>
          <w:szCs w:val="21"/>
        </w:rPr>
        <w:t>-c</w:t>
      </w:r>
      <w:r>
        <w:rPr>
          <w:szCs w:val="21"/>
        </w:rPr>
        <w:t xml:space="preserve">onditioning </w:t>
      </w:r>
      <w:r>
        <w:rPr>
          <w:rFonts w:hint="eastAsia"/>
          <w:szCs w:val="21"/>
        </w:rPr>
        <w:t>S</w:t>
      </w:r>
      <w:r>
        <w:rPr>
          <w:szCs w:val="21"/>
        </w:rPr>
        <w:t>ystem</w:t>
      </w:r>
      <w:r>
        <w:rPr>
          <w:rFonts w:hint="eastAsia"/>
          <w:szCs w:val="21"/>
        </w:rPr>
        <w:t>..................................................31</w:t>
      </w:r>
    </w:p>
    <w:p>
      <w:pPr>
        <w:widowControl/>
        <w:spacing w:line="300" w:lineRule="auto"/>
        <w:ind w:firstLine="210" w:firstLineChars="100"/>
        <w:jc w:val="left"/>
        <w:rPr>
          <w:szCs w:val="21"/>
        </w:rPr>
      </w:pPr>
      <w:r>
        <w:rPr>
          <w:rFonts w:hint="eastAsia"/>
          <w:szCs w:val="21"/>
        </w:rPr>
        <w:t xml:space="preserve">7.9  </w:t>
      </w:r>
      <w:r>
        <w:rPr>
          <w:szCs w:val="21"/>
        </w:rPr>
        <w:t>Total Cooling Water Flow of</w:t>
      </w:r>
      <w:r>
        <w:rPr>
          <w:rFonts w:hint="eastAsia"/>
          <w:szCs w:val="21"/>
        </w:rPr>
        <w:t xml:space="preserve"> </w:t>
      </w:r>
      <w:r>
        <w:rPr>
          <w:szCs w:val="21"/>
        </w:rPr>
        <w:t>Air</w:t>
      </w:r>
      <w:r>
        <w:rPr>
          <w:rFonts w:hint="eastAsia"/>
          <w:szCs w:val="21"/>
        </w:rPr>
        <w:t>-c</w:t>
      </w:r>
      <w:r>
        <w:rPr>
          <w:szCs w:val="21"/>
        </w:rPr>
        <w:t>onditioning System</w:t>
      </w:r>
      <w:r>
        <w:rPr>
          <w:rFonts w:hint="eastAsia"/>
          <w:szCs w:val="21"/>
        </w:rPr>
        <w:t>......................................................31</w:t>
      </w:r>
    </w:p>
    <w:p>
      <w:pPr>
        <w:widowControl/>
        <w:spacing w:line="300" w:lineRule="auto"/>
        <w:ind w:firstLine="210" w:firstLineChars="100"/>
        <w:jc w:val="left"/>
        <w:rPr>
          <w:szCs w:val="21"/>
        </w:rPr>
      </w:pPr>
      <w:r>
        <w:rPr>
          <w:rFonts w:hint="eastAsia"/>
          <w:szCs w:val="21"/>
        </w:rPr>
        <w:t xml:space="preserve">7.10  </w:t>
      </w:r>
      <w:r>
        <w:rPr>
          <w:szCs w:val="21"/>
        </w:rPr>
        <w:t>Water Flow of Air Processing Unit</w:t>
      </w:r>
      <w:r>
        <w:rPr>
          <w:rFonts w:hint="eastAsia"/>
          <w:szCs w:val="21"/>
        </w:rPr>
        <w:t>...................................................................................32</w:t>
      </w:r>
    </w:p>
    <w:p>
      <w:pPr>
        <w:widowControl/>
        <w:spacing w:line="300" w:lineRule="auto"/>
        <w:ind w:firstLine="210" w:firstLineChars="100"/>
        <w:jc w:val="left"/>
        <w:rPr>
          <w:szCs w:val="21"/>
        </w:rPr>
      </w:pPr>
      <w:r>
        <w:rPr>
          <w:rFonts w:hint="eastAsia"/>
          <w:szCs w:val="21"/>
        </w:rPr>
        <w:t xml:space="preserve">7.11  </w:t>
      </w:r>
      <w:r>
        <w:rPr>
          <w:szCs w:val="21"/>
        </w:rPr>
        <w:t>Ratio of</w:t>
      </w:r>
      <w:r>
        <w:rPr>
          <w:rFonts w:hint="eastAsia"/>
          <w:szCs w:val="21"/>
        </w:rPr>
        <w:t xml:space="preserve"> Electricity </w:t>
      </w:r>
      <w:r>
        <w:rPr>
          <w:szCs w:val="21"/>
        </w:rPr>
        <w:t xml:space="preserve">Consumption </w:t>
      </w:r>
      <w:r>
        <w:rPr>
          <w:rFonts w:hint="eastAsia"/>
          <w:szCs w:val="21"/>
        </w:rPr>
        <w:t>to Transferred</w:t>
      </w:r>
      <w:r>
        <w:rPr>
          <w:szCs w:val="21"/>
        </w:rPr>
        <w:t xml:space="preserve"> </w:t>
      </w:r>
      <w:r>
        <w:rPr>
          <w:rFonts w:hint="eastAsia"/>
          <w:szCs w:val="21"/>
        </w:rPr>
        <w:t>Cooling(</w:t>
      </w:r>
      <w:r>
        <w:rPr>
          <w:szCs w:val="21"/>
        </w:rPr>
        <w:t>Heat</w:t>
      </w:r>
      <w:r>
        <w:rPr>
          <w:rFonts w:hint="eastAsia"/>
          <w:szCs w:val="21"/>
        </w:rPr>
        <w:t>)</w:t>
      </w:r>
      <w:r>
        <w:rPr>
          <w:szCs w:val="21"/>
        </w:rPr>
        <w:t xml:space="preserve"> </w:t>
      </w:r>
      <w:r>
        <w:rPr>
          <w:rFonts w:hint="eastAsia"/>
          <w:szCs w:val="21"/>
        </w:rPr>
        <w:t>Quantity.......................32</w:t>
      </w:r>
    </w:p>
    <w:p>
      <w:pPr>
        <w:widowControl/>
        <w:spacing w:line="300" w:lineRule="auto"/>
        <w:ind w:firstLine="210" w:firstLineChars="100"/>
        <w:jc w:val="left"/>
        <w:rPr>
          <w:szCs w:val="21"/>
        </w:rPr>
      </w:pPr>
      <w:r>
        <w:rPr>
          <w:rFonts w:hint="eastAsia"/>
          <w:szCs w:val="21"/>
        </w:rPr>
        <w:t>7.12  T</w:t>
      </w:r>
      <w:r>
        <w:rPr>
          <w:szCs w:val="21"/>
        </w:rPr>
        <w:t xml:space="preserve">hermal </w:t>
      </w:r>
      <w:r>
        <w:rPr>
          <w:rFonts w:hint="eastAsia"/>
          <w:szCs w:val="21"/>
        </w:rPr>
        <w:t>S</w:t>
      </w:r>
      <w:r>
        <w:rPr>
          <w:szCs w:val="21"/>
        </w:rPr>
        <w:t>torage</w:t>
      </w:r>
      <w:r>
        <w:rPr>
          <w:rFonts w:hint="eastAsia"/>
          <w:szCs w:val="21"/>
        </w:rPr>
        <w:t xml:space="preserve"> </w:t>
      </w:r>
      <w:r>
        <w:rPr>
          <w:szCs w:val="21"/>
        </w:rPr>
        <w:t>performance</w:t>
      </w:r>
      <w:r>
        <w:rPr>
          <w:rFonts w:hint="eastAsia"/>
          <w:szCs w:val="21"/>
        </w:rPr>
        <w:t xml:space="preserve"> </w:t>
      </w:r>
      <w:r>
        <w:rPr>
          <w:szCs w:val="21"/>
        </w:rPr>
        <w:t>coefficient</w:t>
      </w:r>
      <w:r>
        <w:rPr>
          <w:rFonts w:hint="eastAsia"/>
          <w:szCs w:val="21"/>
        </w:rPr>
        <w:t>.........................................................................35</w:t>
      </w:r>
    </w:p>
    <w:p>
      <w:pPr>
        <w:widowControl/>
        <w:spacing w:line="300" w:lineRule="auto"/>
        <w:jc w:val="left"/>
        <w:rPr>
          <w:sz w:val="24"/>
        </w:rPr>
      </w:pPr>
      <w:r>
        <w:rPr>
          <w:rFonts w:hint="eastAsia"/>
          <w:sz w:val="24"/>
        </w:rPr>
        <w:t xml:space="preserve">8  </w:t>
      </w:r>
      <w:r>
        <w:rPr>
          <w:sz w:val="24"/>
        </w:rPr>
        <w:t xml:space="preserve">Ventilation </w:t>
      </w:r>
      <w:r>
        <w:rPr>
          <w:rFonts w:hint="eastAsia"/>
          <w:sz w:val="24"/>
        </w:rPr>
        <w:t>S</w:t>
      </w:r>
      <w:r>
        <w:rPr>
          <w:sz w:val="24"/>
        </w:rPr>
        <w:t>ystem</w:t>
      </w:r>
      <w:r>
        <w:rPr>
          <w:rFonts w:hint="eastAsia"/>
          <w:sz w:val="24"/>
        </w:rPr>
        <w:t xml:space="preserve"> and Air-conditioning Air System </w:t>
      </w:r>
      <w:r>
        <w:rPr>
          <w:sz w:val="24"/>
        </w:rPr>
        <w:t>Perfor</w:t>
      </w:r>
      <w:r>
        <w:rPr>
          <w:rFonts w:hint="eastAsia"/>
          <w:sz w:val="24"/>
        </w:rPr>
        <w:t>m</w:t>
      </w:r>
      <w:r>
        <w:rPr>
          <w:sz w:val="24"/>
        </w:rPr>
        <w:t>ance</w:t>
      </w:r>
      <w:r>
        <w:rPr>
          <w:rFonts w:hint="eastAsia"/>
          <w:sz w:val="24"/>
        </w:rPr>
        <w:t xml:space="preserve"> </w:t>
      </w:r>
      <w:r>
        <w:rPr>
          <w:sz w:val="24"/>
        </w:rPr>
        <w:t>Test………</w:t>
      </w:r>
      <w:r>
        <w:rPr>
          <w:rFonts w:hint="eastAsia"/>
          <w:sz w:val="24"/>
        </w:rPr>
        <w:t>...36</w:t>
      </w:r>
    </w:p>
    <w:p>
      <w:pPr>
        <w:widowControl/>
        <w:spacing w:line="300" w:lineRule="auto"/>
        <w:jc w:val="left"/>
        <w:rPr>
          <w:szCs w:val="21"/>
        </w:rPr>
      </w:pPr>
      <w:r>
        <w:rPr>
          <w:rFonts w:hint="eastAsia"/>
          <w:szCs w:val="21"/>
        </w:rPr>
        <w:t xml:space="preserve">  8.1  Ge</w:t>
      </w:r>
      <w:r>
        <w:rPr>
          <w:szCs w:val="21"/>
        </w:rPr>
        <w:t>nera1</w:t>
      </w:r>
      <w:r>
        <w:rPr>
          <w:rFonts w:hint="eastAsia"/>
          <w:szCs w:val="21"/>
        </w:rPr>
        <w:t xml:space="preserve"> </w:t>
      </w:r>
      <w:r>
        <w:rPr>
          <w:szCs w:val="21"/>
        </w:rPr>
        <w:t>Requirements</w:t>
      </w:r>
      <w:r>
        <w:rPr>
          <w:rFonts w:hint="eastAsia"/>
          <w:szCs w:val="21"/>
        </w:rPr>
        <w:t>........................................................................................................36</w:t>
      </w:r>
    </w:p>
    <w:p>
      <w:pPr>
        <w:widowControl/>
        <w:spacing w:line="300" w:lineRule="auto"/>
        <w:ind w:firstLine="210" w:firstLineChars="100"/>
        <w:jc w:val="left"/>
        <w:rPr>
          <w:szCs w:val="21"/>
        </w:rPr>
      </w:pPr>
      <w:r>
        <w:rPr>
          <w:rFonts w:hint="eastAsia"/>
          <w:szCs w:val="21"/>
        </w:rPr>
        <w:t xml:space="preserve">8.2  </w:t>
      </w:r>
      <w:r>
        <w:rPr>
          <w:szCs w:val="21"/>
        </w:rPr>
        <w:t xml:space="preserve">Total </w:t>
      </w:r>
      <w:r>
        <w:rPr>
          <w:rFonts w:hint="eastAsia"/>
          <w:szCs w:val="21"/>
        </w:rPr>
        <w:t>A</w:t>
      </w:r>
      <w:r>
        <w:rPr>
          <w:szCs w:val="21"/>
        </w:rPr>
        <w:t xml:space="preserve">ir </w:t>
      </w:r>
      <w:r>
        <w:rPr>
          <w:rFonts w:hint="eastAsia"/>
          <w:szCs w:val="21"/>
        </w:rPr>
        <w:t>V</w:t>
      </w:r>
      <w:r>
        <w:rPr>
          <w:szCs w:val="21"/>
        </w:rPr>
        <w:t xml:space="preserve">olume of the </w:t>
      </w:r>
      <w:r>
        <w:rPr>
          <w:rFonts w:hint="eastAsia"/>
          <w:szCs w:val="21"/>
        </w:rPr>
        <w:t>S</w:t>
      </w:r>
      <w:r>
        <w:rPr>
          <w:szCs w:val="21"/>
        </w:rPr>
        <w:t>ystem</w:t>
      </w:r>
      <w:r>
        <w:rPr>
          <w:rFonts w:hint="eastAsia"/>
          <w:szCs w:val="21"/>
        </w:rPr>
        <w:t>(Fresh Air Volume) ..........................................................36</w:t>
      </w:r>
    </w:p>
    <w:p>
      <w:pPr>
        <w:widowControl/>
        <w:spacing w:line="300" w:lineRule="auto"/>
        <w:ind w:firstLine="210" w:firstLineChars="100"/>
        <w:jc w:val="left"/>
        <w:rPr>
          <w:szCs w:val="21"/>
        </w:rPr>
      </w:pPr>
      <w:r>
        <w:rPr>
          <w:rFonts w:hint="eastAsia"/>
          <w:szCs w:val="21"/>
        </w:rPr>
        <w:t>8.3  Tuyere</w:t>
      </w:r>
      <w:r>
        <w:rPr>
          <w:szCs w:val="21"/>
        </w:rPr>
        <w:t xml:space="preserve"> </w:t>
      </w:r>
      <w:r>
        <w:rPr>
          <w:rFonts w:hint="eastAsia"/>
          <w:szCs w:val="21"/>
        </w:rPr>
        <w:t>A</w:t>
      </w:r>
      <w:r>
        <w:rPr>
          <w:szCs w:val="21"/>
        </w:rPr>
        <w:t xml:space="preserve">ir </w:t>
      </w:r>
      <w:r>
        <w:rPr>
          <w:rFonts w:hint="eastAsia"/>
          <w:szCs w:val="21"/>
        </w:rPr>
        <w:t>V</w:t>
      </w:r>
      <w:r>
        <w:rPr>
          <w:szCs w:val="21"/>
        </w:rPr>
        <w:t>olume</w:t>
      </w:r>
      <w:r>
        <w:rPr>
          <w:rFonts w:hint="eastAsia"/>
          <w:szCs w:val="21"/>
        </w:rPr>
        <w:t>..............................................................................................................37</w:t>
      </w:r>
    </w:p>
    <w:p>
      <w:pPr>
        <w:widowControl/>
        <w:spacing w:line="300" w:lineRule="auto"/>
        <w:ind w:firstLine="210" w:firstLineChars="100"/>
        <w:jc w:val="left"/>
        <w:rPr>
          <w:szCs w:val="21"/>
        </w:rPr>
      </w:pPr>
      <w:r>
        <w:rPr>
          <w:rFonts w:hint="eastAsia"/>
          <w:szCs w:val="21"/>
        </w:rPr>
        <w:t>8.4  Constant Air Flow System Balance Ratio...........................................................................37</w:t>
      </w:r>
    </w:p>
    <w:p>
      <w:pPr>
        <w:widowControl/>
        <w:spacing w:line="300" w:lineRule="auto"/>
        <w:ind w:firstLine="210" w:firstLineChars="100"/>
        <w:jc w:val="left"/>
        <w:rPr>
          <w:szCs w:val="21"/>
        </w:rPr>
      </w:pPr>
      <w:r>
        <w:rPr>
          <w:rFonts w:hint="eastAsia"/>
          <w:szCs w:val="21"/>
        </w:rPr>
        <w:t>8.5  Fan Power Consumption Per Unit Air Volume...................................................................37</w:t>
      </w:r>
    </w:p>
    <w:p>
      <w:pPr>
        <w:widowControl/>
        <w:spacing w:line="300" w:lineRule="auto"/>
        <w:ind w:firstLine="210" w:firstLineChars="100"/>
        <w:jc w:val="left"/>
        <w:rPr>
          <w:szCs w:val="21"/>
        </w:rPr>
      </w:pPr>
      <w:r>
        <w:rPr>
          <w:rFonts w:hint="eastAsia"/>
          <w:szCs w:val="21"/>
        </w:rPr>
        <w:t xml:space="preserve">8.6  </w:t>
      </w:r>
      <w:r>
        <w:rPr>
          <w:szCs w:val="21"/>
        </w:rPr>
        <w:t xml:space="preserve">Exchange </w:t>
      </w:r>
      <w:r>
        <w:rPr>
          <w:rFonts w:hint="eastAsia"/>
          <w:szCs w:val="21"/>
        </w:rPr>
        <w:t>E</w:t>
      </w:r>
      <w:r>
        <w:rPr>
          <w:szCs w:val="21"/>
        </w:rPr>
        <w:t>ff</w:t>
      </w:r>
      <w:r>
        <w:rPr>
          <w:rFonts w:hint="eastAsia"/>
          <w:szCs w:val="21"/>
        </w:rPr>
        <w:t xml:space="preserve">ectiveness </w:t>
      </w:r>
      <w:r>
        <w:rPr>
          <w:szCs w:val="21"/>
        </w:rPr>
        <w:t xml:space="preserve">of </w:t>
      </w:r>
      <w:r>
        <w:rPr>
          <w:rFonts w:hint="eastAsia"/>
          <w:szCs w:val="21"/>
        </w:rPr>
        <w:t>A</w:t>
      </w:r>
      <w:r>
        <w:rPr>
          <w:szCs w:val="21"/>
        </w:rPr>
        <w:t>ir</w:t>
      </w:r>
      <w:r>
        <w:rPr>
          <w:rFonts w:hint="eastAsia"/>
          <w:szCs w:val="21"/>
        </w:rPr>
        <w:t>-</w:t>
      </w:r>
      <w:r>
        <w:rPr>
          <w:szCs w:val="21"/>
        </w:rPr>
        <w:t xml:space="preserve">conditioning </w:t>
      </w:r>
      <w:r>
        <w:rPr>
          <w:rFonts w:hint="eastAsia"/>
          <w:szCs w:val="21"/>
        </w:rPr>
        <w:t>H</w:t>
      </w:r>
      <w:r>
        <w:rPr>
          <w:szCs w:val="21"/>
        </w:rPr>
        <w:t xml:space="preserve">eat </w:t>
      </w:r>
      <w:r>
        <w:rPr>
          <w:rFonts w:hint="eastAsia"/>
          <w:szCs w:val="21"/>
        </w:rPr>
        <w:t>R</w:t>
      </w:r>
      <w:r>
        <w:rPr>
          <w:szCs w:val="21"/>
        </w:rPr>
        <w:t xml:space="preserve">ecovery </w:t>
      </w:r>
      <w:r>
        <w:rPr>
          <w:rFonts w:hint="eastAsia"/>
          <w:szCs w:val="21"/>
        </w:rPr>
        <w:t>U</w:t>
      </w:r>
      <w:r>
        <w:rPr>
          <w:szCs w:val="21"/>
        </w:rPr>
        <w:t>nit</w:t>
      </w:r>
      <w:r>
        <w:rPr>
          <w:rFonts w:hint="eastAsia"/>
          <w:szCs w:val="21"/>
        </w:rPr>
        <w:t>......................................38</w:t>
      </w:r>
    </w:p>
    <w:p>
      <w:pPr>
        <w:widowControl/>
        <w:spacing w:line="300" w:lineRule="auto"/>
        <w:ind w:firstLine="210" w:firstLineChars="100"/>
        <w:jc w:val="left"/>
        <w:rPr>
          <w:szCs w:val="21"/>
        </w:rPr>
      </w:pPr>
      <w:r>
        <w:rPr>
          <w:rFonts w:hint="eastAsia"/>
          <w:szCs w:val="21"/>
        </w:rPr>
        <w:t xml:space="preserve">8.7  </w:t>
      </w:r>
      <w:r>
        <w:rPr>
          <w:szCs w:val="21"/>
        </w:rPr>
        <w:t>Ventilation Performance of Residential Exhaust</w:t>
      </w:r>
      <w:r>
        <w:rPr>
          <w:rFonts w:hint="eastAsia"/>
          <w:szCs w:val="21"/>
        </w:rPr>
        <w:t xml:space="preserve"> Pipe</w:t>
      </w:r>
      <w:r>
        <w:rPr>
          <w:szCs w:val="21"/>
        </w:rPr>
        <w:t xml:space="preserve"> System</w:t>
      </w:r>
      <w:r>
        <w:rPr>
          <w:rFonts w:hint="eastAsia"/>
          <w:szCs w:val="21"/>
        </w:rPr>
        <w:t>............................................38</w:t>
      </w:r>
    </w:p>
    <w:p>
      <w:pPr>
        <w:widowControl/>
        <w:spacing w:line="300" w:lineRule="auto"/>
        <w:jc w:val="left"/>
        <w:rPr>
          <w:sz w:val="24"/>
        </w:rPr>
      </w:pPr>
      <w:r>
        <w:rPr>
          <w:rFonts w:hint="eastAsia"/>
          <w:sz w:val="24"/>
        </w:rPr>
        <w:t xml:space="preserve">9  </w:t>
      </w:r>
      <w:r>
        <w:rPr>
          <w:sz w:val="24"/>
        </w:rPr>
        <w:t xml:space="preserve">Water </w:t>
      </w:r>
      <w:r>
        <w:rPr>
          <w:rFonts w:hint="eastAsia"/>
          <w:sz w:val="24"/>
        </w:rPr>
        <w:t>S</w:t>
      </w:r>
      <w:r>
        <w:rPr>
          <w:sz w:val="24"/>
        </w:rPr>
        <w:t xml:space="preserve">upply and </w:t>
      </w:r>
      <w:r>
        <w:rPr>
          <w:rFonts w:hint="eastAsia"/>
          <w:sz w:val="24"/>
        </w:rPr>
        <w:t>D</w:t>
      </w:r>
      <w:r>
        <w:rPr>
          <w:sz w:val="24"/>
        </w:rPr>
        <w:t xml:space="preserve">rainage </w:t>
      </w:r>
      <w:r>
        <w:rPr>
          <w:rFonts w:hint="eastAsia"/>
          <w:sz w:val="24"/>
        </w:rPr>
        <w:t>S</w:t>
      </w:r>
      <w:r>
        <w:rPr>
          <w:sz w:val="24"/>
        </w:rPr>
        <w:t>ystem</w:t>
      </w:r>
      <w:r>
        <w:rPr>
          <w:rFonts w:hint="eastAsia"/>
          <w:sz w:val="24"/>
        </w:rPr>
        <w:t xml:space="preserve"> </w:t>
      </w:r>
      <w:r>
        <w:rPr>
          <w:sz w:val="24"/>
        </w:rPr>
        <w:t>Test……………………………………</w:t>
      </w:r>
      <w:r>
        <w:rPr>
          <w:rFonts w:hint="eastAsia"/>
          <w:sz w:val="24"/>
        </w:rPr>
        <w:t>...</w:t>
      </w:r>
      <w:r>
        <w:rPr>
          <w:sz w:val="24"/>
        </w:rPr>
        <w:t>…</w:t>
      </w:r>
      <w:r>
        <w:rPr>
          <w:rFonts w:hint="eastAsia"/>
          <w:sz w:val="24"/>
        </w:rPr>
        <w:t>40</w:t>
      </w:r>
    </w:p>
    <w:p>
      <w:pPr>
        <w:widowControl/>
        <w:spacing w:line="300" w:lineRule="auto"/>
        <w:jc w:val="left"/>
        <w:rPr>
          <w:szCs w:val="21"/>
        </w:rPr>
      </w:pPr>
      <w:r>
        <w:rPr>
          <w:rFonts w:hint="eastAsia"/>
          <w:szCs w:val="21"/>
        </w:rPr>
        <w:t xml:space="preserve">  9.1  Ge</w:t>
      </w:r>
      <w:r>
        <w:rPr>
          <w:szCs w:val="21"/>
        </w:rPr>
        <w:t>nera1</w:t>
      </w:r>
      <w:r>
        <w:rPr>
          <w:rFonts w:hint="eastAsia"/>
          <w:szCs w:val="21"/>
        </w:rPr>
        <w:t xml:space="preserve"> </w:t>
      </w:r>
      <w:r>
        <w:rPr>
          <w:szCs w:val="21"/>
        </w:rPr>
        <w:t>Requirements……………………………………………………</w:t>
      </w:r>
      <w:r>
        <w:rPr>
          <w:rFonts w:hint="eastAsia"/>
          <w:szCs w:val="21"/>
        </w:rPr>
        <w:t>....................</w:t>
      </w:r>
      <w:r>
        <w:rPr>
          <w:szCs w:val="21"/>
        </w:rPr>
        <w:t>…</w:t>
      </w:r>
      <w:r>
        <w:rPr>
          <w:rFonts w:hint="eastAsia"/>
          <w:szCs w:val="21"/>
        </w:rPr>
        <w:t>40</w:t>
      </w:r>
    </w:p>
    <w:p>
      <w:pPr>
        <w:widowControl/>
        <w:spacing w:line="300" w:lineRule="auto"/>
        <w:ind w:firstLine="210" w:firstLineChars="100"/>
        <w:jc w:val="left"/>
        <w:rPr>
          <w:szCs w:val="21"/>
        </w:rPr>
      </w:pPr>
      <w:r>
        <w:rPr>
          <w:rFonts w:hint="eastAsia"/>
          <w:szCs w:val="21"/>
        </w:rPr>
        <w:t xml:space="preserve">9.2  </w:t>
      </w:r>
      <w:r>
        <w:rPr>
          <w:szCs w:val="21"/>
        </w:rPr>
        <w:t xml:space="preserve">Quality of </w:t>
      </w:r>
      <w:r>
        <w:rPr>
          <w:rFonts w:hint="eastAsia"/>
          <w:szCs w:val="21"/>
        </w:rPr>
        <w:t>D</w:t>
      </w:r>
      <w:r>
        <w:rPr>
          <w:szCs w:val="21"/>
        </w:rPr>
        <w:t xml:space="preserve">rinking </w:t>
      </w:r>
      <w:r>
        <w:rPr>
          <w:rFonts w:hint="eastAsia"/>
          <w:szCs w:val="21"/>
        </w:rPr>
        <w:t>W</w:t>
      </w:r>
      <w:r>
        <w:rPr>
          <w:szCs w:val="21"/>
        </w:rPr>
        <w:t>ater……………………………………</w:t>
      </w:r>
      <w:r>
        <w:rPr>
          <w:rFonts w:hint="eastAsia"/>
          <w:szCs w:val="21"/>
        </w:rPr>
        <w:t>.......................................</w:t>
      </w:r>
      <w:r>
        <w:rPr>
          <w:szCs w:val="21"/>
        </w:rPr>
        <w:t>…</w:t>
      </w:r>
      <w:r>
        <w:rPr>
          <w:rFonts w:hint="eastAsia"/>
          <w:szCs w:val="21"/>
        </w:rPr>
        <w:t>40</w:t>
      </w:r>
    </w:p>
    <w:p>
      <w:pPr>
        <w:widowControl/>
        <w:spacing w:line="300" w:lineRule="auto"/>
        <w:ind w:firstLine="210" w:firstLineChars="100"/>
        <w:jc w:val="left"/>
        <w:rPr>
          <w:szCs w:val="21"/>
        </w:rPr>
      </w:pPr>
      <w:r>
        <w:rPr>
          <w:rFonts w:hint="eastAsia"/>
          <w:szCs w:val="21"/>
        </w:rPr>
        <w:t>9.3  Q</w:t>
      </w:r>
      <w:r>
        <w:rPr>
          <w:szCs w:val="21"/>
        </w:rPr>
        <w:t xml:space="preserve">uality of </w:t>
      </w:r>
      <w:r>
        <w:rPr>
          <w:rFonts w:hint="eastAsia"/>
          <w:szCs w:val="21"/>
        </w:rPr>
        <w:t>C</w:t>
      </w:r>
      <w:r>
        <w:rPr>
          <w:szCs w:val="21"/>
        </w:rPr>
        <w:t xml:space="preserve">irculating </w:t>
      </w:r>
      <w:r>
        <w:rPr>
          <w:rFonts w:hint="eastAsia"/>
          <w:szCs w:val="21"/>
        </w:rPr>
        <w:t>P</w:t>
      </w:r>
      <w:r>
        <w:rPr>
          <w:szCs w:val="21"/>
        </w:rPr>
        <w:t xml:space="preserve">urified </w:t>
      </w:r>
      <w:r>
        <w:rPr>
          <w:rFonts w:hint="eastAsia"/>
          <w:szCs w:val="21"/>
        </w:rPr>
        <w:t>W</w:t>
      </w:r>
      <w:r>
        <w:rPr>
          <w:szCs w:val="21"/>
        </w:rPr>
        <w:t>ater…………………………………</w:t>
      </w:r>
      <w:r>
        <w:rPr>
          <w:rFonts w:hint="eastAsia"/>
          <w:szCs w:val="21"/>
        </w:rPr>
        <w:t>.</w:t>
      </w:r>
      <w:r>
        <w:rPr>
          <w:szCs w:val="21"/>
        </w:rPr>
        <w:t>…</w:t>
      </w:r>
      <w:r>
        <w:rPr>
          <w:rFonts w:hint="eastAsia"/>
          <w:szCs w:val="21"/>
        </w:rPr>
        <w:t>....................</w:t>
      </w:r>
      <w:r>
        <w:rPr>
          <w:szCs w:val="21"/>
        </w:rPr>
        <w:t>…</w:t>
      </w:r>
      <w:r>
        <w:rPr>
          <w:rFonts w:hint="eastAsia"/>
          <w:szCs w:val="21"/>
        </w:rPr>
        <w:t>40</w:t>
      </w:r>
    </w:p>
    <w:p>
      <w:pPr>
        <w:widowControl/>
        <w:spacing w:line="300" w:lineRule="auto"/>
        <w:ind w:firstLine="210" w:firstLineChars="100"/>
        <w:jc w:val="left"/>
        <w:rPr>
          <w:szCs w:val="21"/>
        </w:rPr>
      </w:pPr>
      <w:r>
        <w:rPr>
          <w:rFonts w:hint="eastAsia"/>
          <w:szCs w:val="21"/>
        </w:rPr>
        <w:t>9.4  Q</w:t>
      </w:r>
      <w:r>
        <w:rPr>
          <w:szCs w:val="21"/>
        </w:rPr>
        <w:t xml:space="preserve">uality of </w:t>
      </w:r>
      <w:r>
        <w:rPr>
          <w:rFonts w:hint="eastAsia"/>
          <w:szCs w:val="21"/>
        </w:rPr>
        <w:t>N</w:t>
      </w:r>
      <w:r>
        <w:rPr>
          <w:szCs w:val="21"/>
        </w:rPr>
        <w:t xml:space="preserve">on-traditional </w:t>
      </w:r>
      <w:r>
        <w:rPr>
          <w:rFonts w:hint="eastAsia"/>
          <w:szCs w:val="21"/>
        </w:rPr>
        <w:t>W</w:t>
      </w:r>
      <w:r>
        <w:rPr>
          <w:szCs w:val="21"/>
        </w:rPr>
        <w:t xml:space="preserve">ater </w:t>
      </w:r>
      <w:r>
        <w:rPr>
          <w:rFonts w:hint="eastAsia"/>
          <w:szCs w:val="21"/>
        </w:rPr>
        <w:t>S</w:t>
      </w:r>
      <w:r>
        <w:rPr>
          <w:szCs w:val="21"/>
        </w:rPr>
        <w:t>ources………………………………</w:t>
      </w:r>
      <w:r>
        <w:rPr>
          <w:rFonts w:hint="eastAsia"/>
          <w:szCs w:val="21"/>
        </w:rPr>
        <w:t>..</w:t>
      </w:r>
      <w:r>
        <w:rPr>
          <w:szCs w:val="21"/>
        </w:rPr>
        <w:t>…………</w:t>
      </w:r>
      <w:r>
        <w:rPr>
          <w:rFonts w:hint="eastAsia"/>
          <w:szCs w:val="21"/>
        </w:rPr>
        <w:t>.....</w:t>
      </w:r>
      <w:r>
        <w:rPr>
          <w:szCs w:val="21"/>
        </w:rPr>
        <w:t>…</w:t>
      </w:r>
      <w:r>
        <w:rPr>
          <w:rFonts w:hint="eastAsia"/>
          <w:szCs w:val="21"/>
        </w:rPr>
        <w:t>41</w:t>
      </w:r>
    </w:p>
    <w:p>
      <w:pPr>
        <w:widowControl/>
        <w:spacing w:line="300" w:lineRule="auto"/>
        <w:ind w:firstLine="210" w:firstLineChars="100"/>
        <w:jc w:val="left"/>
        <w:rPr>
          <w:szCs w:val="21"/>
        </w:rPr>
      </w:pPr>
      <w:r>
        <w:rPr>
          <w:rFonts w:hint="eastAsia"/>
          <w:szCs w:val="21"/>
        </w:rPr>
        <w:t xml:space="preserve">9.5  </w:t>
      </w:r>
      <w:r>
        <w:rPr>
          <w:szCs w:val="21"/>
        </w:rPr>
        <w:t>Quality of Sewage Discharge Water………………………………………</w:t>
      </w:r>
      <w:r>
        <w:rPr>
          <w:rFonts w:hint="eastAsia"/>
          <w:szCs w:val="21"/>
        </w:rPr>
        <w:t>.</w:t>
      </w:r>
      <w:r>
        <w:rPr>
          <w:szCs w:val="21"/>
        </w:rPr>
        <w:t>………</w:t>
      </w:r>
      <w:r>
        <w:rPr>
          <w:rFonts w:hint="eastAsia"/>
          <w:szCs w:val="21"/>
        </w:rPr>
        <w:t>......</w:t>
      </w:r>
      <w:r>
        <w:rPr>
          <w:szCs w:val="21"/>
        </w:rPr>
        <w:t>…</w:t>
      </w:r>
      <w:r>
        <w:rPr>
          <w:rFonts w:hint="eastAsia"/>
          <w:szCs w:val="21"/>
        </w:rPr>
        <w:t>42</w:t>
      </w:r>
    </w:p>
    <w:p>
      <w:pPr>
        <w:widowControl/>
        <w:spacing w:line="300" w:lineRule="auto"/>
        <w:ind w:firstLine="210" w:firstLineChars="100"/>
        <w:jc w:val="left"/>
        <w:rPr>
          <w:szCs w:val="21"/>
        </w:rPr>
      </w:pPr>
      <w:r>
        <w:rPr>
          <w:rFonts w:hint="eastAsia"/>
          <w:szCs w:val="21"/>
        </w:rPr>
        <w:t xml:space="preserve">9.6  </w:t>
      </w:r>
      <w:r>
        <w:rPr>
          <w:szCs w:val="21"/>
        </w:rPr>
        <w:t>Leakage of water supply pipeline……………………………………</w:t>
      </w:r>
      <w:r>
        <w:rPr>
          <w:rFonts w:hint="eastAsia"/>
          <w:szCs w:val="21"/>
        </w:rPr>
        <w:t>...........................</w:t>
      </w:r>
      <w:r>
        <w:rPr>
          <w:szCs w:val="21"/>
        </w:rPr>
        <w:t>…</w:t>
      </w:r>
      <w:r>
        <w:rPr>
          <w:rFonts w:hint="eastAsia"/>
          <w:szCs w:val="21"/>
        </w:rPr>
        <w:t>43</w:t>
      </w:r>
    </w:p>
    <w:p>
      <w:pPr>
        <w:widowControl/>
        <w:spacing w:line="300" w:lineRule="auto"/>
        <w:jc w:val="left"/>
        <w:rPr>
          <w:sz w:val="24"/>
        </w:rPr>
      </w:pPr>
      <w:r>
        <w:rPr>
          <w:rFonts w:hint="eastAsia"/>
          <w:sz w:val="24"/>
        </w:rPr>
        <w:t xml:space="preserve">10  </w:t>
      </w:r>
      <w:r>
        <w:rPr>
          <w:sz w:val="24"/>
        </w:rPr>
        <w:t>Power Supply and Distribution System Test ………………………………</w:t>
      </w:r>
      <w:r>
        <w:rPr>
          <w:rFonts w:hint="eastAsia"/>
          <w:sz w:val="24"/>
        </w:rPr>
        <w:t>..</w:t>
      </w:r>
      <w:r>
        <w:rPr>
          <w:sz w:val="24"/>
        </w:rPr>
        <w:t>…</w:t>
      </w:r>
      <w:r>
        <w:rPr>
          <w:rFonts w:hint="eastAsia"/>
          <w:sz w:val="24"/>
        </w:rPr>
        <w:t>.44</w:t>
      </w:r>
    </w:p>
    <w:p>
      <w:pPr>
        <w:widowControl/>
        <w:spacing w:line="300" w:lineRule="auto"/>
        <w:jc w:val="left"/>
        <w:rPr>
          <w:szCs w:val="21"/>
        </w:rPr>
      </w:pPr>
      <w:r>
        <w:rPr>
          <w:rFonts w:hint="eastAsia"/>
          <w:szCs w:val="21"/>
        </w:rPr>
        <w:t xml:space="preserve">  10.1  Ge</w:t>
      </w:r>
      <w:r>
        <w:rPr>
          <w:szCs w:val="21"/>
        </w:rPr>
        <w:t>nera1</w:t>
      </w:r>
      <w:r>
        <w:rPr>
          <w:rFonts w:hint="eastAsia"/>
          <w:szCs w:val="21"/>
        </w:rPr>
        <w:t xml:space="preserve"> </w:t>
      </w:r>
      <w:r>
        <w:rPr>
          <w:szCs w:val="21"/>
        </w:rPr>
        <w:t>Requirements……………………………………………………………</w:t>
      </w:r>
      <w:r>
        <w:rPr>
          <w:rFonts w:hint="eastAsia"/>
          <w:szCs w:val="21"/>
        </w:rPr>
        <w:t>.....</w:t>
      </w:r>
      <w:r>
        <w:rPr>
          <w:szCs w:val="21"/>
        </w:rPr>
        <w:t>…</w:t>
      </w:r>
      <w:r>
        <w:rPr>
          <w:rFonts w:hint="eastAsia"/>
          <w:szCs w:val="21"/>
        </w:rPr>
        <w:t>.44</w:t>
      </w:r>
    </w:p>
    <w:p>
      <w:pPr>
        <w:widowControl/>
        <w:spacing w:line="300" w:lineRule="auto"/>
        <w:ind w:firstLine="210" w:firstLineChars="100"/>
        <w:jc w:val="left"/>
        <w:rPr>
          <w:szCs w:val="21"/>
        </w:rPr>
      </w:pPr>
      <w:r>
        <w:rPr>
          <w:rFonts w:hint="eastAsia"/>
          <w:szCs w:val="21"/>
        </w:rPr>
        <w:t xml:space="preserve">10.2  </w:t>
      </w:r>
      <w:r>
        <w:rPr>
          <w:szCs w:val="21"/>
        </w:rPr>
        <w:t>Three</w:t>
      </w:r>
      <w:r>
        <w:rPr>
          <w:rFonts w:hint="eastAsia"/>
          <w:szCs w:val="21"/>
        </w:rPr>
        <w:t>-</w:t>
      </w:r>
      <w:r>
        <w:rPr>
          <w:szCs w:val="21"/>
        </w:rPr>
        <w:t>phase Voltage Unbalance·………………………………………………</w:t>
      </w:r>
      <w:r>
        <w:rPr>
          <w:rFonts w:hint="eastAsia"/>
          <w:szCs w:val="21"/>
        </w:rPr>
        <w:t>...</w:t>
      </w:r>
      <w:r>
        <w:rPr>
          <w:szCs w:val="21"/>
        </w:rPr>
        <w:t>…</w:t>
      </w:r>
      <w:r>
        <w:rPr>
          <w:rFonts w:hint="eastAsia"/>
          <w:szCs w:val="21"/>
        </w:rPr>
        <w:t>..</w:t>
      </w:r>
      <w:r>
        <w:rPr>
          <w:szCs w:val="21"/>
        </w:rPr>
        <w:t>…</w:t>
      </w:r>
      <w:r>
        <w:rPr>
          <w:rFonts w:hint="eastAsia"/>
          <w:szCs w:val="21"/>
        </w:rPr>
        <w:t>.44</w:t>
      </w:r>
    </w:p>
    <w:p>
      <w:pPr>
        <w:widowControl/>
        <w:spacing w:line="300" w:lineRule="auto"/>
        <w:ind w:firstLine="210" w:firstLineChars="100"/>
        <w:jc w:val="left"/>
        <w:rPr>
          <w:szCs w:val="21"/>
        </w:rPr>
      </w:pPr>
      <w:r>
        <w:rPr>
          <w:rFonts w:hint="eastAsia"/>
          <w:szCs w:val="21"/>
        </w:rPr>
        <w:t>10.3  Harmonic Voltage and Harmonic Current</w:t>
      </w:r>
      <w:r>
        <w:rPr>
          <w:szCs w:val="21"/>
        </w:rPr>
        <w:t>…………………………………………</w:t>
      </w:r>
      <w:r>
        <w:rPr>
          <w:rFonts w:hint="eastAsia"/>
          <w:szCs w:val="21"/>
        </w:rPr>
        <w:t>...</w:t>
      </w:r>
      <w:r>
        <w:rPr>
          <w:szCs w:val="21"/>
        </w:rPr>
        <w:t>…</w:t>
      </w:r>
      <w:r>
        <w:rPr>
          <w:rFonts w:hint="eastAsia"/>
          <w:szCs w:val="21"/>
        </w:rPr>
        <w:t>.45</w:t>
      </w:r>
    </w:p>
    <w:p>
      <w:pPr>
        <w:widowControl/>
        <w:spacing w:line="300" w:lineRule="auto"/>
        <w:ind w:firstLine="210" w:firstLineChars="100"/>
        <w:jc w:val="left"/>
        <w:rPr>
          <w:szCs w:val="21"/>
        </w:rPr>
      </w:pPr>
      <w:r>
        <w:rPr>
          <w:rFonts w:hint="eastAsia"/>
          <w:szCs w:val="21"/>
        </w:rPr>
        <w:t>10.4  Power Factor</w:t>
      </w:r>
      <w:r>
        <w:rPr>
          <w:szCs w:val="21"/>
        </w:rPr>
        <w:t>……………………………………………………………………………</w:t>
      </w:r>
      <w:r>
        <w:rPr>
          <w:rFonts w:hint="eastAsia"/>
          <w:szCs w:val="21"/>
        </w:rPr>
        <w:t>.45</w:t>
      </w:r>
    </w:p>
    <w:p>
      <w:pPr>
        <w:widowControl/>
        <w:spacing w:line="300" w:lineRule="auto"/>
        <w:ind w:firstLine="210" w:firstLineChars="100"/>
        <w:jc w:val="left"/>
        <w:rPr>
          <w:szCs w:val="21"/>
        </w:rPr>
      </w:pPr>
      <w:r>
        <w:rPr>
          <w:rFonts w:hint="eastAsia"/>
          <w:szCs w:val="21"/>
        </w:rPr>
        <w:t xml:space="preserve">10.5  </w:t>
      </w:r>
      <w:r>
        <w:rPr>
          <w:szCs w:val="21"/>
        </w:rPr>
        <w:t xml:space="preserve">Deviation of </w:t>
      </w:r>
      <w:r>
        <w:rPr>
          <w:rFonts w:hint="eastAsia"/>
          <w:szCs w:val="21"/>
        </w:rPr>
        <w:t>Supply</w:t>
      </w:r>
      <w:r>
        <w:rPr>
          <w:szCs w:val="21"/>
        </w:rPr>
        <w:t xml:space="preserve"> Voltage…………………………………………</w:t>
      </w:r>
      <w:r>
        <w:rPr>
          <w:rFonts w:hint="eastAsia"/>
          <w:szCs w:val="21"/>
        </w:rPr>
        <w:t>..</w:t>
      </w:r>
      <w:r>
        <w:rPr>
          <w:szCs w:val="21"/>
        </w:rPr>
        <w:t>……………</w:t>
      </w:r>
      <w:r>
        <w:rPr>
          <w:rFonts w:hint="eastAsia"/>
          <w:szCs w:val="21"/>
        </w:rPr>
        <w:t>..</w:t>
      </w:r>
      <w:r>
        <w:rPr>
          <w:szCs w:val="21"/>
        </w:rPr>
        <w:t>…</w:t>
      </w:r>
      <w:r>
        <w:rPr>
          <w:rFonts w:hint="eastAsia"/>
          <w:szCs w:val="21"/>
        </w:rPr>
        <w:t>.45</w:t>
      </w:r>
    </w:p>
    <w:p>
      <w:pPr>
        <w:widowControl/>
        <w:spacing w:line="300" w:lineRule="auto"/>
        <w:ind w:firstLine="210" w:firstLineChars="100"/>
        <w:jc w:val="left"/>
        <w:rPr>
          <w:szCs w:val="21"/>
        </w:rPr>
      </w:pPr>
      <w:r>
        <w:rPr>
          <w:rFonts w:hint="eastAsia"/>
          <w:szCs w:val="21"/>
        </w:rPr>
        <w:t>10.6  Sub-metering of Power circuit Verification</w:t>
      </w:r>
      <w:r>
        <w:rPr>
          <w:szCs w:val="21"/>
        </w:rPr>
        <w:t>……………………………………</w:t>
      </w:r>
      <w:r>
        <w:rPr>
          <w:rFonts w:hint="eastAsia"/>
          <w:szCs w:val="21"/>
        </w:rPr>
        <w:t>.</w:t>
      </w:r>
      <w:r>
        <w:rPr>
          <w:szCs w:val="21"/>
        </w:rPr>
        <w:t>………</w:t>
      </w:r>
      <w:r>
        <w:rPr>
          <w:rFonts w:hint="eastAsia"/>
          <w:szCs w:val="21"/>
        </w:rPr>
        <w:t>.45</w:t>
      </w:r>
    </w:p>
    <w:p>
      <w:pPr>
        <w:widowControl/>
        <w:spacing w:line="300" w:lineRule="auto"/>
        <w:jc w:val="left"/>
        <w:rPr>
          <w:sz w:val="24"/>
        </w:rPr>
      </w:pPr>
      <w:r>
        <w:rPr>
          <w:rFonts w:hint="eastAsia"/>
          <w:sz w:val="24"/>
        </w:rPr>
        <w:t xml:space="preserve">11  </w:t>
      </w:r>
      <w:r>
        <w:rPr>
          <w:sz w:val="24"/>
        </w:rPr>
        <w:t>Lighting System Test…………………………………………</w:t>
      </w:r>
      <w:r>
        <w:rPr>
          <w:rFonts w:hint="eastAsia"/>
          <w:sz w:val="24"/>
        </w:rPr>
        <w:t>..</w:t>
      </w:r>
      <w:r>
        <w:rPr>
          <w:sz w:val="24"/>
        </w:rPr>
        <w:t>………</w:t>
      </w:r>
      <w:r>
        <w:rPr>
          <w:rFonts w:hint="eastAsia"/>
          <w:sz w:val="24"/>
        </w:rPr>
        <w:t>..</w:t>
      </w:r>
      <w:r>
        <w:rPr>
          <w:sz w:val="24"/>
        </w:rPr>
        <w:t>…</w:t>
      </w:r>
      <w:r>
        <w:rPr>
          <w:rFonts w:hint="eastAsia"/>
          <w:sz w:val="24"/>
        </w:rPr>
        <w:t>...</w:t>
      </w:r>
      <w:r>
        <w:rPr>
          <w:sz w:val="24"/>
        </w:rPr>
        <w:t>…</w:t>
      </w:r>
      <w:r>
        <w:rPr>
          <w:rFonts w:hint="eastAsia"/>
          <w:sz w:val="24"/>
        </w:rPr>
        <w:t>.47</w:t>
      </w:r>
    </w:p>
    <w:p>
      <w:pPr>
        <w:widowControl/>
        <w:spacing w:line="300" w:lineRule="auto"/>
        <w:jc w:val="left"/>
        <w:rPr>
          <w:szCs w:val="21"/>
        </w:rPr>
      </w:pPr>
      <w:r>
        <w:rPr>
          <w:rFonts w:hint="eastAsia"/>
          <w:szCs w:val="21"/>
        </w:rPr>
        <w:t xml:space="preserve">  11.1  Ge</w:t>
      </w:r>
      <w:r>
        <w:rPr>
          <w:szCs w:val="21"/>
        </w:rPr>
        <w:t>nera1</w:t>
      </w:r>
      <w:r>
        <w:rPr>
          <w:rFonts w:hint="eastAsia"/>
          <w:szCs w:val="21"/>
        </w:rPr>
        <w:t xml:space="preserve"> </w:t>
      </w:r>
      <w:r>
        <w:rPr>
          <w:szCs w:val="21"/>
        </w:rPr>
        <w:t>Requirements…………………………………………</w:t>
      </w:r>
      <w:r>
        <w:rPr>
          <w:rFonts w:hint="eastAsia"/>
          <w:szCs w:val="21"/>
        </w:rPr>
        <w:t>..</w:t>
      </w:r>
      <w:r>
        <w:rPr>
          <w:szCs w:val="21"/>
        </w:rPr>
        <w:t>…………………</w:t>
      </w:r>
      <w:r>
        <w:rPr>
          <w:rFonts w:hint="eastAsia"/>
          <w:szCs w:val="21"/>
        </w:rPr>
        <w:t>...</w:t>
      </w:r>
      <w:r>
        <w:rPr>
          <w:szCs w:val="21"/>
        </w:rPr>
        <w:t>…</w:t>
      </w:r>
      <w:r>
        <w:rPr>
          <w:rFonts w:hint="eastAsia"/>
          <w:szCs w:val="21"/>
        </w:rPr>
        <w:t>.47</w:t>
      </w:r>
    </w:p>
    <w:p>
      <w:pPr>
        <w:widowControl/>
        <w:spacing w:line="300" w:lineRule="auto"/>
        <w:ind w:firstLine="210" w:firstLineChars="100"/>
        <w:jc w:val="left"/>
        <w:rPr>
          <w:szCs w:val="21"/>
        </w:rPr>
      </w:pPr>
      <w:r>
        <w:rPr>
          <w:rFonts w:hint="eastAsia"/>
          <w:szCs w:val="21"/>
        </w:rPr>
        <w:t xml:space="preserve">11.2  </w:t>
      </w:r>
      <w:r>
        <w:rPr>
          <w:szCs w:val="21"/>
        </w:rPr>
        <w:t>Illu</w:t>
      </w:r>
      <w:r>
        <w:rPr>
          <w:rFonts w:hint="eastAsia"/>
          <w:szCs w:val="21"/>
        </w:rPr>
        <w:t>m</w:t>
      </w:r>
      <w:r>
        <w:rPr>
          <w:szCs w:val="21"/>
        </w:rPr>
        <w:t>ination Value…………………………………………</w:t>
      </w:r>
      <w:r>
        <w:rPr>
          <w:rFonts w:hint="eastAsia"/>
          <w:szCs w:val="21"/>
        </w:rPr>
        <w:t>..</w:t>
      </w:r>
      <w:r>
        <w:rPr>
          <w:szCs w:val="21"/>
        </w:rPr>
        <w:t>……………………</w:t>
      </w:r>
      <w:r>
        <w:rPr>
          <w:rFonts w:hint="eastAsia"/>
          <w:szCs w:val="21"/>
        </w:rPr>
        <w:t>......</w:t>
      </w:r>
      <w:r>
        <w:rPr>
          <w:szCs w:val="21"/>
        </w:rPr>
        <w:t>…</w:t>
      </w:r>
      <w:r>
        <w:rPr>
          <w:rFonts w:hint="eastAsia"/>
          <w:szCs w:val="21"/>
        </w:rPr>
        <w:t>.47</w:t>
      </w:r>
    </w:p>
    <w:p>
      <w:pPr>
        <w:widowControl/>
        <w:spacing w:line="300" w:lineRule="auto"/>
        <w:ind w:firstLine="210" w:firstLineChars="100"/>
        <w:jc w:val="left"/>
        <w:rPr>
          <w:szCs w:val="21"/>
        </w:rPr>
      </w:pPr>
      <w:r>
        <w:rPr>
          <w:rFonts w:hint="eastAsia"/>
          <w:szCs w:val="21"/>
        </w:rPr>
        <w:t xml:space="preserve">11.3  </w:t>
      </w:r>
      <w:r>
        <w:rPr>
          <w:szCs w:val="21"/>
        </w:rPr>
        <w:t xml:space="preserve">Illumination </w:t>
      </w:r>
      <w:r>
        <w:rPr>
          <w:rFonts w:hint="eastAsia"/>
          <w:szCs w:val="21"/>
        </w:rPr>
        <w:t>U</w:t>
      </w:r>
      <w:r>
        <w:rPr>
          <w:szCs w:val="21"/>
        </w:rPr>
        <w:t>niformity…………………………………………</w:t>
      </w:r>
      <w:r>
        <w:rPr>
          <w:rFonts w:hint="eastAsia"/>
          <w:szCs w:val="21"/>
        </w:rPr>
        <w:t>..</w:t>
      </w:r>
      <w:r>
        <w:rPr>
          <w:szCs w:val="21"/>
        </w:rPr>
        <w:t>………………</w:t>
      </w:r>
      <w:r>
        <w:rPr>
          <w:rFonts w:hint="eastAsia"/>
          <w:szCs w:val="21"/>
        </w:rPr>
        <w:t>.</w:t>
      </w:r>
      <w:r>
        <w:rPr>
          <w:szCs w:val="21"/>
        </w:rPr>
        <w:t>……</w:t>
      </w:r>
      <w:r>
        <w:rPr>
          <w:rFonts w:hint="eastAsia"/>
          <w:szCs w:val="21"/>
        </w:rPr>
        <w:t>.47</w:t>
      </w:r>
    </w:p>
    <w:p>
      <w:pPr>
        <w:widowControl/>
        <w:spacing w:line="300" w:lineRule="auto"/>
        <w:ind w:firstLine="210" w:firstLineChars="100"/>
        <w:jc w:val="left"/>
        <w:rPr>
          <w:szCs w:val="21"/>
        </w:rPr>
      </w:pPr>
      <w:r>
        <w:rPr>
          <w:rFonts w:hint="eastAsia"/>
          <w:szCs w:val="21"/>
        </w:rPr>
        <w:t xml:space="preserve">11.4  </w:t>
      </w:r>
      <w:r>
        <w:rPr>
          <w:szCs w:val="21"/>
        </w:rPr>
        <w:t xml:space="preserve">General </w:t>
      </w:r>
      <w:r>
        <w:rPr>
          <w:rFonts w:hint="eastAsia"/>
          <w:szCs w:val="21"/>
        </w:rPr>
        <w:t>C</w:t>
      </w:r>
      <w:r>
        <w:rPr>
          <w:szCs w:val="21"/>
        </w:rPr>
        <w:t xml:space="preserve">hromogenic </w:t>
      </w:r>
      <w:r>
        <w:rPr>
          <w:rFonts w:hint="eastAsia"/>
          <w:szCs w:val="21"/>
        </w:rPr>
        <w:t>I</w:t>
      </w:r>
      <w:r>
        <w:rPr>
          <w:szCs w:val="21"/>
        </w:rPr>
        <w:t>ndex…………………………………………</w:t>
      </w:r>
      <w:r>
        <w:rPr>
          <w:rFonts w:hint="eastAsia"/>
          <w:szCs w:val="21"/>
        </w:rPr>
        <w:t>..</w:t>
      </w:r>
      <w:r>
        <w:rPr>
          <w:szCs w:val="21"/>
        </w:rPr>
        <w:t>……………</w:t>
      </w:r>
      <w:r>
        <w:rPr>
          <w:rFonts w:hint="eastAsia"/>
          <w:szCs w:val="21"/>
        </w:rPr>
        <w:t>..</w:t>
      </w:r>
      <w:r>
        <w:rPr>
          <w:szCs w:val="21"/>
        </w:rPr>
        <w:t>…</w:t>
      </w:r>
      <w:r>
        <w:rPr>
          <w:rFonts w:hint="eastAsia"/>
          <w:szCs w:val="21"/>
        </w:rPr>
        <w:t>.48</w:t>
      </w:r>
    </w:p>
    <w:p>
      <w:pPr>
        <w:widowControl/>
        <w:spacing w:line="300" w:lineRule="auto"/>
        <w:ind w:firstLine="210" w:firstLineChars="100"/>
        <w:jc w:val="left"/>
        <w:rPr>
          <w:szCs w:val="21"/>
        </w:rPr>
      </w:pPr>
      <w:r>
        <w:rPr>
          <w:rFonts w:hint="eastAsia"/>
          <w:szCs w:val="21"/>
        </w:rPr>
        <w:t xml:space="preserve">11.5  </w:t>
      </w:r>
      <w:r>
        <w:rPr>
          <w:szCs w:val="21"/>
        </w:rPr>
        <w:t xml:space="preserve">Lighting </w:t>
      </w:r>
      <w:r>
        <w:rPr>
          <w:rFonts w:hint="eastAsia"/>
          <w:szCs w:val="21"/>
        </w:rPr>
        <w:t>P</w:t>
      </w:r>
      <w:r>
        <w:rPr>
          <w:szCs w:val="21"/>
        </w:rPr>
        <w:t xml:space="preserve">ower </w:t>
      </w:r>
      <w:r>
        <w:rPr>
          <w:rFonts w:hint="eastAsia"/>
          <w:szCs w:val="21"/>
        </w:rPr>
        <w:t>D</w:t>
      </w:r>
      <w:r>
        <w:rPr>
          <w:szCs w:val="21"/>
        </w:rPr>
        <w:t>ensity…………………………………………</w:t>
      </w:r>
      <w:r>
        <w:rPr>
          <w:rFonts w:hint="eastAsia"/>
          <w:szCs w:val="21"/>
        </w:rPr>
        <w:t>..</w:t>
      </w:r>
      <w:r>
        <w:rPr>
          <w:szCs w:val="21"/>
        </w:rPr>
        <w:t>………………</w:t>
      </w:r>
      <w:r>
        <w:rPr>
          <w:rFonts w:hint="eastAsia"/>
          <w:szCs w:val="21"/>
        </w:rPr>
        <w:t>.</w:t>
      </w:r>
      <w:r>
        <w:rPr>
          <w:szCs w:val="21"/>
        </w:rPr>
        <w:t>……</w:t>
      </w:r>
      <w:r>
        <w:rPr>
          <w:rFonts w:hint="eastAsia"/>
          <w:szCs w:val="21"/>
        </w:rPr>
        <w:t>.48</w:t>
      </w:r>
    </w:p>
    <w:p>
      <w:pPr>
        <w:widowControl/>
        <w:spacing w:line="300" w:lineRule="auto"/>
        <w:ind w:firstLine="210" w:firstLineChars="100"/>
        <w:jc w:val="left"/>
        <w:rPr>
          <w:szCs w:val="21"/>
        </w:rPr>
      </w:pPr>
      <w:r>
        <w:rPr>
          <w:rFonts w:hint="eastAsia"/>
          <w:szCs w:val="21"/>
        </w:rPr>
        <w:t xml:space="preserve">11.6  </w:t>
      </w:r>
      <w:r>
        <w:rPr>
          <w:szCs w:val="21"/>
        </w:rPr>
        <w:t xml:space="preserve">Uniform </w:t>
      </w:r>
      <w:r>
        <w:rPr>
          <w:rFonts w:hint="eastAsia"/>
          <w:szCs w:val="21"/>
        </w:rPr>
        <w:t>G</w:t>
      </w:r>
      <w:r>
        <w:rPr>
          <w:szCs w:val="21"/>
        </w:rPr>
        <w:t xml:space="preserve">lare </w:t>
      </w:r>
      <w:r>
        <w:rPr>
          <w:rFonts w:hint="eastAsia"/>
          <w:szCs w:val="21"/>
        </w:rPr>
        <w:t>V</w:t>
      </w:r>
      <w:r>
        <w:rPr>
          <w:szCs w:val="21"/>
        </w:rPr>
        <w:t>alue…………………………………………</w:t>
      </w:r>
      <w:r>
        <w:rPr>
          <w:rFonts w:hint="eastAsia"/>
          <w:szCs w:val="21"/>
        </w:rPr>
        <w:t>..</w:t>
      </w:r>
      <w:r>
        <w:rPr>
          <w:szCs w:val="21"/>
        </w:rPr>
        <w:t>…………………</w:t>
      </w:r>
      <w:r>
        <w:rPr>
          <w:rFonts w:hint="eastAsia"/>
          <w:szCs w:val="21"/>
        </w:rPr>
        <w:t>..</w:t>
      </w:r>
      <w:r>
        <w:rPr>
          <w:szCs w:val="21"/>
        </w:rPr>
        <w:t>……</w:t>
      </w:r>
      <w:r>
        <w:rPr>
          <w:rFonts w:hint="eastAsia"/>
          <w:szCs w:val="21"/>
        </w:rPr>
        <w:t>.49</w:t>
      </w:r>
    </w:p>
    <w:p>
      <w:pPr>
        <w:widowControl/>
        <w:spacing w:line="300" w:lineRule="auto"/>
        <w:ind w:firstLine="210" w:firstLineChars="100"/>
        <w:jc w:val="left"/>
        <w:rPr>
          <w:szCs w:val="21"/>
        </w:rPr>
      </w:pPr>
      <w:r>
        <w:rPr>
          <w:rFonts w:hint="eastAsia"/>
          <w:szCs w:val="21"/>
        </w:rPr>
        <w:t xml:space="preserve">11.7  </w:t>
      </w:r>
      <w:r>
        <w:rPr>
          <w:szCs w:val="21"/>
        </w:rPr>
        <w:t>Pub</w:t>
      </w:r>
      <w:r>
        <w:rPr>
          <w:rFonts w:hint="eastAsia"/>
          <w:szCs w:val="21"/>
        </w:rPr>
        <w:t>li</w:t>
      </w:r>
      <w:r>
        <w:rPr>
          <w:szCs w:val="21"/>
        </w:rPr>
        <w:t xml:space="preserve">c Area </w:t>
      </w:r>
      <w:r>
        <w:rPr>
          <w:rFonts w:hint="eastAsia"/>
          <w:szCs w:val="21"/>
        </w:rPr>
        <w:t>L</w:t>
      </w:r>
      <w:r>
        <w:rPr>
          <w:szCs w:val="21"/>
        </w:rPr>
        <w:t>ighting Control…………………………………</w:t>
      </w:r>
      <w:r>
        <w:rPr>
          <w:rFonts w:hint="eastAsia"/>
          <w:szCs w:val="21"/>
        </w:rPr>
        <w:t>..</w:t>
      </w:r>
      <w:r>
        <w:rPr>
          <w:szCs w:val="21"/>
        </w:rPr>
        <w:t>…………………</w:t>
      </w:r>
      <w:r>
        <w:rPr>
          <w:rFonts w:hint="eastAsia"/>
          <w:szCs w:val="21"/>
        </w:rPr>
        <w:t>.</w:t>
      </w:r>
      <w:r>
        <w:rPr>
          <w:szCs w:val="21"/>
        </w:rPr>
        <w:t>……</w:t>
      </w:r>
      <w:r>
        <w:rPr>
          <w:rFonts w:hint="eastAsia"/>
          <w:szCs w:val="21"/>
        </w:rPr>
        <w:t>.49</w:t>
      </w:r>
    </w:p>
    <w:p>
      <w:pPr>
        <w:widowControl/>
        <w:spacing w:line="300" w:lineRule="auto"/>
        <w:jc w:val="left"/>
        <w:rPr>
          <w:sz w:val="24"/>
        </w:rPr>
      </w:pPr>
      <w:r>
        <w:rPr>
          <w:rFonts w:hint="eastAsia"/>
          <w:sz w:val="24"/>
        </w:rPr>
        <w:t>12</w:t>
      </w:r>
      <w:bookmarkStart w:id="8" w:name="_Toc530472454"/>
      <w:r>
        <w:rPr>
          <w:rFonts w:hint="eastAsia"/>
          <w:sz w:val="24"/>
        </w:rPr>
        <w:t xml:space="preserve">  </w:t>
      </w:r>
      <w:r>
        <w:rPr>
          <w:sz w:val="24"/>
        </w:rPr>
        <w:t>Monitoring and Control System Test…………………………</w:t>
      </w:r>
      <w:r>
        <w:rPr>
          <w:rFonts w:hint="eastAsia"/>
          <w:sz w:val="24"/>
        </w:rPr>
        <w:t>..</w:t>
      </w:r>
      <w:r>
        <w:rPr>
          <w:sz w:val="24"/>
        </w:rPr>
        <w:t>………</w:t>
      </w:r>
      <w:r>
        <w:rPr>
          <w:rFonts w:hint="eastAsia"/>
          <w:sz w:val="24"/>
        </w:rPr>
        <w:t>.</w:t>
      </w:r>
      <w:r>
        <w:rPr>
          <w:sz w:val="24"/>
        </w:rPr>
        <w:t>………</w:t>
      </w:r>
      <w:r>
        <w:rPr>
          <w:rFonts w:hint="eastAsia"/>
          <w:sz w:val="24"/>
        </w:rPr>
        <w:t>50</w:t>
      </w:r>
    </w:p>
    <w:p>
      <w:pPr>
        <w:widowControl/>
        <w:spacing w:line="300" w:lineRule="auto"/>
        <w:ind w:firstLine="210" w:firstLineChars="100"/>
        <w:jc w:val="left"/>
        <w:rPr>
          <w:szCs w:val="21"/>
        </w:rPr>
      </w:pPr>
      <w:r>
        <w:rPr>
          <w:rFonts w:hint="eastAsia"/>
          <w:szCs w:val="21"/>
        </w:rPr>
        <w:t>12.1  Ge</w:t>
      </w:r>
      <w:r>
        <w:rPr>
          <w:szCs w:val="21"/>
        </w:rPr>
        <w:t>nera1</w:t>
      </w:r>
      <w:r>
        <w:rPr>
          <w:rFonts w:hint="eastAsia"/>
          <w:szCs w:val="21"/>
        </w:rPr>
        <w:t xml:space="preserve"> </w:t>
      </w:r>
      <w:r>
        <w:rPr>
          <w:szCs w:val="21"/>
        </w:rPr>
        <w:t>Requirements………………………</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50</w:t>
      </w:r>
    </w:p>
    <w:p>
      <w:pPr>
        <w:widowControl/>
        <w:spacing w:line="300" w:lineRule="auto"/>
        <w:ind w:firstLine="210" w:firstLineChars="100"/>
        <w:jc w:val="left"/>
        <w:rPr>
          <w:szCs w:val="21"/>
        </w:rPr>
      </w:pPr>
      <w:r>
        <w:rPr>
          <w:rFonts w:hint="eastAsia"/>
          <w:szCs w:val="21"/>
        </w:rPr>
        <w:t xml:space="preserve">12.2  </w:t>
      </w:r>
      <w:r>
        <w:rPr>
          <w:szCs w:val="21"/>
        </w:rPr>
        <w:t xml:space="preserve">Inspection of </w:t>
      </w:r>
      <w:r>
        <w:rPr>
          <w:rFonts w:hint="eastAsia"/>
          <w:szCs w:val="21"/>
        </w:rPr>
        <w:t>M</w:t>
      </w:r>
      <w:r>
        <w:rPr>
          <w:szCs w:val="21"/>
        </w:rPr>
        <w:t xml:space="preserve">onitoring </w:t>
      </w:r>
      <w:r>
        <w:rPr>
          <w:rFonts w:hint="eastAsia"/>
          <w:szCs w:val="21"/>
        </w:rPr>
        <w:t>P</w:t>
      </w:r>
      <w:r>
        <w:rPr>
          <w:szCs w:val="21"/>
        </w:rPr>
        <w:t xml:space="preserve">erformance of </w:t>
      </w:r>
      <w:r>
        <w:rPr>
          <w:rFonts w:hint="eastAsia"/>
          <w:szCs w:val="21"/>
        </w:rPr>
        <w:t>M</w:t>
      </w:r>
      <w:r>
        <w:rPr>
          <w:szCs w:val="21"/>
        </w:rPr>
        <w:t xml:space="preserve">ovable </w:t>
      </w:r>
      <w:r>
        <w:rPr>
          <w:rFonts w:hint="eastAsia"/>
          <w:szCs w:val="21"/>
        </w:rPr>
        <w:t>E</w:t>
      </w:r>
      <w:r>
        <w:rPr>
          <w:szCs w:val="21"/>
        </w:rPr>
        <w:t xml:space="preserve">xternal </w:t>
      </w:r>
      <w:r>
        <w:rPr>
          <w:rFonts w:hint="eastAsia"/>
          <w:szCs w:val="21"/>
        </w:rPr>
        <w:t>S</w:t>
      </w:r>
      <w:r>
        <w:rPr>
          <w:szCs w:val="21"/>
        </w:rPr>
        <w:t>hading</w:t>
      </w:r>
      <w:r>
        <w:rPr>
          <w:rFonts w:hint="eastAsia"/>
          <w:szCs w:val="21"/>
        </w:rPr>
        <w:t>.</w:t>
      </w:r>
      <w:r>
        <w:rPr>
          <w:szCs w:val="21"/>
        </w:rPr>
        <w:t>…………………</w:t>
      </w:r>
      <w:r>
        <w:rPr>
          <w:rFonts w:hint="eastAsia"/>
          <w:szCs w:val="21"/>
        </w:rPr>
        <w:t>50</w:t>
      </w:r>
    </w:p>
    <w:p>
      <w:pPr>
        <w:widowControl/>
        <w:spacing w:line="300" w:lineRule="auto"/>
        <w:ind w:firstLine="210" w:firstLineChars="100"/>
        <w:jc w:val="left"/>
        <w:rPr>
          <w:szCs w:val="21"/>
        </w:rPr>
      </w:pPr>
      <w:r>
        <w:rPr>
          <w:rFonts w:hint="eastAsia"/>
          <w:szCs w:val="21"/>
        </w:rPr>
        <w:t>12.3  Supply(Return) Air Temperature and Relativity Humidity Monitoring and Control</w:t>
      </w:r>
      <w:r>
        <w:rPr>
          <w:szCs w:val="21"/>
        </w:rPr>
        <w:t>……</w:t>
      </w:r>
      <w:r>
        <w:rPr>
          <w:rFonts w:hint="eastAsia"/>
          <w:szCs w:val="21"/>
        </w:rPr>
        <w:t>51</w:t>
      </w:r>
    </w:p>
    <w:p>
      <w:pPr>
        <w:widowControl/>
        <w:spacing w:line="300" w:lineRule="auto"/>
        <w:ind w:firstLine="210" w:firstLineChars="100"/>
        <w:jc w:val="left"/>
        <w:rPr>
          <w:szCs w:val="21"/>
        </w:rPr>
      </w:pPr>
      <w:r>
        <w:rPr>
          <w:rFonts w:hint="eastAsia"/>
          <w:szCs w:val="21"/>
        </w:rPr>
        <w:t>12.4  Pressure Difference Control Function of Air-conditioning Water System</w:t>
      </w:r>
      <w:r>
        <w:rPr>
          <w:szCs w:val="21"/>
        </w:rPr>
        <w:t>………………</w:t>
      </w:r>
      <w:r>
        <w:rPr>
          <w:rFonts w:hint="eastAsia"/>
          <w:szCs w:val="21"/>
        </w:rPr>
        <w:t>51</w:t>
      </w:r>
    </w:p>
    <w:p>
      <w:pPr>
        <w:widowControl/>
        <w:spacing w:line="300" w:lineRule="auto"/>
        <w:ind w:firstLine="210" w:firstLineChars="100"/>
        <w:jc w:val="left"/>
        <w:rPr>
          <w:szCs w:val="21"/>
        </w:rPr>
      </w:pPr>
      <w:r>
        <w:rPr>
          <w:rFonts w:hint="eastAsia"/>
          <w:szCs w:val="21"/>
        </w:rPr>
        <w:t>12.5  Variable Water Control Performance on Fan Coil</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51</w:t>
      </w:r>
    </w:p>
    <w:p>
      <w:pPr>
        <w:widowControl/>
        <w:spacing w:line="300" w:lineRule="auto"/>
        <w:ind w:firstLine="210" w:firstLineChars="100"/>
        <w:jc w:val="left"/>
        <w:rPr>
          <w:szCs w:val="21"/>
        </w:rPr>
      </w:pPr>
      <w:r>
        <w:rPr>
          <w:rFonts w:hint="eastAsia"/>
          <w:szCs w:val="21"/>
        </w:rPr>
        <w:t>12.6  Li</w:t>
      </w:r>
      <w:r>
        <w:rPr>
          <w:szCs w:val="21"/>
        </w:rPr>
        <w:t>ghting and Low V</w:t>
      </w:r>
      <w:r>
        <w:rPr>
          <w:rFonts w:hint="eastAsia"/>
          <w:szCs w:val="21"/>
        </w:rPr>
        <w:t>ol</w:t>
      </w:r>
      <w:r>
        <w:rPr>
          <w:szCs w:val="21"/>
        </w:rPr>
        <w:t>tage</w:t>
      </w:r>
      <w:r>
        <w:rPr>
          <w:rFonts w:hint="eastAsia"/>
          <w:szCs w:val="21"/>
        </w:rPr>
        <w:t xml:space="preserve"> Dis</w:t>
      </w:r>
      <w:r>
        <w:rPr>
          <w:szCs w:val="21"/>
        </w:rPr>
        <w:t>t</w:t>
      </w:r>
      <w:r>
        <w:rPr>
          <w:rFonts w:hint="eastAsia"/>
          <w:szCs w:val="21"/>
        </w:rPr>
        <w:t>ribution</w:t>
      </w:r>
      <w:r>
        <w:rPr>
          <w:szCs w:val="21"/>
        </w:rPr>
        <w:t xml:space="preserve"> </w:t>
      </w:r>
      <w:r>
        <w:rPr>
          <w:rFonts w:hint="eastAsia"/>
          <w:szCs w:val="21"/>
        </w:rPr>
        <w:t>S</w:t>
      </w:r>
      <w:r>
        <w:rPr>
          <w:szCs w:val="21"/>
        </w:rPr>
        <w:t>ys</w:t>
      </w:r>
      <w:r>
        <w:rPr>
          <w:rFonts w:hint="eastAsia"/>
          <w:szCs w:val="21"/>
        </w:rPr>
        <w:t>tem</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52</w:t>
      </w:r>
    </w:p>
    <w:p>
      <w:pPr>
        <w:widowControl/>
        <w:spacing w:line="300" w:lineRule="auto"/>
        <w:jc w:val="left"/>
        <w:rPr>
          <w:sz w:val="24"/>
        </w:rPr>
      </w:pPr>
      <w:r>
        <w:rPr>
          <w:rFonts w:hint="eastAsia"/>
          <w:sz w:val="24"/>
        </w:rPr>
        <w:t>13  S</w:t>
      </w:r>
      <w:r>
        <w:rPr>
          <w:sz w:val="24"/>
        </w:rPr>
        <w:t xml:space="preserve">olar </w:t>
      </w:r>
      <w:r>
        <w:rPr>
          <w:rFonts w:hint="eastAsia"/>
          <w:sz w:val="24"/>
        </w:rPr>
        <w:t>E</w:t>
      </w:r>
      <w:r>
        <w:rPr>
          <w:sz w:val="24"/>
        </w:rPr>
        <w:t xml:space="preserve">nergy </w:t>
      </w:r>
      <w:r>
        <w:rPr>
          <w:rFonts w:hint="eastAsia"/>
          <w:sz w:val="24"/>
        </w:rPr>
        <w:t>S</w:t>
      </w:r>
      <w:r>
        <w:rPr>
          <w:sz w:val="24"/>
        </w:rPr>
        <w:t>ystem Test …………………………………………………</w:t>
      </w:r>
      <w:r>
        <w:rPr>
          <w:rFonts w:hint="eastAsia"/>
          <w:sz w:val="24"/>
        </w:rPr>
        <w:t>..</w:t>
      </w:r>
      <w:r>
        <w:rPr>
          <w:sz w:val="24"/>
        </w:rPr>
        <w:t>…</w:t>
      </w:r>
      <w:r>
        <w:rPr>
          <w:rFonts w:hint="eastAsia"/>
          <w:sz w:val="24"/>
        </w:rPr>
        <w:t>..53</w:t>
      </w:r>
    </w:p>
    <w:p>
      <w:pPr>
        <w:widowControl/>
        <w:spacing w:line="300" w:lineRule="auto"/>
        <w:jc w:val="left"/>
        <w:rPr>
          <w:szCs w:val="21"/>
        </w:rPr>
      </w:pPr>
      <w:r>
        <w:rPr>
          <w:rFonts w:hint="eastAsia"/>
          <w:szCs w:val="21"/>
        </w:rPr>
        <w:t xml:space="preserve">  13.1  Ge</w:t>
      </w:r>
      <w:r>
        <w:rPr>
          <w:szCs w:val="21"/>
        </w:rPr>
        <w:t>nera1</w:t>
      </w:r>
      <w:r>
        <w:rPr>
          <w:rFonts w:hint="eastAsia"/>
          <w:szCs w:val="21"/>
        </w:rPr>
        <w:t xml:space="preserve"> </w:t>
      </w:r>
      <w:r>
        <w:rPr>
          <w:szCs w:val="21"/>
        </w:rPr>
        <w:t>Requirements……………</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53</w:t>
      </w:r>
    </w:p>
    <w:p>
      <w:pPr>
        <w:widowControl/>
        <w:spacing w:line="300" w:lineRule="auto"/>
        <w:ind w:firstLine="210" w:firstLineChars="100"/>
        <w:jc w:val="left"/>
        <w:rPr>
          <w:szCs w:val="21"/>
        </w:rPr>
      </w:pPr>
      <w:r>
        <w:rPr>
          <w:rFonts w:hint="eastAsia"/>
          <w:szCs w:val="21"/>
        </w:rPr>
        <w:t xml:space="preserve">13.2  </w:t>
      </w:r>
      <w:r>
        <w:rPr>
          <w:szCs w:val="21"/>
        </w:rPr>
        <w:t xml:space="preserve">Efficiency of </w:t>
      </w:r>
      <w:r>
        <w:rPr>
          <w:rFonts w:hint="eastAsia"/>
          <w:szCs w:val="21"/>
        </w:rPr>
        <w:t>S</w:t>
      </w:r>
      <w:r>
        <w:rPr>
          <w:szCs w:val="21"/>
        </w:rPr>
        <w:t xml:space="preserve">olar </w:t>
      </w:r>
      <w:r>
        <w:rPr>
          <w:rFonts w:hint="eastAsia"/>
          <w:szCs w:val="21"/>
        </w:rPr>
        <w:t>C</w:t>
      </w:r>
      <w:r>
        <w:rPr>
          <w:szCs w:val="21"/>
        </w:rPr>
        <w:t xml:space="preserve">ollector </w:t>
      </w:r>
      <w:r>
        <w:rPr>
          <w:rFonts w:hint="eastAsia"/>
          <w:szCs w:val="21"/>
        </w:rPr>
        <w:t>S</w:t>
      </w:r>
      <w:r>
        <w:rPr>
          <w:szCs w:val="21"/>
        </w:rPr>
        <w:t>ystem·……………</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..53</w:t>
      </w:r>
    </w:p>
    <w:p>
      <w:pPr>
        <w:widowControl/>
        <w:spacing w:line="300" w:lineRule="auto"/>
        <w:ind w:firstLine="210" w:firstLineChars="100"/>
        <w:jc w:val="left"/>
        <w:rPr>
          <w:szCs w:val="21"/>
        </w:rPr>
      </w:pPr>
      <w:r>
        <w:rPr>
          <w:rFonts w:hint="eastAsia"/>
          <w:szCs w:val="21"/>
        </w:rPr>
        <w:t xml:space="preserve">13.3  </w:t>
      </w:r>
      <w:r>
        <w:rPr>
          <w:szCs w:val="21"/>
        </w:rPr>
        <w:t>Heat Loss Factor of Solar Energy Hot Water Storage Tank……………</w:t>
      </w:r>
      <w:r>
        <w:rPr>
          <w:rFonts w:hint="eastAsia"/>
          <w:szCs w:val="21"/>
        </w:rPr>
        <w:t>.</w:t>
      </w:r>
      <w:r>
        <w:rPr>
          <w:szCs w:val="21"/>
        </w:rPr>
        <w:t>……………</w:t>
      </w:r>
      <w:r>
        <w:rPr>
          <w:rFonts w:hint="eastAsia"/>
          <w:szCs w:val="21"/>
        </w:rPr>
        <w:t>.</w:t>
      </w:r>
      <w:r>
        <w:rPr>
          <w:szCs w:val="21"/>
        </w:rPr>
        <w:t>…</w:t>
      </w:r>
      <w:r>
        <w:rPr>
          <w:rFonts w:hint="eastAsia"/>
          <w:szCs w:val="21"/>
        </w:rPr>
        <w:t>54</w:t>
      </w:r>
    </w:p>
    <w:p>
      <w:pPr>
        <w:widowControl/>
        <w:spacing w:line="300" w:lineRule="auto"/>
        <w:ind w:firstLine="210" w:firstLineChars="100"/>
        <w:jc w:val="left"/>
        <w:rPr>
          <w:szCs w:val="21"/>
        </w:rPr>
      </w:pPr>
      <w:r>
        <w:rPr>
          <w:rFonts w:hint="eastAsia"/>
          <w:szCs w:val="21"/>
        </w:rPr>
        <w:t>13.4  T</w:t>
      </w:r>
      <w:r>
        <w:rPr>
          <w:szCs w:val="21"/>
        </w:rPr>
        <w:t xml:space="preserve">emperature of </w:t>
      </w:r>
      <w:r>
        <w:rPr>
          <w:rFonts w:hint="eastAsia"/>
          <w:szCs w:val="21"/>
        </w:rPr>
        <w:t>S</w:t>
      </w:r>
      <w:r>
        <w:rPr>
          <w:szCs w:val="21"/>
        </w:rPr>
        <w:t xml:space="preserve">olar </w:t>
      </w:r>
      <w:r>
        <w:rPr>
          <w:rFonts w:hint="eastAsia"/>
          <w:szCs w:val="21"/>
        </w:rPr>
        <w:t>H</w:t>
      </w:r>
      <w:r>
        <w:rPr>
          <w:szCs w:val="21"/>
        </w:rPr>
        <w:t>eating Water……………</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54</w:t>
      </w:r>
    </w:p>
    <w:p>
      <w:pPr>
        <w:widowControl/>
        <w:spacing w:line="300" w:lineRule="auto"/>
        <w:ind w:firstLine="210" w:firstLineChars="100"/>
        <w:jc w:val="left"/>
        <w:rPr>
          <w:szCs w:val="21"/>
        </w:rPr>
      </w:pPr>
      <w:r>
        <w:rPr>
          <w:rFonts w:hint="eastAsia"/>
          <w:szCs w:val="21"/>
        </w:rPr>
        <w:t xml:space="preserve">13.5  </w:t>
      </w:r>
      <w:r>
        <w:rPr>
          <w:szCs w:val="21"/>
        </w:rPr>
        <w:t>Photoelectric Conversion Efficiency of Solar Photovoltaic System……………</w:t>
      </w:r>
      <w:r>
        <w:rPr>
          <w:rFonts w:hint="eastAsia"/>
          <w:szCs w:val="21"/>
        </w:rPr>
        <w:t>.</w:t>
      </w:r>
      <w:r>
        <w:rPr>
          <w:szCs w:val="21"/>
        </w:rPr>
        <w:t>………</w:t>
      </w:r>
      <w:r>
        <w:rPr>
          <w:rFonts w:hint="eastAsia"/>
          <w:szCs w:val="21"/>
        </w:rPr>
        <w:t>55</w:t>
      </w:r>
    </w:p>
    <w:p>
      <w:pPr>
        <w:widowControl/>
        <w:spacing w:line="300" w:lineRule="auto"/>
        <w:jc w:val="left"/>
        <w:rPr>
          <w:sz w:val="24"/>
        </w:rPr>
      </w:pPr>
      <w:r>
        <w:rPr>
          <w:rFonts w:hint="eastAsia"/>
          <w:sz w:val="24"/>
        </w:rPr>
        <w:t>14  G</w:t>
      </w:r>
      <w:r>
        <w:rPr>
          <w:sz w:val="24"/>
        </w:rPr>
        <w:t xml:space="preserve">round-source </w:t>
      </w:r>
      <w:r>
        <w:rPr>
          <w:rFonts w:hint="eastAsia"/>
          <w:sz w:val="24"/>
        </w:rPr>
        <w:t>H</w:t>
      </w:r>
      <w:r>
        <w:rPr>
          <w:sz w:val="24"/>
        </w:rPr>
        <w:t xml:space="preserve">eat </w:t>
      </w:r>
      <w:r>
        <w:rPr>
          <w:rFonts w:hint="eastAsia"/>
          <w:sz w:val="24"/>
        </w:rPr>
        <w:t>P</w:t>
      </w:r>
      <w:r>
        <w:rPr>
          <w:sz w:val="24"/>
        </w:rPr>
        <w:t xml:space="preserve">ump </w:t>
      </w:r>
      <w:r>
        <w:rPr>
          <w:rFonts w:hint="eastAsia"/>
          <w:sz w:val="24"/>
        </w:rPr>
        <w:t>S</w:t>
      </w:r>
      <w:r>
        <w:rPr>
          <w:sz w:val="24"/>
        </w:rPr>
        <w:t>ystem Test …………………………………</w:t>
      </w:r>
      <w:r>
        <w:rPr>
          <w:rFonts w:hint="eastAsia"/>
          <w:sz w:val="24"/>
        </w:rPr>
        <w:t>.</w:t>
      </w:r>
      <w:r>
        <w:rPr>
          <w:sz w:val="24"/>
        </w:rPr>
        <w:t>……</w:t>
      </w:r>
      <w:r>
        <w:rPr>
          <w:rFonts w:hint="eastAsia"/>
          <w:sz w:val="24"/>
        </w:rPr>
        <w:t>.56</w:t>
      </w:r>
    </w:p>
    <w:p>
      <w:pPr>
        <w:widowControl/>
        <w:spacing w:line="300" w:lineRule="auto"/>
        <w:jc w:val="left"/>
        <w:rPr>
          <w:szCs w:val="21"/>
        </w:rPr>
      </w:pPr>
      <w:r>
        <w:rPr>
          <w:rFonts w:hint="eastAsia"/>
          <w:szCs w:val="21"/>
        </w:rPr>
        <w:t xml:space="preserve">  14.1  Ge</w:t>
      </w:r>
      <w:r>
        <w:rPr>
          <w:szCs w:val="21"/>
        </w:rPr>
        <w:t>nera1</w:t>
      </w:r>
      <w:r>
        <w:rPr>
          <w:rFonts w:hint="eastAsia"/>
          <w:szCs w:val="21"/>
        </w:rPr>
        <w:t xml:space="preserve"> </w:t>
      </w:r>
      <w:r>
        <w:rPr>
          <w:szCs w:val="21"/>
        </w:rPr>
        <w:t>Requirements…………</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56</w:t>
      </w:r>
    </w:p>
    <w:p>
      <w:pPr>
        <w:widowControl/>
        <w:spacing w:line="300" w:lineRule="auto"/>
        <w:ind w:left="840" w:leftChars="100" w:hanging="630" w:hangingChars="300"/>
        <w:jc w:val="left"/>
        <w:rPr>
          <w:szCs w:val="21"/>
        </w:rPr>
      </w:pPr>
      <w:r>
        <w:rPr>
          <w:rFonts w:hint="eastAsia"/>
          <w:szCs w:val="21"/>
        </w:rPr>
        <w:t xml:space="preserve">14.2  </w:t>
      </w:r>
      <w:r>
        <w:rPr>
          <w:szCs w:val="21"/>
        </w:rPr>
        <w:t>Coefficient of Heat Production Performance and Energy Efficiency Ratio of Refrigeration for Heat Pump Units…………</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.56</w:t>
      </w:r>
    </w:p>
    <w:p>
      <w:pPr>
        <w:widowControl/>
        <w:spacing w:line="300" w:lineRule="auto"/>
        <w:ind w:left="840" w:leftChars="100" w:hanging="630" w:hangingChars="300"/>
        <w:jc w:val="left"/>
        <w:rPr>
          <w:szCs w:val="21"/>
        </w:rPr>
      </w:pPr>
      <w:r>
        <w:rPr>
          <w:rFonts w:hint="eastAsia"/>
          <w:szCs w:val="21"/>
        </w:rPr>
        <w:t xml:space="preserve">14.3  </w:t>
      </w:r>
      <w:r>
        <w:rPr>
          <w:szCs w:val="21"/>
        </w:rPr>
        <w:t xml:space="preserve">Coefficient of Heat Production Performance and Energy Efficiency Ratio of Refrigeration for Heat Pump </w:t>
      </w:r>
      <w:r>
        <w:rPr>
          <w:rFonts w:hint="eastAsia"/>
          <w:szCs w:val="21"/>
        </w:rPr>
        <w:t>System</w:t>
      </w:r>
      <w:r>
        <w:rPr>
          <w:szCs w:val="21"/>
        </w:rPr>
        <w:t xml:space="preserve"> …………</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w:t>
      </w:r>
      <w:r>
        <w:rPr>
          <w:szCs w:val="21"/>
        </w:rPr>
        <w:t>…</w:t>
      </w:r>
      <w:r>
        <w:rPr>
          <w:rFonts w:hint="eastAsia"/>
          <w:szCs w:val="21"/>
        </w:rPr>
        <w:t>57</w:t>
      </w:r>
    </w:p>
    <w:p>
      <w:pPr>
        <w:widowControl/>
        <w:spacing w:line="300" w:lineRule="auto"/>
        <w:jc w:val="left"/>
        <w:rPr>
          <w:bCs/>
          <w:kern w:val="44"/>
          <w:sz w:val="24"/>
        </w:rPr>
      </w:pPr>
      <w:r>
        <w:rPr>
          <w:rFonts w:hint="eastAsia"/>
          <w:bCs/>
          <w:kern w:val="44"/>
          <w:sz w:val="24"/>
        </w:rPr>
        <w:t>Appendix A  T</w:t>
      </w:r>
      <w:r>
        <w:rPr>
          <w:bCs/>
          <w:kern w:val="44"/>
          <w:sz w:val="24"/>
        </w:rPr>
        <w:t xml:space="preserve">est </w:t>
      </w:r>
      <w:r>
        <w:rPr>
          <w:rFonts w:hint="eastAsia"/>
          <w:bCs/>
          <w:kern w:val="44"/>
          <w:sz w:val="24"/>
        </w:rPr>
        <w:t>M</w:t>
      </w:r>
      <w:r>
        <w:rPr>
          <w:bCs/>
          <w:kern w:val="44"/>
          <w:sz w:val="24"/>
        </w:rPr>
        <w:t>ethod</w:t>
      </w:r>
      <w:r>
        <w:rPr>
          <w:szCs w:val="21"/>
        </w:rPr>
        <w:t xml:space="preserve"> </w:t>
      </w:r>
      <w:r>
        <w:rPr>
          <w:rFonts w:hint="eastAsia"/>
          <w:szCs w:val="21"/>
        </w:rPr>
        <w:t xml:space="preserve">for </w:t>
      </w:r>
      <w:r>
        <w:rPr>
          <w:szCs w:val="21"/>
        </w:rPr>
        <w:t xml:space="preserve">Sealing Performance of Insulating </w:t>
      </w:r>
      <w:r>
        <w:rPr>
          <w:rFonts w:hint="eastAsia"/>
          <w:szCs w:val="21"/>
        </w:rPr>
        <w:t>G</w:t>
      </w:r>
      <w:r>
        <w:rPr>
          <w:szCs w:val="21"/>
        </w:rPr>
        <w:t xml:space="preserve">lass </w:t>
      </w:r>
      <w:r>
        <w:rPr>
          <w:rFonts w:hint="eastAsia"/>
          <w:szCs w:val="21"/>
        </w:rPr>
        <w:t>U</w:t>
      </w:r>
      <w:r>
        <w:rPr>
          <w:szCs w:val="21"/>
        </w:rPr>
        <w:t>nit</w:t>
      </w:r>
      <w:r>
        <w:rPr>
          <w:sz w:val="24"/>
        </w:rPr>
        <w:t>………</w:t>
      </w:r>
      <w:r>
        <w:rPr>
          <w:rFonts w:hint="eastAsia"/>
          <w:sz w:val="24"/>
        </w:rPr>
        <w:t>...</w:t>
      </w:r>
      <w:r>
        <w:rPr>
          <w:sz w:val="24"/>
        </w:rPr>
        <w:t>…</w:t>
      </w:r>
      <w:r>
        <w:rPr>
          <w:rFonts w:hint="eastAsia"/>
          <w:sz w:val="24"/>
        </w:rPr>
        <w:t>.58</w:t>
      </w:r>
    </w:p>
    <w:p>
      <w:pPr>
        <w:widowControl/>
        <w:spacing w:line="300" w:lineRule="auto"/>
        <w:ind w:left="1440" w:hanging="1440" w:hangingChars="600"/>
        <w:jc w:val="left"/>
        <w:rPr>
          <w:bCs/>
          <w:kern w:val="44"/>
          <w:sz w:val="24"/>
        </w:rPr>
      </w:pPr>
      <w:r>
        <w:rPr>
          <w:rFonts w:hint="eastAsia"/>
          <w:bCs/>
          <w:kern w:val="44"/>
          <w:sz w:val="24"/>
        </w:rPr>
        <w:t>Appendix B</w:t>
      </w:r>
      <w:r>
        <w:rPr>
          <w:szCs w:val="21"/>
        </w:rPr>
        <w:t xml:space="preserve"> </w:t>
      </w:r>
      <w:r>
        <w:rPr>
          <w:rFonts w:hint="eastAsia"/>
          <w:szCs w:val="21"/>
        </w:rPr>
        <w:t xml:space="preserve"> </w:t>
      </w:r>
      <w:r>
        <w:rPr>
          <w:bCs/>
          <w:kern w:val="44"/>
          <w:sz w:val="24"/>
        </w:rPr>
        <w:t>Field Testing Method</w:t>
      </w:r>
      <w:r>
        <w:rPr>
          <w:szCs w:val="21"/>
        </w:rPr>
        <w:t xml:space="preserve"> </w:t>
      </w:r>
      <w:r>
        <w:rPr>
          <w:rFonts w:hint="eastAsia"/>
          <w:szCs w:val="21"/>
        </w:rPr>
        <w:t>for</w:t>
      </w:r>
      <w:r>
        <w:rPr>
          <w:szCs w:val="21"/>
        </w:rPr>
        <w:t xml:space="preserve"> Optical and Thermal </w:t>
      </w:r>
      <w:r>
        <w:rPr>
          <w:rFonts w:hint="eastAsia"/>
          <w:szCs w:val="21"/>
        </w:rPr>
        <w:t>P</w:t>
      </w:r>
      <w:r>
        <w:rPr>
          <w:szCs w:val="21"/>
        </w:rPr>
        <w:t xml:space="preserve">arameters of </w:t>
      </w:r>
      <w:r>
        <w:rPr>
          <w:rFonts w:hint="eastAsia"/>
          <w:szCs w:val="21"/>
        </w:rPr>
        <w:t>G</w:t>
      </w:r>
      <w:r>
        <w:rPr>
          <w:szCs w:val="21"/>
        </w:rPr>
        <w:t xml:space="preserve">lass for </w:t>
      </w:r>
      <w:r>
        <w:rPr>
          <w:rFonts w:hint="eastAsia"/>
          <w:szCs w:val="21"/>
        </w:rPr>
        <w:t>B</w:t>
      </w:r>
      <w:r>
        <w:rPr>
          <w:szCs w:val="21"/>
        </w:rPr>
        <w:t>uilding</w:t>
      </w:r>
      <w:r>
        <w:rPr>
          <w:sz w:val="24"/>
        </w:rPr>
        <w:t>……</w:t>
      </w:r>
      <w:r>
        <w:rPr>
          <w:rFonts w:hint="eastAsia"/>
          <w:sz w:val="24"/>
        </w:rPr>
        <w:t>...</w:t>
      </w:r>
      <w:r>
        <w:rPr>
          <w:sz w:val="24"/>
        </w:rPr>
        <w:t>………………………………………………………</w:t>
      </w:r>
      <w:r>
        <w:rPr>
          <w:rFonts w:hint="eastAsia"/>
          <w:sz w:val="24"/>
        </w:rPr>
        <w:t>...60</w:t>
      </w:r>
    </w:p>
    <w:p>
      <w:pPr>
        <w:widowControl/>
        <w:spacing w:line="300" w:lineRule="auto"/>
        <w:jc w:val="left"/>
        <w:rPr>
          <w:bCs/>
          <w:kern w:val="44"/>
          <w:sz w:val="24"/>
        </w:rPr>
      </w:pPr>
      <w:r>
        <w:rPr>
          <w:rFonts w:hint="eastAsia"/>
          <w:bCs/>
          <w:kern w:val="44"/>
          <w:sz w:val="24"/>
        </w:rPr>
        <w:t>Appendix C</w:t>
      </w:r>
      <w:r>
        <w:rPr>
          <w:szCs w:val="21"/>
        </w:rPr>
        <w:t xml:space="preserve"> </w:t>
      </w:r>
      <w:r>
        <w:rPr>
          <w:rFonts w:hint="eastAsia"/>
          <w:szCs w:val="21"/>
        </w:rPr>
        <w:t xml:space="preserve">  </w:t>
      </w:r>
      <w:r>
        <w:rPr>
          <w:bCs/>
          <w:kern w:val="44"/>
          <w:sz w:val="24"/>
        </w:rPr>
        <w:t>Field</w:t>
      </w:r>
      <w:r>
        <w:rPr>
          <w:szCs w:val="21"/>
        </w:rPr>
        <w:t xml:space="preserve"> Peeling </w:t>
      </w:r>
      <w:r>
        <w:rPr>
          <w:bCs/>
          <w:kern w:val="44"/>
          <w:sz w:val="24"/>
        </w:rPr>
        <w:t>Testing</w:t>
      </w:r>
      <w:r>
        <w:rPr>
          <w:szCs w:val="21"/>
        </w:rPr>
        <w:t xml:space="preserve"> Method </w:t>
      </w:r>
      <w:r>
        <w:rPr>
          <w:rFonts w:hint="eastAsia"/>
          <w:szCs w:val="21"/>
        </w:rPr>
        <w:t xml:space="preserve">for </w:t>
      </w:r>
      <w:r>
        <w:rPr>
          <w:szCs w:val="21"/>
        </w:rPr>
        <w:t xml:space="preserve">Paste </w:t>
      </w:r>
      <w:r>
        <w:rPr>
          <w:rFonts w:hint="eastAsia"/>
          <w:szCs w:val="21"/>
        </w:rPr>
        <w:t>A</w:t>
      </w:r>
      <w:r>
        <w:rPr>
          <w:szCs w:val="21"/>
        </w:rPr>
        <w:t xml:space="preserve">rea </w:t>
      </w:r>
      <w:r>
        <w:rPr>
          <w:rFonts w:hint="eastAsia"/>
          <w:szCs w:val="21"/>
        </w:rPr>
        <w:t>R</w:t>
      </w:r>
      <w:r>
        <w:rPr>
          <w:szCs w:val="21"/>
        </w:rPr>
        <w:t>atio of Insulation Board</w:t>
      </w:r>
      <w:r>
        <w:rPr>
          <w:sz w:val="24"/>
        </w:rPr>
        <w:t>…</w:t>
      </w:r>
      <w:r>
        <w:rPr>
          <w:rFonts w:hint="eastAsia"/>
          <w:sz w:val="24"/>
        </w:rPr>
        <w:t>....63</w:t>
      </w:r>
    </w:p>
    <w:p>
      <w:pPr>
        <w:widowControl/>
        <w:spacing w:line="300" w:lineRule="auto"/>
        <w:ind w:left="1560" w:hanging="1560" w:hangingChars="650"/>
        <w:jc w:val="left"/>
        <w:rPr>
          <w:bCs/>
          <w:kern w:val="44"/>
          <w:sz w:val="24"/>
        </w:rPr>
      </w:pPr>
      <w:r>
        <w:rPr>
          <w:rFonts w:hint="eastAsia"/>
          <w:bCs/>
          <w:kern w:val="44"/>
          <w:sz w:val="24"/>
        </w:rPr>
        <w:t>Appendix D</w:t>
      </w:r>
      <w:r>
        <w:rPr>
          <w:szCs w:val="21"/>
        </w:rPr>
        <w:t xml:space="preserve"> </w:t>
      </w:r>
      <w:r>
        <w:rPr>
          <w:rFonts w:hint="eastAsia"/>
          <w:szCs w:val="21"/>
        </w:rPr>
        <w:t xml:space="preserve">  </w:t>
      </w:r>
      <w:r>
        <w:rPr>
          <w:bCs/>
          <w:kern w:val="44"/>
          <w:sz w:val="24"/>
        </w:rPr>
        <w:t>Field</w:t>
      </w:r>
      <w:r>
        <w:rPr>
          <w:szCs w:val="21"/>
        </w:rPr>
        <w:t xml:space="preserve"> Drawing </w:t>
      </w:r>
      <w:r>
        <w:rPr>
          <w:bCs/>
          <w:kern w:val="44"/>
          <w:sz w:val="24"/>
        </w:rPr>
        <w:t>Testing</w:t>
      </w:r>
      <w:r>
        <w:rPr>
          <w:szCs w:val="21"/>
        </w:rPr>
        <w:t xml:space="preserve"> Method </w:t>
      </w:r>
      <w:r>
        <w:rPr>
          <w:rFonts w:hint="eastAsia"/>
          <w:szCs w:val="21"/>
        </w:rPr>
        <w:t xml:space="preserve">for </w:t>
      </w:r>
      <w:r>
        <w:rPr>
          <w:szCs w:val="21"/>
        </w:rPr>
        <w:t xml:space="preserve">Tensile </w:t>
      </w:r>
      <w:r>
        <w:rPr>
          <w:rFonts w:hint="eastAsia"/>
          <w:szCs w:val="21"/>
        </w:rPr>
        <w:t>B</w:t>
      </w:r>
      <w:r>
        <w:rPr>
          <w:szCs w:val="21"/>
        </w:rPr>
        <w:t xml:space="preserve">ond </w:t>
      </w:r>
      <w:r>
        <w:rPr>
          <w:rFonts w:hint="eastAsia"/>
          <w:szCs w:val="21"/>
        </w:rPr>
        <w:t>S</w:t>
      </w:r>
      <w:r>
        <w:rPr>
          <w:szCs w:val="21"/>
        </w:rPr>
        <w:t xml:space="preserve">trength of Insulation </w:t>
      </w:r>
      <w:r>
        <w:rPr>
          <w:rFonts w:hint="eastAsia"/>
          <w:szCs w:val="21"/>
        </w:rPr>
        <w:t>P</w:t>
      </w:r>
      <w:r>
        <w:rPr>
          <w:szCs w:val="21"/>
        </w:rPr>
        <w:t xml:space="preserve">late </w:t>
      </w:r>
      <w:r>
        <w:rPr>
          <w:rFonts w:hint="eastAsia"/>
          <w:szCs w:val="21"/>
        </w:rPr>
        <w:t>w</w:t>
      </w:r>
      <w:r>
        <w:rPr>
          <w:szCs w:val="21"/>
        </w:rPr>
        <w:t xml:space="preserve">ith </w:t>
      </w:r>
      <w:r>
        <w:rPr>
          <w:rFonts w:hint="eastAsia"/>
          <w:szCs w:val="21"/>
        </w:rPr>
        <w:t>B</w:t>
      </w:r>
      <w:r>
        <w:rPr>
          <w:szCs w:val="21"/>
        </w:rPr>
        <w:t>ase</w:t>
      </w:r>
      <w:r>
        <w:rPr>
          <w:sz w:val="24"/>
        </w:rPr>
        <w:t>…</w:t>
      </w:r>
      <w:r>
        <w:rPr>
          <w:rFonts w:hint="eastAsia"/>
          <w:sz w:val="24"/>
        </w:rPr>
        <w:t>...</w:t>
      </w:r>
      <w:r>
        <w:rPr>
          <w:sz w:val="24"/>
        </w:rPr>
        <w:t>………………………………………………………</w:t>
      </w:r>
      <w:r>
        <w:rPr>
          <w:rFonts w:hint="eastAsia"/>
          <w:sz w:val="24"/>
        </w:rPr>
        <w:t>...64</w:t>
      </w:r>
    </w:p>
    <w:p>
      <w:pPr>
        <w:widowControl/>
        <w:spacing w:line="300" w:lineRule="auto"/>
        <w:ind w:left="1440" w:hanging="1440" w:hangingChars="600"/>
        <w:jc w:val="left"/>
        <w:rPr>
          <w:bCs/>
          <w:kern w:val="44"/>
          <w:sz w:val="24"/>
        </w:rPr>
      </w:pPr>
      <w:r>
        <w:rPr>
          <w:rFonts w:hint="eastAsia"/>
          <w:bCs/>
          <w:kern w:val="44"/>
          <w:sz w:val="24"/>
        </w:rPr>
        <w:t>Appendix E</w:t>
      </w:r>
      <w:r>
        <w:rPr>
          <w:rFonts w:hint="eastAsia"/>
          <w:szCs w:val="21"/>
        </w:rPr>
        <w:t xml:space="preserve">   </w:t>
      </w:r>
      <w:r>
        <w:rPr>
          <w:bCs/>
          <w:kern w:val="44"/>
          <w:sz w:val="24"/>
        </w:rPr>
        <w:t>Testing</w:t>
      </w:r>
      <w:r>
        <w:rPr>
          <w:szCs w:val="21"/>
        </w:rPr>
        <w:t xml:space="preserve"> Method </w:t>
      </w:r>
      <w:r>
        <w:rPr>
          <w:rFonts w:hint="eastAsia"/>
          <w:szCs w:val="21"/>
        </w:rPr>
        <w:t xml:space="preserve">for Detection of Thermal </w:t>
      </w:r>
      <w:r>
        <w:rPr>
          <w:szCs w:val="21"/>
        </w:rPr>
        <w:t>Conductivity</w:t>
      </w:r>
      <w:r>
        <w:rPr>
          <w:rFonts w:hint="eastAsia"/>
          <w:szCs w:val="21"/>
        </w:rPr>
        <w:t>, dry Density and Compressive Strength of Thermal Insulation Mortar Under the Same Conditions</w:t>
      </w:r>
      <w:r>
        <w:rPr>
          <w:sz w:val="24"/>
        </w:rPr>
        <w:t>……………………………………………………………</w:t>
      </w:r>
      <w:r>
        <w:rPr>
          <w:rFonts w:hint="eastAsia"/>
          <w:sz w:val="24"/>
        </w:rPr>
        <w:t>...66</w:t>
      </w:r>
    </w:p>
    <w:p>
      <w:pPr>
        <w:widowControl/>
        <w:spacing w:line="300" w:lineRule="auto"/>
        <w:ind w:left="1440" w:hanging="1440" w:hangingChars="600"/>
        <w:jc w:val="left"/>
        <w:rPr>
          <w:bCs/>
          <w:kern w:val="44"/>
          <w:sz w:val="24"/>
        </w:rPr>
      </w:pPr>
      <w:r>
        <w:rPr>
          <w:rFonts w:hint="eastAsia"/>
          <w:bCs/>
          <w:kern w:val="44"/>
          <w:sz w:val="24"/>
        </w:rPr>
        <w:t xml:space="preserve">Appendix F  </w:t>
      </w:r>
      <w:r>
        <w:rPr>
          <w:bCs/>
          <w:kern w:val="44"/>
          <w:sz w:val="24"/>
        </w:rPr>
        <w:t xml:space="preserve">Core Drilling Testing Method for Energy-saving </w:t>
      </w:r>
      <w:r>
        <w:rPr>
          <w:rFonts w:hint="eastAsia"/>
          <w:bCs/>
          <w:kern w:val="44"/>
          <w:sz w:val="24"/>
        </w:rPr>
        <w:t>S</w:t>
      </w:r>
      <w:r>
        <w:rPr>
          <w:bCs/>
          <w:kern w:val="44"/>
          <w:sz w:val="24"/>
        </w:rPr>
        <w:t xml:space="preserve">tructure of </w:t>
      </w:r>
      <w:r>
        <w:rPr>
          <w:rFonts w:hint="eastAsia"/>
          <w:bCs/>
          <w:kern w:val="44"/>
          <w:sz w:val="24"/>
        </w:rPr>
        <w:t>E</w:t>
      </w:r>
      <w:r>
        <w:rPr>
          <w:bCs/>
          <w:kern w:val="44"/>
          <w:sz w:val="24"/>
        </w:rPr>
        <w:t xml:space="preserve">xterior </w:t>
      </w:r>
      <w:r>
        <w:rPr>
          <w:rFonts w:hint="eastAsia"/>
          <w:bCs/>
          <w:kern w:val="44"/>
          <w:sz w:val="24"/>
        </w:rPr>
        <w:t>W</w:t>
      </w:r>
      <w:r>
        <w:rPr>
          <w:bCs/>
          <w:kern w:val="44"/>
          <w:sz w:val="24"/>
        </w:rPr>
        <w:t>all</w:t>
      </w:r>
      <w:r>
        <w:rPr>
          <w:sz w:val="24"/>
        </w:rPr>
        <w:t>…………………………………………………………</w:t>
      </w:r>
      <w:r>
        <w:rPr>
          <w:rFonts w:hint="eastAsia"/>
          <w:sz w:val="24"/>
        </w:rPr>
        <w:t>..............67</w:t>
      </w:r>
    </w:p>
    <w:p>
      <w:pPr>
        <w:widowControl/>
        <w:spacing w:line="300" w:lineRule="auto"/>
        <w:jc w:val="left"/>
        <w:rPr>
          <w:bCs/>
          <w:kern w:val="44"/>
          <w:sz w:val="24"/>
        </w:rPr>
      </w:pPr>
      <w:r>
        <w:rPr>
          <w:rFonts w:hint="eastAsia"/>
          <w:bCs/>
          <w:kern w:val="44"/>
          <w:sz w:val="24"/>
        </w:rPr>
        <w:t>Explanation of Wording in This Standard</w:t>
      </w:r>
      <w:r>
        <w:rPr>
          <w:sz w:val="24"/>
        </w:rPr>
        <w:t>………………………………</w:t>
      </w:r>
      <w:r>
        <w:rPr>
          <w:rFonts w:hint="eastAsia"/>
          <w:sz w:val="24"/>
        </w:rPr>
        <w:t>.</w:t>
      </w:r>
      <w:r>
        <w:rPr>
          <w:sz w:val="24"/>
        </w:rPr>
        <w:t>…</w:t>
      </w:r>
      <w:r>
        <w:rPr>
          <w:rFonts w:hint="eastAsia"/>
          <w:sz w:val="24"/>
        </w:rPr>
        <w:t>..............68</w:t>
      </w:r>
    </w:p>
    <w:p>
      <w:pPr>
        <w:widowControl/>
        <w:spacing w:line="300" w:lineRule="auto"/>
        <w:jc w:val="left"/>
        <w:rPr>
          <w:sz w:val="24"/>
        </w:rPr>
        <w:sectPr>
          <w:pgSz w:w="11906" w:h="16838"/>
          <w:pgMar w:top="1440" w:right="1800" w:bottom="1440" w:left="1800" w:header="851" w:footer="992" w:gutter="0"/>
          <w:cols w:space="425" w:num="1"/>
          <w:docGrid w:type="lines" w:linePitch="312" w:charSpace="0"/>
        </w:sectPr>
      </w:pPr>
      <w:r>
        <w:rPr>
          <w:rFonts w:hint="eastAsia"/>
          <w:bCs/>
          <w:kern w:val="44"/>
          <w:sz w:val="24"/>
        </w:rPr>
        <w:t>Normative Standards</w:t>
      </w:r>
      <w:r>
        <w:rPr>
          <w:sz w:val="24"/>
        </w:rPr>
        <w:t>………………………………………………………</w:t>
      </w:r>
      <w:r>
        <w:rPr>
          <w:rFonts w:hint="eastAsia"/>
          <w:sz w:val="24"/>
        </w:rPr>
        <w:t>................69</w:t>
      </w:r>
    </w:p>
    <w:p>
      <w:pPr>
        <w:pStyle w:val="2"/>
      </w:pPr>
      <w:bookmarkStart w:id="9" w:name="_Toc17811138"/>
      <w:r>
        <w:rPr>
          <w:rFonts w:hint="eastAsia"/>
        </w:rPr>
        <w:t>1  总则</w:t>
      </w:r>
      <w:bookmarkEnd w:id="8"/>
      <w:bookmarkEnd w:id="9"/>
    </w:p>
    <w:p>
      <w:pPr>
        <w:spacing w:line="360" w:lineRule="auto"/>
        <w:rPr>
          <w:sz w:val="24"/>
        </w:rPr>
      </w:pPr>
      <w:r>
        <w:rPr>
          <w:rFonts w:hint="eastAsia"/>
          <w:b/>
          <w:sz w:val="24"/>
        </w:rPr>
        <w:t>1.0.1</w:t>
      </w:r>
      <w:r>
        <w:rPr>
          <w:rFonts w:hint="eastAsia"/>
          <w:sz w:val="24"/>
        </w:rPr>
        <w:t xml:space="preserve">  为了加强对绿色建筑的监督与管理，规范绿色建筑检测方法，促进绿色建筑健康有序的发展，制定本标准。 </w:t>
      </w:r>
    </w:p>
    <w:p>
      <w:pPr>
        <w:pStyle w:val="27"/>
        <w:ind w:firstLine="0" w:firstLineChars="0"/>
      </w:pPr>
      <w:r>
        <w:rPr>
          <w:rFonts w:hint="eastAsia"/>
        </w:rPr>
        <w:t>【条文说明】</w:t>
      </w:r>
    </w:p>
    <w:p>
      <w:pPr>
        <w:pStyle w:val="27"/>
        <w:ind w:firstLine="420"/>
      </w:pPr>
      <w:r>
        <w:rPr>
          <w:rFonts w:hint="eastAsia"/>
        </w:rPr>
        <w:t>本条阐述</w:t>
      </w:r>
      <w:r>
        <w:t>制订本</w:t>
      </w:r>
      <w:r>
        <w:rPr>
          <w:rFonts w:hint="eastAsia"/>
        </w:rPr>
        <w:t>标准的</w:t>
      </w:r>
      <w:r>
        <w:t>目的。</w:t>
      </w:r>
      <w:r>
        <w:rPr>
          <w:rFonts w:hint="eastAsia"/>
        </w:rPr>
        <w:t>绿色建筑的评价是以相关指标为基准对相应性能的实际状况进行评判的工作，如何检测绿色建筑是否达到标准要求，规范绿色建筑检测方法，已成为落实绿色建筑监督和管理必需的支撑手段，本标准编制为绿色建筑各项性能检测提供检测方法。</w:t>
      </w:r>
    </w:p>
    <w:p>
      <w:pPr>
        <w:spacing w:line="360" w:lineRule="auto"/>
        <w:rPr>
          <w:sz w:val="24"/>
        </w:rPr>
      </w:pPr>
      <w:r>
        <w:rPr>
          <w:rFonts w:hint="eastAsia"/>
          <w:b/>
          <w:sz w:val="24"/>
        </w:rPr>
        <w:t>1.0.2</w:t>
      </w:r>
      <w:r>
        <w:rPr>
          <w:rFonts w:hint="eastAsia"/>
          <w:sz w:val="24"/>
        </w:rPr>
        <w:t xml:space="preserve">  本标准适用于绿色民用建筑的检测。</w:t>
      </w:r>
    </w:p>
    <w:p>
      <w:pPr>
        <w:pStyle w:val="27"/>
        <w:ind w:firstLine="0" w:firstLineChars="0"/>
      </w:pPr>
      <w:r>
        <w:rPr>
          <w:rFonts w:hint="eastAsia"/>
          <w:sz w:val="24"/>
        </w:rPr>
        <w:t xml:space="preserve"> </w:t>
      </w:r>
      <w:r>
        <w:rPr>
          <w:rFonts w:hint="eastAsia"/>
        </w:rPr>
        <w:t>【条文说明】</w:t>
      </w:r>
    </w:p>
    <w:p>
      <w:pPr>
        <w:pStyle w:val="27"/>
        <w:ind w:firstLine="420"/>
      </w:pPr>
      <w:r>
        <w:rPr>
          <w:rFonts w:hint="eastAsia"/>
        </w:rPr>
        <w:t>本条规定了标准的适用范围，即本标准适用于各类绿色民用建筑的检测，包括绿色公共建筑和绿色居住建筑。</w:t>
      </w:r>
    </w:p>
    <w:p>
      <w:pPr>
        <w:spacing w:line="360" w:lineRule="auto"/>
        <w:rPr>
          <w:sz w:val="24"/>
        </w:rPr>
      </w:pPr>
      <w:r>
        <w:rPr>
          <w:rFonts w:hint="eastAsia"/>
          <w:b/>
          <w:sz w:val="24"/>
        </w:rPr>
        <w:t xml:space="preserve">1.0.3 </w:t>
      </w:r>
      <w:r>
        <w:rPr>
          <w:rFonts w:hint="eastAsia"/>
          <w:sz w:val="24"/>
        </w:rPr>
        <w:t xml:space="preserve"> 从事绿色建筑检测的机构应具有相应检测资质，从事绿色建筑检测的人员应经过专门培训。</w:t>
      </w:r>
    </w:p>
    <w:p>
      <w:pPr>
        <w:pStyle w:val="27"/>
        <w:ind w:firstLine="0" w:firstLineChars="0"/>
      </w:pPr>
      <w:r>
        <w:rPr>
          <w:rFonts w:hint="eastAsia"/>
        </w:rPr>
        <w:t>【条文说明】</w:t>
      </w:r>
    </w:p>
    <w:p>
      <w:pPr>
        <w:spacing w:line="360" w:lineRule="auto"/>
        <w:ind w:firstLine="420" w:firstLineChars="200"/>
        <w:rPr>
          <w:sz w:val="24"/>
        </w:rPr>
      </w:pPr>
      <w:r>
        <w:rPr>
          <w:rFonts w:hint="eastAsia" w:eastAsia="楷体"/>
          <w:color w:val="3016EE"/>
        </w:rPr>
        <w:t>检测机构应取得计量认证，且通过计量认证项目应符合本标准规定。绿色建筑检测是一项技术含量高、复杂程度高的工作，涉及室内外环境、建筑热工、通风空调、配电照明、可再生能源、检测技术、误差理论等多方面的专业知识，并不是简单地丈量尺寸、见证有无、操作仪表、抄表记数，所以要求现场检测人员必须经过专门培训且考核合格，并具有一定理论分析和解决问题的能力。</w:t>
      </w:r>
    </w:p>
    <w:p>
      <w:pPr>
        <w:spacing w:line="360" w:lineRule="auto"/>
        <w:rPr>
          <w:sz w:val="24"/>
        </w:rPr>
      </w:pPr>
      <w:r>
        <w:rPr>
          <w:rFonts w:hint="eastAsia"/>
          <w:b/>
          <w:sz w:val="24"/>
        </w:rPr>
        <w:t>1.0.4</w:t>
      </w:r>
      <w:r>
        <w:rPr>
          <w:rFonts w:hint="eastAsia"/>
          <w:sz w:val="24"/>
        </w:rPr>
        <w:t xml:space="preserve">  绿色建筑检测除应符合本标准外，尚应符合国家和广东省的法律法规和现行有关标准的规定。</w:t>
      </w:r>
    </w:p>
    <w:p>
      <w:pPr>
        <w:pStyle w:val="27"/>
        <w:ind w:firstLine="0" w:firstLineChars="0"/>
      </w:pPr>
      <w:r>
        <w:rPr>
          <w:rFonts w:hint="eastAsia"/>
        </w:rPr>
        <w:t>【条文说明】</w:t>
      </w:r>
    </w:p>
    <w:p>
      <w:pPr>
        <w:spacing w:line="360" w:lineRule="auto"/>
        <w:ind w:firstLine="420" w:firstLineChars="200"/>
        <w:rPr>
          <w:sz w:val="24"/>
        </w:rPr>
      </w:pPr>
      <w:r>
        <w:rPr>
          <w:rFonts w:hint="eastAsia" w:eastAsia="楷体"/>
          <w:color w:val="3016EE"/>
        </w:rPr>
        <w:t>符合国家及广东省的法律法规和有关标准是进行绿色建筑检测的前提条件。本标准重点在于对建筑绿色性能进行检测，并未涵盖通常建筑物所应有的全部功能和性能要求，故进行检测的绿色建筑尚应符合国家和广东省的现行有关标准的规定。</w:t>
      </w:r>
    </w:p>
    <w:p>
      <w:pPr>
        <w:spacing w:line="360" w:lineRule="auto"/>
        <w:ind w:firstLine="480" w:firstLineChars="200"/>
        <w:rPr>
          <w:sz w:val="24"/>
          <w:u w:val="single"/>
        </w:rPr>
        <w:sectPr>
          <w:footerReference r:id="rId5" w:type="default"/>
          <w:pgSz w:w="11906" w:h="16838"/>
          <w:pgMar w:top="1440" w:right="1800" w:bottom="1440" w:left="1800" w:header="851" w:footer="992" w:gutter="0"/>
          <w:pgNumType w:start="1"/>
          <w:cols w:space="425" w:num="1"/>
          <w:docGrid w:type="lines" w:linePitch="312" w:charSpace="0"/>
        </w:sectPr>
      </w:pPr>
    </w:p>
    <w:p>
      <w:pPr>
        <w:pStyle w:val="2"/>
      </w:pPr>
      <w:bookmarkStart w:id="10" w:name="_Toc530472455"/>
      <w:bookmarkStart w:id="11" w:name="_Toc17811139"/>
      <w:r>
        <w:rPr>
          <w:rFonts w:hint="eastAsia"/>
        </w:rPr>
        <w:t>2  术语</w:t>
      </w:r>
      <w:bookmarkEnd w:id="10"/>
      <w:bookmarkEnd w:id="11"/>
    </w:p>
    <w:p>
      <w:pPr>
        <w:spacing w:line="360" w:lineRule="auto"/>
        <w:rPr>
          <w:sz w:val="24"/>
        </w:rPr>
      </w:pPr>
      <w:r>
        <w:rPr>
          <w:b/>
          <w:sz w:val="24"/>
        </w:rPr>
        <w:t>2.1.1</w:t>
      </w:r>
      <w:r>
        <w:rPr>
          <w:sz w:val="24"/>
        </w:rPr>
        <w:t xml:space="preserve"> </w:t>
      </w:r>
      <w:r>
        <w:rPr>
          <w:rFonts w:hint="eastAsia"/>
          <w:sz w:val="24"/>
        </w:rPr>
        <w:t>绿色建筑</w:t>
      </w:r>
      <w:r>
        <w:rPr>
          <w:sz w:val="24"/>
        </w:rPr>
        <w:t xml:space="preserve"> green building </w:t>
      </w:r>
    </w:p>
    <w:p>
      <w:pPr>
        <w:spacing w:line="360" w:lineRule="auto"/>
        <w:ind w:firstLine="480" w:firstLineChars="200"/>
        <w:rPr>
          <w:sz w:val="24"/>
        </w:rPr>
      </w:pPr>
      <w:r>
        <w:rPr>
          <w:rFonts w:hint="eastAsia"/>
          <w:sz w:val="24"/>
        </w:rPr>
        <w:t>在全寿命期内，节约资源、保护环境、减少污染，为人们提供健康、适用、高效的使用空间，最大限度地实现人与自然和谐共生的高质量建筑。</w:t>
      </w:r>
      <w:r>
        <w:rPr>
          <w:sz w:val="24"/>
        </w:rPr>
        <w:t xml:space="preserve"> </w:t>
      </w:r>
    </w:p>
    <w:p>
      <w:pPr>
        <w:spacing w:line="360" w:lineRule="auto"/>
        <w:rPr>
          <w:sz w:val="24"/>
        </w:rPr>
      </w:pPr>
      <w:r>
        <w:rPr>
          <w:b/>
          <w:sz w:val="24"/>
        </w:rPr>
        <w:t>2.1.</w:t>
      </w:r>
      <w:r>
        <w:rPr>
          <w:rFonts w:hint="eastAsia"/>
          <w:b/>
          <w:sz w:val="24"/>
        </w:rPr>
        <w:t>2</w:t>
      </w:r>
      <w:r>
        <w:rPr>
          <w:sz w:val="24"/>
        </w:rPr>
        <w:t xml:space="preserve"> </w:t>
      </w:r>
      <w:r>
        <w:rPr>
          <w:rFonts w:hint="eastAsia"/>
          <w:sz w:val="24"/>
        </w:rPr>
        <w:t>检测</w:t>
      </w:r>
      <w:r>
        <w:rPr>
          <w:sz w:val="24"/>
        </w:rPr>
        <w:t xml:space="preserve">  testing </w:t>
      </w:r>
    </w:p>
    <w:p>
      <w:pPr>
        <w:spacing w:line="360" w:lineRule="auto"/>
        <w:ind w:firstLine="480" w:firstLineChars="200"/>
        <w:rPr>
          <w:sz w:val="24"/>
        </w:rPr>
      </w:pPr>
      <w:r>
        <w:rPr>
          <w:rFonts w:hint="eastAsia"/>
          <w:sz w:val="24"/>
        </w:rPr>
        <w:t>对被检测项目的特征、性能进行量测、试验等，并将结果与标准规定的要求进行比较。</w:t>
      </w:r>
      <w:r>
        <w:rPr>
          <w:sz w:val="24"/>
        </w:rPr>
        <w:t xml:space="preserve"> </w:t>
      </w:r>
    </w:p>
    <w:p>
      <w:pPr>
        <w:spacing w:line="360" w:lineRule="auto"/>
        <w:rPr>
          <w:sz w:val="24"/>
        </w:rPr>
      </w:pPr>
      <w:r>
        <w:rPr>
          <w:b/>
          <w:sz w:val="24"/>
        </w:rPr>
        <w:t>2.1.</w:t>
      </w:r>
      <w:r>
        <w:rPr>
          <w:rFonts w:hint="eastAsia"/>
          <w:b/>
          <w:sz w:val="24"/>
        </w:rPr>
        <w:t>3</w:t>
      </w:r>
      <w:r>
        <w:rPr>
          <w:sz w:val="24"/>
        </w:rPr>
        <w:t xml:space="preserve"> </w:t>
      </w:r>
      <w:r>
        <w:rPr>
          <w:rFonts w:hint="eastAsia"/>
          <w:sz w:val="24"/>
        </w:rPr>
        <w:t>核查</w:t>
      </w:r>
      <w:r>
        <w:rPr>
          <w:sz w:val="24"/>
        </w:rPr>
        <w:t xml:space="preserve"> check </w:t>
      </w:r>
    </w:p>
    <w:p>
      <w:pPr>
        <w:spacing w:line="360" w:lineRule="auto"/>
        <w:ind w:firstLine="480" w:firstLineChars="200"/>
        <w:rPr>
          <w:sz w:val="24"/>
        </w:rPr>
      </w:pPr>
      <w:r>
        <w:rPr>
          <w:rFonts w:hint="eastAsia"/>
          <w:sz w:val="24"/>
        </w:rPr>
        <w:t>对技术资料的检查及资料与实物的核对。包括：对技术资料的完整性、内容的正确性、与其他相关资料的一致性及整理归档情况的检查，以及将技术资料中的技术参数等与相应的材料、构件、设备或产品实物进行核对、确认。</w:t>
      </w:r>
      <w:r>
        <w:rPr>
          <w:sz w:val="24"/>
        </w:rPr>
        <w:t xml:space="preserve"> </w:t>
      </w:r>
    </w:p>
    <w:p>
      <w:pPr>
        <w:spacing w:line="360" w:lineRule="auto"/>
        <w:rPr>
          <w:sz w:val="24"/>
        </w:rPr>
      </w:pPr>
      <w:r>
        <w:rPr>
          <w:rFonts w:hint="eastAsia"/>
          <w:b/>
          <w:sz w:val="24"/>
        </w:rPr>
        <w:t xml:space="preserve">2.1.4 </w:t>
      </w:r>
      <w:r>
        <w:rPr>
          <w:rFonts w:hint="eastAsia"/>
          <w:sz w:val="24"/>
        </w:rPr>
        <w:t xml:space="preserve">蓄冷空调系统 air condition system with thermal storage </w:t>
      </w:r>
    </w:p>
    <w:p>
      <w:pPr>
        <w:spacing w:line="360" w:lineRule="auto"/>
        <w:ind w:firstLine="480" w:firstLineChars="200"/>
        <w:rPr>
          <w:sz w:val="24"/>
        </w:rPr>
      </w:pPr>
      <w:r>
        <w:rPr>
          <w:rFonts w:hint="eastAsia"/>
          <w:sz w:val="24"/>
        </w:rPr>
        <w:t>蓄冷空调系统由制冷蓄冷系统与供冷系统所组成。</w:t>
      </w:r>
    </w:p>
    <w:p>
      <w:pPr>
        <w:spacing w:line="360" w:lineRule="auto"/>
        <w:rPr>
          <w:sz w:val="24"/>
        </w:rPr>
      </w:pPr>
      <w:r>
        <w:rPr>
          <w:rFonts w:hint="eastAsia"/>
          <w:b/>
          <w:sz w:val="24"/>
        </w:rPr>
        <w:t>2.1.5</w:t>
      </w:r>
      <w:r>
        <w:rPr>
          <w:rFonts w:hint="eastAsia"/>
          <w:sz w:val="24"/>
        </w:rPr>
        <w:t xml:space="preserve"> 住宅排气道系统  </w:t>
      </w:r>
      <w:r>
        <w:rPr>
          <w:sz w:val="24"/>
        </w:rPr>
        <w:t>residential exhaust pipe system</w:t>
      </w:r>
    </w:p>
    <w:p>
      <w:pPr>
        <w:spacing w:line="360" w:lineRule="auto"/>
        <w:ind w:firstLine="480" w:firstLineChars="200"/>
        <w:rPr>
          <w:sz w:val="24"/>
        </w:rPr>
      </w:pPr>
      <w:r>
        <w:rPr>
          <w:rFonts w:hint="eastAsia"/>
          <w:sz w:val="24"/>
        </w:rPr>
        <w:t>由竖向安装的共用排气道、防火与止回部件、屋顶风帽及其连接结构等系统化集成的住宅厨房、卫生间废气排放的集中管道系统。</w:t>
      </w:r>
    </w:p>
    <w:p>
      <w:pPr>
        <w:spacing w:line="360" w:lineRule="auto"/>
        <w:rPr>
          <w:sz w:val="24"/>
        </w:rPr>
      </w:pPr>
      <w:r>
        <w:rPr>
          <w:b/>
          <w:sz w:val="24"/>
        </w:rPr>
        <w:t>2.1.</w:t>
      </w:r>
      <w:r>
        <w:rPr>
          <w:rFonts w:hint="eastAsia"/>
          <w:b/>
          <w:sz w:val="24"/>
        </w:rPr>
        <w:t>6</w:t>
      </w:r>
      <w:r>
        <w:rPr>
          <w:sz w:val="24"/>
        </w:rPr>
        <w:t xml:space="preserve"> </w:t>
      </w:r>
      <w:r>
        <w:rPr>
          <w:rFonts w:hint="eastAsia"/>
          <w:sz w:val="24"/>
        </w:rPr>
        <w:t>建筑监测与控制系统</w:t>
      </w:r>
      <w:r>
        <w:rPr>
          <w:sz w:val="24"/>
        </w:rPr>
        <w:t xml:space="preserve">  building monitoring and control system </w:t>
      </w:r>
    </w:p>
    <w:p>
      <w:pPr>
        <w:spacing w:line="360" w:lineRule="auto"/>
        <w:ind w:firstLine="480" w:firstLineChars="200"/>
        <w:rPr>
          <w:sz w:val="24"/>
        </w:rPr>
      </w:pPr>
      <w:r>
        <w:rPr>
          <w:rFonts w:hint="eastAsia"/>
          <w:sz w:val="24"/>
        </w:rPr>
        <w:t>对建筑物内及其周边的设备或系统进行集中监测、控制与管理，来实现安全运行、节能降耗、提高管理水平等目标的一些相关单元的组合，简称监控系统。</w:t>
      </w:r>
      <w:r>
        <w:rPr>
          <w:sz w:val="24"/>
        </w:rPr>
        <w:t xml:space="preserve"> </w:t>
      </w:r>
    </w:p>
    <w:p>
      <w:pPr>
        <w:spacing w:line="360" w:lineRule="auto"/>
        <w:rPr>
          <w:sz w:val="24"/>
        </w:rPr>
      </w:pPr>
      <w:r>
        <w:rPr>
          <w:b/>
          <w:sz w:val="24"/>
        </w:rPr>
        <w:t>2.1.</w:t>
      </w:r>
      <w:r>
        <w:rPr>
          <w:rFonts w:hint="eastAsia"/>
          <w:b/>
          <w:sz w:val="24"/>
        </w:rPr>
        <w:t>7</w:t>
      </w:r>
      <w:r>
        <w:rPr>
          <w:sz w:val="24"/>
        </w:rPr>
        <w:t xml:space="preserve"> </w:t>
      </w:r>
      <w:r>
        <w:rPr>
          <w:rFonts w:hint="eastAsia"/>
          <w:sz w:val="24"/>
        </w:rPr>
        <w:t>太阳能系统</w:t>
      </w:r>
      <w:r>
        <w:rPr>
          <w:sz w:val="24"/>
        </w:rPr>
        <w:t xml:space="preserve"> </w:t>
      </w:r>
      <w:r>
        <w:rPr>
          <w:rFonts w:hint="eastAsia"/>
          <w:sz w:val="24"/>
        </w:rPr>
        <w:t xml:space="preserve">solar </w:t>
      </w:r>
      <w:r>
        <w:rPr>
          <w:sz w:val="24"/>
        </w:rPr>
        <w:t xml:space="preserve">energy </w:t>
      </w:r>
      <w:r>
        <w:rPr>
          <w:rFonts w:hint="eastAsia"/>
          <w:sz w:val="24"/>
        </w:rPr>
        <w:t>system</w:t>
      </w:r>
      <w:r>
        <w:rPr>
          <w:sz w:val="24"/>
        </w:rPr>
        <w:t xml:space="preserve">  </w:t>
      </w:r>
    </w:p>
    <w:p>
      <w:pPr>
        <w:spacing w:line="360" w:lineRule="auto"/>
        <w:ind w:firstLine="480" w:firstLineChars="200"/>
        <w:rPr>
          <w:sz w:val="24"/>
        </w:rPr>
      </w:pPr>
      <w:r>
        <w:rPr>
          <w:rFonts w:hint="eastAsia"/>
          <w:sz w:val="24"/>
        </w:rPr>
        <w:t>利用太阳的热辐射能的系统，主要包括太阳能热利用系统和太阳能光伏系统。其中，太阳能热利用系统是指将太阳能转换成热能，进行供热、制冷等应用的系统，在建筑中主要包括太阳能供热水、采暖和空调系统。</w:t>
      </w:r>
      <w:r>
        <w:rPr>
          <w:sz w:val="24"/>
        </w:rPr>
        <w:t xml:space="preserve">  </w:t>
      </w:r>
    </w:p>
    <w:p>
      <w:pPr>
        <w:spacing w:line="360" w:lineRule="auto"/>
        <w:rPr>
          <w:sz w:val="24"/>
        </w:rPr>
      </w:pPr>
      <w:r>
        <w:rPr>
          <w:b/>
          <w:sz w:val="24"/>
        </w:rPr>
        <w:t>2.1.</w:t>
      </w:r>
      <w:r>
        <w:rPr>
          <w:rFonts w:hint="eastAsia"/>
          <w:b/>
          <w:sz w:val="24"/>
        </w:rPr>
        <w:t>8</w:t>
      </w:r>
      <w:r>
        <w:rPr>
          <w:sz w:val="24"/>
        </w:rPr>
        <w:t xml:space="preserve"> </w:t>
      </w:r>
      <w:r>
        <w:rPr>
          <w:rFonts w:hint="eastAsia"/>
          <w:sz w:val="24"/>
        </w:rPr>
        <w:t>地源热泵系统</w:t>
      </w:r>
      <w:r>
        <w:rPr>
          <w:sz w:val="24"/>
        </w:rPr>
        <w:t xml:space="preserve"> </w:t>
      </w:r>
      <w:r>
        <w:rPr>
          <w:rFonts w:hint="eastAsia"/>
          <w:sz w:val="24"/>
        </w:rPr>
        <w:t>ground-source heat pump system</w:t>
      </w:r>
      <w:r>
        <w:rPr>
          <w:sz w:val="24"/>
        </w:rPr>
        <w:t xml:space="preserve">  </w:t>
      </w:r>
    </w:p>
    <w:p>
      <w:pPr>
        <w:spacing w:line="360" w:lineRule="auto"/>
        <w:ind w:firstLine="480" w:firstLineChars="200"/>
        <w:rPr>
          <w:sz w:val="24"/>
        </w:rPr>
      </w:pPr>
      <w:r>
        <w:rPr>
          <w:rFonts w:hint="eastAsia"/>
          <w:sz w:val="24"/>
        </w:rPr>
        <w:t>以岩土体、地下水或地表水为低温热源，由水源热泵机组、地热能交换系统、建筑物内系统组成的供热空调系统。根据地热能交换系统形式的不同，地源热泵系统分为地埋管地源热泵系统、地下水地源热泵系统和地表水地源热泵系统。其中地表水源热泵又分为江、河、湖、海水源热泵系统。</w:t>
      </w:r>
      <w:r>
        <w:rPr>
          <w:sz w:val="24"/>
        </w:rPr>
        <w:t xml:space="preserve">  </w:t>
      </w:r>
    </w:p>
    <w:p>
      <w:pPr>
        <w:spacing w:line="360" w:lineRule="auto"/>
        <w:ind w:firstLine="480" w:firstLineChars="200"/>
        <w:rPr>
          <w:sz w:val="24"/>
        </w:rPr>
        <w:sectPr>
          <w:pgSz w:w="11906" w:h="16838"/>
          <w:pgMar w:top="1440" w:right="1800" w:bottom="1440" w:left="1800" w:header="851" w:footer="992" w:gutter="0"/>
          <w:cols w:space="425" w:num="1"/>
          <w:docGrid w:type="lines" w:linePitch="312" w:charSpace="0"/>
        </w:sectPr>
      </w:pPr>
    </w:p>
    <w:p>
      <w:pPr>
        <w:pStyle w:val="2"/>
      </w:pPr>
      <w:bookmarkStart w:id="12" w:name="_Toc17811140"/>
      <w:bookmarkStart w:id="13" w:name="_Toc530472458"/>
      <w:r>
        <w:rPr>
          <w:rFonts w:hint="eastAsia"/>
        </w:rPr>
        <w:t>3  基本规定</w:t>
      </w:r>
      <w:bookmarkEnd w:id="12"/>
      <w:bookmarkEnd w:id="13"/>
    </w:p>
    <w:p>
      <w:pPr>
        <w:spacing w:line="360" w:lineRule="auto"/>
        <w:rPr>
          <w:sz w:val="24"/>
        </w:rPr>
      </w:pPr>
      <w:r>
        <w:rPr>
          <w:rFonts w:hint="eastAsia"/>
          <w:b/>
          <w:sz w:val="24"/>
        </w:rPr>
        <w:t>3.0.1</w:t>
      </w:r>
      <w:r>
        <w:rPr>
          <w:rFonts w:hint="eastAsia"/>
          <w:sz w:val="24"/>
        </w:rPr>
        <w:t xml:space="preserve">  当进行绿色建筑检测时，委托方宜提供工程竣工文件和有关技术资料。 </w:t>
      </w:r>
    </w:p>
    <w:p>
      <w:pPr>
        <w:pStyle w:val="27"/>
        <w:ind w:firstLine="0" w:firstLineChars="0"/>
      </w:pPr>
      <w:r>
        <w:rPr>
          <w:rFonts w:hint="eastAsia"/>
        </w:rPr>
        <w:t>【条文说明】</w:t>
      </w:r>
    </w:p>
    <w:p>
      <w:pPr>
        <w:spacing w:line="360" w:lineRule="auto"/>
        <w:ind w:firstLine="420" w:firstLineChars="200"/>
        <w:rPr>
          <w:rFonts w:eastAsia="楷体"/>
          <w:color w:val="3016EE"/>
        </w:rPr>
      </w:pPr>
      <w:r>
        <w:rPr>
          <w:rFonts w:hint="eastAsia" w:eastAsia="楷体"/>
          <w:color w:val="3016EE"/>
        </w:rPr>
        <w:t>工程竣工文件和有关技术文件应包括下列内容：（1）审图机构对工程施工图绿色设计提出的审查文件；（2）工程竣工图纸；（3）由具有相关资质的检测机构出具的对从施工现场见证取样送检的有关性能复验报告；（4）玻璃（或其他透明材料）、外门窗、建筑幕墙、遮阳设施、通风空调、给水排水、配电照明及监控系统、太阳能系统、地源热泵系统设备以及保温材料的产品合格证、性能检测报告；（5）外墙、屋面（含建筑采光顶）、外门窗（含天窗）、建筑幕墙、热桥部位以及通风空调系统、给水排水系统、太阳能系统、地源热泵系统管道的保温施工方案及其隐蔽工程验收资料；（6）其他有关技术资料。</w:t>
      </w:r>
    </w:p>
    <w:p>
      <w:pPr>
        <w:spacing w:line="360" w:lineRule="auto"/>
        <w:ind w:firstLine="420" w:firstLineChars="200"/>
        <w:rPr>
          <w:sz w:val="24"/>
        </w:rPr>
      </w:pPr>
      <w:r>
        <w:rPr>
          <w:rFonts w:hint="eastAsia" w:eastAsia="楷体"/>
          <w:color w:val="3016EE"/>
        </w:rPr>
        <w:t>对既有绿色建筑还应提供建筑维修资料、有关用能设备运行记录及维修记录等。</w:t>
      </w:r>
    </w:p>
    <w:p>
      <w:pPr>
        <w:spacing w:line="360" w:lineRule="auto"/>
        <w:rPr>
          <w:sz w:val="24"/>
        </w:rPr>
      </w:pPr>
      <w:r>
        <w:rPr>
          <w:rFonts w:hint="eastAsia"/>
          <w:b/>
          <w:sz w:val="24"/>
        </w:rPr>
        <w:t>3.0.2</w:t>
      </w:r>
      <w:r>
        <w:rPr>
          <w:rFonts w:hint="eastAsia"/>
          <w:sz w:val="24"/>
        </w:rPr>
        <w:t xml:space="preserve">  检测中使用的仪器仪表应具有有效期内的检定证书、校准证书或检测证书。除另有规定外，仪器仪表的性能指标应符合相关标准的规定。 </w:t>
      </w:r>
    </w:p>
    <w:p>
      <w:pPr>
        <w:pStyle w:val="27"/>
        <w:ind w:firstLine="0" w:firstLineChars="0"/>
      </w:pPr>
      <w:r>
        <w:rPr>
          <w:rFonts w:hint="eastAsia"/>
        </w:rPr>
        <w:t>【条文说明】</w:t>
      </w:r>
    </w:p>
    <w:p>
      <w:pPr>
        <w:spacing w:line="360" w:lineRule="auto"/>
        <w:ind w:firstLine="420" w:firstLineChars="200"/>
        <w:rPr>
          <w:rFonts w:eastAsia="楷体"/>
          <w:color w:val="3016EE"/>
        </w:rPr>
      </w:pPr>
      <w:r>
        <w:rPr>
          <w:rFonts w:hint="eastAsia" w:eastAsia="楷体"/>
          <w:color w:val="3016EE"/>
        </w:rPr>
        <w:t>绿色检测涉及检测数据，而数据又关联到仪器仪表的准确度，准确度的确定有待于仪器仪表的标定或校准，只有这样，绿色检测中所得到的数据的准确度才能溯源，否则，检测所得到的数据毫无意义，因此，检测中使用的仪器仪表必须经过法定计量部门的标定或校准，并获得相应的检定证书、校准证书或检测证书。检测中使用到的仪器仪表，根据不同的检测内容应符合相应的检测标准的规定，标准中有关仪器仪表的性能要求的规定是最低要求，不能突破。</w:t>
      </w:r>
    </w:p>
    <w:p>
      <w:pPr>
        <w:spacing w:line="360" w:lineRule="auto"/>
        <w:rPr>
          <w:sz w:val="24"/>
        </w:rPr>
      </w:pPr>
      <w:r>
        <w:rPr>
          <w:rFonts w:hint="eastAsia"/>
          <w:b/>
          <w:sz w:val="24"/>
        </w:rPr>
        <w:t xml:space="preserve">3.0.3 </w:t>
      </w:r>
      <w:r>
        <w:rPr>
          <w:rFonts w:hint="eastAsia"/>
          <w:sz w:val="24"/>
        </w:rPr>
        <w:t xml:space="preserve"> 当绿色建筑按计数方法检测时，其最小抽样检测数量除本标准另有规定外，应符合表3.0.3最小抽样检测数量的规定。</w:t>
      </w:r>
    </w:p>
    <w:p>
      <w:pPr>
        <w:snapToGrid w:val="0"/>
        <w:spacing w:line="300" w:lineRule="auto"/>
        <w:ind w:left="359" w:leftChars="171"/>
        <w:jc w:val="center"/>
        <w:rPr>
          <w:rFonts w:ascii="宋体" w:hAnsi="宋体"/>
          <w:b/>
          <w:bCs/>
          <w:szCs w:val="21"/>
        </w:rPr>
      </w:pPr>
      <w:r>
        <w:rPr>
          <w:rFonts w:hint="eastAsia" w:ascii="宋体" w:hAnsi="宋体"/>
          <w:b/>
          <w:bCs/>
          <w:szCs w:val="21"/>
        </w:rPr>
        <w:t>表</w:t>
      </w:r>
      <w:r>
        <w:rPr>
          <w:rFonts w:hint="eastAsia"/>
          <w:b/>
          <w:bCs/>
          <w:szCs w:val="21"/>
        </w:rPr>
        <w:t>3.0.3</w:t>
      </w:r>
      <w:r>
        <w:rPr>
          <w:rFonts w:hint="eastAsia" w:ascii="宋体" w:hAnsi="宋体"/>
          <w:b/>
          <w:bCs/>
          <w:szCs w:val="21"/>
        </w:rPr>
        <w:t xml:space="preserve">  最小抽样检测数量</w:t>
      </w:r>
    </w:p>
    <w:tbl>
      <w:tblPr>
        <w:tblStyle w:val="1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1952"/>
        <w:gridCol w:w="2267"/>
        <w:gridCol w:w="1844"/>
        <w:gridCol w:w="24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525" w:hRule="atLeast"/>
          <w:jc w:val="center"/>
        </w:trPr>
        <w:tc>
          <w:tcPr>
            <w:tcW w:w="1952" w:type="dxa"/>
            <w:shd w:val="clear" w:color="auto" w:fill="D8D8D8" w:themeFill="background1" w:themeFillShade="D9"/>
            <w:vAlign w:val="center"/>
          </w:tcPr>
          <w:p>
            <w:pPr>
              <w:spacing w:line="300" w:lineRule="auto"/>
              <w:jc w:val="center"/>
              <w:rPr>
                <w:b/>
                <w:szCs w:val="21"/>
              </w:rPr>
            </w:pPr>
            <w:r>
              <w:rPr>
                <w:rFonts w:hint="eastAsia"/>
                <w:b/>
                <w:szCs w:val="21"/>
              </w:rPr>
              <w:t>受检样本数量</w:t>
            </w:r>
          </w:p>
        </w:tc>
        <w:tc>
          <w:tcPr>
            <w:tcW w:w="2267" w:type="dxa"/>
            <w:shd w:val="clear" w:color="auto" w:fill="D8D8D8" w:themeFill="background1" w:themeFillShade="D9"/>
            <w:vAlign w:val="center"/>
          </w:tcPr>
          <w:p>
            <w:pPr>
              <w:spacing w:line="300" w:lineRule="auto"/>
              <w:jc w:val="center"/>
              <w:rPr>
                <w:b/>
                <w:szCs w:val="21"/>
              </w:rPr>
            </w:pPr>
            <w:r>
              <w:rPr>
                <w:rFonts w:hint="eastAsia"/>
                <w:b/>
                <w:bCs/>
                <w:szCs w:val="21"/>
              </w:rPr>
              <w:t>最小抽样检测数量</w:t>
            </w:r>
          </w:p>
        </w:tc>
        <w:tc>
          <w:tcPr>
            <w:tcW w:w="1844" w:type="dxa"/>
            <w:shd w:val="clear" w:color="auto" w:fill="D8D8D8" w:themeFill="background1" w:themeFillShade="D9"/>
            <w:vAlign w:val="center"/>
          </w:tcPr>
          <w:p>
            <w:pPr>
              <w:widowControl/>
              <w:spacing w:line="300" w:lineRule="auto"/>
              <w:jc w:val="center"/>
              <w:rPr>
                <w:b/>
                <w:szCs w:val="21"/>
              </w:rPr>
            </w:pPr>
            <w:r>
              <w:rPr>
                <w:rFonts w:hint="eastAsia"/>
                <w:b/>
                <w:szCs w:val="21"/>
              </w:rPr>
              <w:t>受检样本数量</w:t>
            </w:r>
          </w:p>
        </w:tc>
        <w:tc>
          <w:tcPr>
            <w:tcW w:w="2459" w:type="dxa"/>
            <w:shd w:val="clear" w:color="auto" w:fill="D8D8D8" w:themeFill="background1" w:themeFillShade="D9"/>
            <w:vAlign w:val="center"/>
          </w:tcPr>
          <w:p>
            <w:pPr>
              <w:spacing w:line="300" w:lineRule="auto"/>
              <w:jc w:val="center"/>
              <w:rPr>
                <w:b/>
                <w:szCs w:val="21"/>
              </w:rPr>
            </w:pPr>
            <w:r>
              <w:rPr>
                <w:rFonts w:hint="eastAsia"/>
                <w:b/>
                <w:bCs/>
                <w:szCs w:val="21"/>
              </w:rPr>
              <w:t>最小抽样检测数量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Ex>
        <w:trPr>
          <w:cantSplit/>
          <w:trHeight w:val="1693" w:hRule="atLeast"/>
          <w:jc w:val="center"/>
        </w:trPr>
        <w:tc>
          <w:tcPr>
            <w:tcW w:w="1952" w:type="dxa"/>
            <w:vAlign w:val="center"/>
          </w:tcPr>
          <w:p>
            <w:pPr>
              <w:widowControl/>
              <w:spacing w:line="300" w:lineRule="auto"/>
              <w:jc w:val="center"/>
              <w:rPr>
                <w:bCs/>
                <w:szCs w:val="21"/>
              </w:rPr>
            </w:pPr>
            <w:r>
              <w:rPr>
                <w:bCs/>
                <w:szCs w:val="21"/>
              </w:rPr>
              <w:t>2～</w:t>
            </w:r>
            <w:r>
              <w:rPr>
                <w:rFonts w:hint="eastAsia"/>
                <w:bCs/>
                <w:szCs w:val="21"/>
              </w:rPr>
              <w:t>15</w:t>
            </w:r>
          </w:p>
          <w:p>
            <w:pPr>
              <w:spacing w:line="300" w:lineRule="auto"/>
              <w:jc w:val="center"/>
              <w:rPr>
                <w:bCs/>
                <w:szCs w:val="21"/>
              </w:rPr>
            </w:pPr>
            <w:r>
              <w:rPr>
                <w:bCs/>
                <w:szCs w:val="21"/>
              </w:rPr>
              <w:t>16～25</w:t>
            </w:r>
          </w:p>
          <w:p>
            <w:pPr>
              <w:spacing w:line="300" w:lineRule="auto"/>
              <w:jc w:val="center"/>
              <w:rPr>
                <w:bCs/>
                <w:szCs w:val="21"/>
              </w:rPr>
            </w:pPr>
            <w:r>
              <w:rPr>
                <w:bCs/>
                <w:szCs w:val="21"/>
              </w:rPr>
              <w:t>26～</w:t>
            </w:r>
            <w:r>
              <w:rPr>
                <w:rFonts w:hint="eastAsia"/>
                <w:bCs/>
                <w:szCs w:val="21"/>
              </w:rPr>
              <w:t>9</w:t>
            </w:r>
            <w:r>
              <w:rPr>
                <w:bCs/>
                <w:szCs w:val="21"/>
              </w:rPr>
              <w:t>0</w:t>
            </w:r>
          </w:p>
          <w:p>
            <w:pPr>
              <w:widowControl/>
              <w:spacing w:line="300" w:lineRule="auto"/>
              <w:jc w:val="center"/>
              <w:rPr>
                <w:szCs w:val="21"/>
              </w:rPr>
            </w:pPr>
            <w:r>
              <w:rPr>
                <w:bCs/>
                <w:szCs w:val="21"/>
              </w:rPr>
              <w:t>91～150</w:t>
            </w:r>
          </w:p>
        </w:tc>
        <w:tc>
          <w:tcPr>
            <w:tcW w:w="2267" w:type="dxa"/>
            <w:vAlign w:val="center"/>
          </w:tcPr>
          <w:p>
            <w:pPr>
              <w:spacing w:line="300" w:lineRule="auto"/>
              <w:jc w:val="center"/>
              <w:rPr>
                <w:bCs/>
                <w:szCs w:val="21"/>
              </w:rPr>
            </w:pPr>
            <w:r>
              <w:rPr>
                <w:bCs/>
                <w:szCs w:val="21"/>
              </w:rPr>
              <w:t>2</w:t>
            </w:r>
          </w:p>
          <w:p>
            <w:pPr>
              <w:spacing w:line="300" w:lineRule="auto"/>
              <w:jc w:val="center"/>
              <w:rPr>
                <w:bCs/>
                <w:szCs w:val="21"/>
              </w:rPr>
            </w:pPr>
            <w:r>
              <w:rPr>
                <w:bCs/>
                <w:szCs w:val="21"/>
              </w:rPr>
              <w:t>3</w:t>
            </w:r>
          </w:p>
          <w:p>
            <w:pPr>
              <w:spacing w:line="300" w:lineRule="auto"/>
              <w:jc w:val="center"/>
              <w:rPr>
                <w:bCs/>
                <w:szCs w:val="21"/>
              </w:rPr>
            </w:pPr>
            <w:r>
              <w:rPr>
                <w:bCs/>
                <w:szCs w:val="21"/>
              </w:rPr>
              <w:t>5</w:t>
            </w:r>
          </w:p>
          <w:p>
            <w:pPr>
              <w:spacing w:line="300" w:lineRule="auto"/>
              <w:jc w:val="center"/>
              <w:rPr>
                <w:bCs/>
                <w:szCs w:val="21"/>
              </w:rPr>
            </w:pPr>
            <w:r>
              <w:rPr>
                <w:rFonts w:hint="eastAsia"/>
                <w:bCs/>
                <w:szCs w:val="21"/>
              </w:rPr>
              <w:t>8</w:t>
            </w:r>
          </w:p>
        </w:tc>
        <w:tc>
          <w:tcPr>
            <w:tcW w:w="1844" w:type="dxa"/>
            <w:vAlign w:val="center"/>
          </w:tcPr>
          <w:p>
            <w:pPr>
              <w:widowControl/>
              <w:spacing w:line="300" w:lineRule="auto"/>
              <w:jc w:val="center"/>
              <w:rPr>
                <w:bCs/>
                <w:szCs w:val="21"/>
              </w:rPr>
            </w:pPr>
            <w:r>
              <w:rPr>
                <w:bCs/>
                <w:szCs w:val="21"/>
              </w:rPr>
              <w:t>151～280</w:t>
            </w:r>
          </w:p>
          <w:p>
            <w:pPr>
              <w:widowControl/>
              <w:spacing w:line="300" w:lineRule="auto"/>
              <w:jc w:val="center"/>
              <w:rPr>
                <w:bCs/>
                <w:szCs w:val="21"/>
              </w:rPr>
            </w:pPr>
            <w:r>
              <w:rPr>
                <w:bCs/>
                <w:szCs w:val="21"/>
              </w:rPr>
              <w:t>281～500</w:t>
            </w:r>
          </w:p>
          <w:p>
            <w:pPr>
              <w:widowControl/>
              <w:spacing w:line="300" w:lineRule="auto"/>
              <w:jc w:val="center"/>
              <w:rPr>
                <w:bCs/>
                <w:szCs w:val="21"/>
              </w:rPr>
            </w:pPr>
            <w:r>
              <w:rPr>
                <w:bCs/>
                <w:szCs w:val="21"/>
              </w:rPr>
              <w:t>501～1200</w:t>
            </w:r>
          </w:p>
          <w:p>
            <w:pPr>
              <w:widowControl/>
              <w:spacing w:line="300" w:lineRule="auto"/>
              <w:jc w:val="center"/>
              <w:rPr>
                <w:bCs/>
                <w:szCs w:val="21"/>
              </w:rPr>
            </w:pPr>
            <w:r>
              <w:rPr>
                <w:bCs/>
                <w:szCs w:val="21"/>
              </w:rPr>
              <w:t>1201～3200</w:t>
            </w:r>
          </w:p>
        </w:tc>
        <w:tc>
          <w:tcPr>
            <w:tcW w:w="2459" w:type="dxa"/>
            <w:vAlign w:val="center"/>
          </w:tcPr>
          <w:p>
            <w:pPr>
              <w:widowControl/>
              <w:spacing w:line="300" w:lineRule="auto"/>
              <w:jc w:val="center"/>
              <w:rPr>
                <w:bCs/>
                <w:szCs w:val="21"/>
              </w:rPr>
            </w:pPr>
            <w:r>
              <w:rPr>
                <w:bCs/>
                <w:szCs w:val="21"/>
              </w:rPr>
              <w:t>13</w:t>
            </w:r>
          </w:p>
          <w:p>
            <w:pPr>
              <w:widowControl/>
              <w:spacing w:line="300" w:lineRule="auto"/>
              <w:jc w:val="center"/>
              <w:rPr>
                <w:bCs/>
                <w:szCs w:val="21"/>
              </w:rPr>
            </w:pPr>
            <w:r>
              <w:rPr>
                <w:bCs/>
                <w:szCs w:val="21"/>
              </w:rPr>
              <w:t>20</w:t>
            </w:r>
          </w:p>
          <w:p>
            <w:pPr>
              <w:widowControl/>
              <w:spacing w:line="300" w:lineRule="auto"/>
              <w:jc w:val="center"/>
              <w:rPr>
                <w:bCs/>
                <w:szCs w:val="21"/>
              </w:rPr>
            </w:pPr>
            <w:r>
              <w:rPr>
                <w:bCs/>
                <w:szCs w:val="21"/>
              </w:rPr>
              <w:t>32</w:t>
            </w:r>
          </w:p>
          <w:p>
            <w:pPr>
              <w:widowControl/>
              <w:spacing w:line="300" w:lineRule="auto"/>
              <w:jc w:val="center"/>
              <w:rPr>
                <w:bCs/>
                <w:szCs w:val="21"/>
              </w:rPr>
            </w:pPr>
            <w:r>
              <w:rPr>
                <w:bCs/>
                <w:szCs w:val="21"/>
              </w:rPr>
              <w:t>50</w:t>
            </w:r>
          </w:p>
        </w:tc>
      </w:tr>
    </w:tbl>
    <w:p>
      <w:pPr>
        <w:widowControl/>
        <w:jc w:val="left"/>
        <w:rPr>
          <w:sz w:val="24"/>
        </w:rPr>
      </w:pPr>
      <w:r>
        <w:rPr>
          <w:sz w:val="24"/>
        </w:rPr>
        <w:br w:type="page"/>
      </w:r>
    </w:p>
    <w:p>
      <w:pPr>
        <w:pStyle w:val="2"/>
      </w:pPr>
      <w:bookmarkStart w:id="14" w:name="_Toc17811141"/>
      <w:r>
        <w:rPr>
          <w:rFonts w:hint="eastAsia"/>
        </w:rPr>
        <w:t>4 室外环境检测</w:t>
      </w:r>
      <w:bookmarkEnd w:id="14"/>
    </w:p>
    <w:p>
      <w:pPr>
        <w:pStyle w:val="3"/>
        <w:rPr>
          <w:rFonts w:ascii="Times New Roman" w:hAnsi="Times New Roman" w:cs="Times New Roman"/>
          <w:lang w:val="zh-CN"/>
        </w:rPr>
      </w:pPr>
      <w:bookmarkStart w:id="15" w:name="_Toc17811142"/>
      <w:r>
        <w:rPr>
          <w:rFonts w:ascii="Times New Roman" w:hAnsi="Times New Roman" w:cs="Times New Roman"/>
          <w:lang w:val="zh-CN"/>
        </w:rPr>
        <w:t>4.1  一般规定</w:t>
      </w:r>
      <w:bookmarkEnd w:id="15"/>
    </w:p>
    <w:p>
      <w:pPr>
        <w:spacing w:line="360" w:lineRule="auto"/>
        <w:rPr>
          <w:sz w:val="24"/>
        </w:rPr>
      </w:pPr>
      <w:r>
        <w:rPr>
          <w:b/>
          <w:sz w:val="24"/>
        </w:rPr>
        <w:t>4.1.1</w:t>
      </w:r>
      <w:r>
        <w:rPr>
          <w:sz w:val="24"/>
        </w:rPr>
        <w:t>绿色建筑室外环境检测项目包括：场地土壤氡浓度、场地电磁辐射、场地环境噪声、</w:t>
      </w:r>
      <w:r>
        <w:rPr>
          <w:rFonts w:hint="eastAsia"/>
          <w:sz w:val="24"/>
        </w:rPr>
        <w:t>人行及非机动车道路照明、</w:t>
      </w:r>
      <w:r>
        <w:rPr>
          <w:sz w:val="24"/>
        </w:rPr>
        <w:t>室外照明光污染、</w:t>
      </w:r>
      <w:r>
        <w:rPr>
          <w:rFonts w:hint="eastAsia"/>
          <w:sz w:val="24"/>
        </w:rPr>
        <w:t>建筑外立面玻璃幕墙可见光反射比、</w:t>
      </w:r>
      <w:r>
        <w:rPr>
          <w:sz w:val="24"/>
        </w:rPr>
        <w:t>地面材料防滑性能</w:t>
      </w:r>
      <w:r>
        <w:rPr>
          <w:rFonts w:hint="eastAsia"/>
          <w:sz w:val="24"/>
        </w:rPr>
        <w:t>、透水铺装构造</w:t>
      </w:r>
      <w:r>
        <w:rPr>
          <w:sz w:val="24"/>
        </w:rPr>
        <w:t>等检测。</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本条列举了绿色建筑室外环境检测涉及的检测项目。</w:t>
      </w:r>
    </w:p>
    <w:p>
      <w:pPr>
        <w:spacing w:line="360" w:lineRule="auto"/>
        <w:rPr>
          <w:sz w:val="24"/>
        </w:rPr>
      </w:pPr>
      <w:r>
        <w:rPr>
          <w:b/>
          <w:sz w:val="24"/>
        </w:rPr>
        <w:t>4.1.2</w:t>
      </w:r>
      <w:r>
        <w:rPr>
          <w:sz w:val="24"/>
        </w:rPr>
        <w:t>除场地土壤氡浓度检测外，绿色建筑室外环境检测应在建筑建成运行后，对实际室外环境进行现场检测。</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eastAsia="楷体"/>
          <w:color w:val="3016EE"/>
        </w:rPr>
        <w:t>本条规定了绿色建筑室外环境检测的受检条件。</w:t>
      </w:r>
    </w:p>
    <w:p>
      <w:pPr>
        <w:spacing w:line="360" w:lineRule="auto"/>
        <w:ind w:firstLine="420" w:firstLineChars="200"/>
        <w:rPr>
          <w:rFonts w:eastAsia="楷体"/>
          <w:color w:val="3016EE"/>
        </w:rPr>
      </w:pPr>
    </w:p>
    <w:p>
      <w:pPr>
        <w:pStyle w:val="3"/>
        <w:rPr>
          <w:rFonts w:ascii="Times New Roman" w:hAnsi="Times New Roman" w:cs="Times New Roman"/>
          <w:lang w:val="zh-CN"/>
        </w:rPr>
      </w:pPr>
      <w:bookmarkStart w:id="16" w:name="_Toc17811143"/>
      <w:r>
        <w:rPr>
          <w:rFonts w:ascii="Times New Roman" w:hAnsi="Times New Roman" w:cs="Times New Roman"/>
          <w:lang w:val="zh-CN"/>
        </w:rPr>
        <w:t>4.2  场地土壤氡浓度检测</w:t>
      </w:r>
      <w:bookmarkEnd w:id="16"/>
    </w:p>
    <w:p>
      <w:pPr>
        <w:spacing w:line="360" w:lineRule="auto"/>
        <w:rPr>
          <w:sz w:val="24"/>
        </w:rPr>
      </w:pPr>
      <w:r>
        <w:rPr>
          <w:b/>
          <w:sz w:val="24"/>
        </w:rPr>
        <w:t>4.2.1</w:t>
      </w:r>
      <w:r>
        <w:rPr>
          <w:sz w:val="24"/>
        </w:rPr>
        <w:t>场地土壤氡浓度的检测数量、检测方法应符合现行国家标准《民用建筑工程室内环境污染控制规范》GB50325的规定。</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eastAsia="楷体"/>
          <w:color w:val="3016EE"/>
        </w:rPr>
        <w:t>氡是一种放射性惰性气体，无色无味，能溶于水。由于氡与人体的脂肪有很高的亲和力，氡能在脂肪组织、神经系统、网状内皮系统和血液中广泛分布，对细胞造成损伤，最终诱发癌变。氡被WHO（世界卫生组织）公布为19种主要环境致癌物之一，且被国际癌症研究机构列入室内主要致癌物。建筑物室内氡主要源于地下土壤、岩石和建筑材料，有地质构造断层的区域也会出现土壤氡浓度高的情况。</w:t>
      </w:r>
    </w:p>
    <w:p>
      <w:pPr>
        <w:spacing w:line="360" w:lineRule="auto"/>
        <w:ind w:firstLine="420" w:firstLineChars="200"/>
        <w:rPr>
          <w:rFonts w:eastAsia="楷体"/>
          <w:color w:val="3016EE"/>
        </w:rPr>
      </w:pPr>
      <w:r>
        <w:rPr>
          <w:rFonts w:eastAsia="楷体"/>
          <w:color w:val="3016EE"/>
        </w:rPr>
        <w:t>根据国家标准《民用建筑工程室内环境污染控制规范》GB50325的要求，已进行过土壤中氡浓度或土壤表面氡析出率区域性测定的民用建筑工程，当土壤氡浓度测定结果平均值不大于10000Bq/m</w:t>
      </w:r>
      <w:r>
        <w:rPr>
          <w:rFonts w:eastAsia="楷体"/>
          <w:color w:val="3016EE"/>
          <w:vertAlign w:val="superscript"/>
        </w:rPr>
        <w:t>3</w:t>
      </w:r>
      <w:r>
        <w:rPr>
          <w:rFonts w:eastAsia="楷体"/>
          <w:color w:val="3016EE"/>
        </w:rPr>
        <w:t>或土壤表面氡析出率测定结果平均值不大于0.02 Bq/</w:t>
      </w:r>
      <w:r>
        <w:rPr>
          <w:rFonts w:hint="eastAsia" w:eastAsia="楷体"/>
          <w:color w:val="3016EE"/>
        </w:rPr>
        <w:t>m</w:t>
      </w:r>
      <w:r>
        <w:rPr>
          <w:rFonts w:hint="eastAsia" w:eastAsia="楷体"/>
          <w:color w:val="3016EE"/>
          <w:vertAlign w:val="superscript"/>
        </w:rPr>
        <w:t>2</w:t>
      </w:r>
      <w:r>
        <w:rPr>
          <w:rFonts w:eastAsia="楷体"/>
          <w:color w:val="3016EE"/>
        </w:rPr>
        <w:t>·s，且工程场地所在地点不存在地质断裂构造时，可不再进行土壤氡浓度测定；其他情况均应进行工程场地土壤氡浓度或土壤表面氡析出率测定。</w:t>
      </w:r>
    </w:p>
    <w:p>
      <w:pPr>
        <w:spacing w:line="360" w:lineRule="auto"/>
        <w:ind w:firstLine="420" w:firstLineChars="200"/>
        <w:rPr>
          <w:rFonts w:eastAsia="楷体"/>
          <w:color w:val="3016EE"/>
        </w:rPr>
      </w:pPr>
      <w:r>
        <w:rPr>
          <w:rFonts w:eastAsia="楷体"/>
          <w:color w:val="3016EE"/>
        </w:rPr>
        <w:t>根据国家标准《民用建筑工程室内环境污染控制规范》GB50325的规定，在工程地质勘察范围内布点时，应以间距10m作网格，各网格点即为测试点。对于竣工后建筑，综合考虑实际情况和数据可靠，本标准规定在建筑周边外侧和外侧10米范围内按十米网格法布设检测点。考虑到检测成本，在抽测的土壤氡浓度较低的情况下，即不大于20000Bq/m</w:t>
      </w:r>
      <w:r>
        <w:rPr>
          <w:rFonts w:eastAsia="楷体"/>
          <w:color w:val="3016EE"/>
          <w:vertAlign w:val="superscript"/>
        </w:rPr>
        <w:t>3</w:t>
      </w:r>
      <w:r>
        <w:rPr>
          <w:rFonts w:eastAsia="楷体"/>
          <w:color w:val="3016EE"/>
        </w:rPr>
        <w:t>时，在建筑四周10米范围内各布设五个检测点，共布设20个检测点。</w:t>
      </w:r>
    </w:p>
    <w:p>
      <w:pPr>
        <w:spacing w:line="360" w:lineRule="auto"/>
        <w:rPr>
          <w:sz w:val="24"/>
        </w:rPr>
      </w:pPr>
      <w:r>
        <w:rPr>
          <w:b/>
          <w:sz w:val="24"/>
        </w:rPr>
        <w:t>4.2.2</w:t>
      </w:r>
      <w:r>
        <w:rPr>
          <w:sz w:val="24"/>
        </w:rPr>
        <w:t>场地土壤氡浓度的合格指标与判定方法应符合下列规定：</w:t>
      </w:r>
    </w:p>
    <w:p>
      <w:pPr>
        <w:spacing w:line="360" w:lineRule="auto"/>
        <w:ind w:firstLine="480" w:firstLineChars="200"/>
        <w:rPr>
          <w:sz w:val="24"/>
        </w:rPr>
      </w:pPr>
      <w:r>
        <w:rPr>
          <w:sz w:val="24"/>
        </w:rPr>
        <w:t xml:space="preserve">1  </w:t>
      </w:r>
      <w:r>
        <w:rPr>
          <w:rFonts w:hint="eastAsia"/>
          <w:sz w:val="24"/>
        </w:rPr>
        <w:t>检测工况下，</w:t>
      </w:r>
      <w:r>
        <w:rPr>
          <w:sz w:val="24"/>
        </w:rPr>
        <w:t>场地土壤氡浓度≤20000 Bq/m</w:t>
      </w:r>
      <w:r>
        <w:rPr>
          <w:sz w:val="24"/>
          <w:vertAlign w:val="superscript"/>
        </w:rPr>
        <w:t>3</w:t>
      </w:r>
      <w:r>
        <w:rPr>
          <w:sz w:val="24"/>
        </w:rPr>
        <w:t>或土壤表面氡析出率测定结果平均值≤0.05Bq/m</w:t>
      </w:r>
      <w:r>
        <w:rPr>
          <w:sz w:val="24"/>
          <w:vertAlign w:val="superscript"/>
        </w:rPr>
        <w:t>2</w:t>
      </w:r>
      <w:r>
        <w:rPr>
          <w:sz w:val="24"/>
        </w:rPr>
        <w:t>·s</w:t>
      </w:r>
      <w:r>
        <w:rPr>
          <w:rFonts w:hint="eastAsia"/>
          <w:sz w:val="24"/>
        </w:rPr>
        <w:t>；或</w:t>
      </w:r>
      <w:r>
        <w:rPr>
          <w:sz w:val="24"/>
        </w:rPr>
        <w:t>当场地土壤氡浓度＞20000 Bq/m</w:t>
      </w:r>
      <w:r>
        <w:rPr>
          <w:sz w:val="24"/>
          <w:vertAlign w:val="superscript"/>
        </w:rPr>
        <w:t>3</w:t>
      </w:r>
      <w:r>
        <w:rPr>
          <w:sz w:val="24"/>
        </w:rPr>
        <w:t>或土壤表面氡析出率测定结果平均值＞0.05Bq/m</w:t>
      </w:r>
      <w:r>
        <w:rPr>
          <w:sz w:val="24"/>
          <w:vertAlign w:val="superscript"/>
        </w:rPr>
        <w:t>2</w:t>
      </w:r>
      <w:r>
        <w:rPr>
          <w:sz w:val="24"/>
        </w:rPr>
        <w:t>·s时，已按现行国家标准《民用建筑工程室内环境污染控制规范》GB50325规定采取了相应的防护措施；</w:t>
      </w:r>
    </w:p>
    <w:p>
      <w:pPr>
        <w:spacing w:line="360" w:lineRule="auto"/>
        <w:ind w:firstLine="480" w:firstLineChars="200"/>
        <w:rPr>
          <w:sz w:val="24"/>
        </w:rPr>
      </w:pPr>
      <w:r>
        <w:rPr>
          <w:sz w:val="24"/>
        </w:rPr>
        <w:t>2  当检测结果满足本条第1款的规定时，应判定为合格。</w:t>
      </w:r>
    </w:p>
    <w:p>
      <w:pPr>
        <w:spacing w:line="360" w:lineRule="auto"/>
        <w:ind w:firstLine="480" w:firstLineChars="200"/>
        <w:rPr>
          <w:color w:val="0070C0"/>
          <w:sz w:val="24"/>
        </w:rPr>
      </w:pPr>
    </w:p>
    <w:p>
      <w:pPr>
        <w:pStyle w:val="3"/>
        <w:rPr>
          <w:rFonts w:ascii="Times New Roman" w:hAnsi="Times New Roman" w:cs="Times New Roman"/>
          <w:lang w:val="zh-CN"/>
        </w:rPr>
      </w:pPr>
      <w:bookmarkStart w:id="17" w:name="_Toc17811144"/>
      <w:r>
        <w:rPr>
          <w:rFonts w:ascii="Times New Roman" w:hAnsi="Times New Roman" w:cs="Times New Roman"/>
          <w:lang w:val="zh-CN"/>
        </w:rPr>
        <w:t>4.3  场地电磁辐射检测</w:t>
      </w:r>
      <w:bookmarkEnd w:id="17"/>
    </w:p>
    <w:p>
      <w:pPr>
        <w:spacing w:line="360" w:lineRule="auto"/>
        <w:rPr>
          <w:sz w:val="24"/>
        </w:rPr>
      </w:pPr>
      <w:r>
        <w:rPr>
          <w:b/>
          <w:sz w:val="24"/>
        </w:rPr>
        <w:t>4.3.1</w:t>
      </w:r>
      <w:r>
        <w:rPr>
          <w:sz w:val="24"/>
        </w:rPr>
        <w:t>场地电磁辐射检测前，应核查环境影响评价报告，确认场地周边有无广播发射塔、雷达站、通信发射台、变电站、高压电线等可能存在电磁辐射危险的危险源。</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eastAsia="楷体"/>
          <w:color w:val="3016EE"/>
        </w:rPr>
        <w:t>建筑建成运行后，场地电磁辐射情况相比项目开工前环评时可能有所变化，如场地内或周边增设地下电缆、基站等辐射源，因此需核查并进行场地电磁辐射现场测试，确保公众健康。</w:t>
      </w:r>
    </w:p>
    <w:p>
      <w:pPr>
        <w:spacing w:line="360" w:lineRule="auto"/>
        <w:rPr>
          <w:sz w:val="24"/>
        </w:rPr>
      </w:pPr>
      <w:r>
        <w:rPr>
          <w:b/>
          <w:sz w:val="24"/>
        </w:rPr>
        <w:t>4.3.2</w:t>
      </w:r>
      <w:r>
        <w:rPr>
          <w:sz w:val="24"/>
        </w:rPr>
        <w:t>场地电磁辐射检测内容应包括：电场强度、磁场强度、磁感应强度、等效平面波功率密度等。</w:t>
      </w:r>
    </w:p>
    <w:p>
      <w:pPr>
        <w:spacing w:line="360" w:lineRule="auto"/>
        <w:rPr>
          <w:sz w:val="24"/>
        </w:rPr>
      </w:pPr>
      <w:r>
        <w:rPr>
          <w:b/>
          <w:sz w:val="24"/>
        </w:rPr>
        <w:t>4.3.3</w:t>
      </w:r>
      <w:r>
        <w:rPr>
          <w:sz w:val="24"/>
        </w:rPr>
        <w:t>场地电磁辐射的检测数量应符合现行国家标准《电磁环境控制限值》GB 8702的规定。</w:t>
      </w:r>
    </w:p>
    <w:p>
      <w:pPr>
        <w:spacing w:line="360" w:lineRule="auto"/>
        <w:rPr>
          <w:sz w:val="24"/>
        </w:rPr>
      </w:pPr>
      <w:r>
        <w:rPr>
          <w:b/>
          <w:sz w:val="24"/>
        </w:rPr>
        <w:t>4.3.4</w:t>
      </w:r>
      <w:r>
        <w:rPr>
          <w:sz w:val="24"/>
        </w:rPr>
        <w:t>场地电磁辐射的检测方法应符合现行环境标准《辐射环境保护管理导则电磁辐射监测仪器和方法》HJ/T 10.2和《交流输变电工程电磁环境监测方法（试行）》HJ 681的规定。</w:t>
      </w:r>
    </w:p>
    <w:p>
      <w:pPr>
        <w:spacing w:line="360" w:lineRule="auto"/>
        <w:rPr>
          <w:sz w:val="24"/>
        </w:rPr>
      </w:pPr>
      <w:r>
        <w:rPr>
          <w:b/>
          <w:sz w:val="24"/>
        </w:rPr>
        <w:t>4.3.5</w:t>
      </w:r>
      <w:r>
        <w:rPr>
          <w:sz w:val="24"/>
        </w:rPr>
        <w:t>场地电磁辐射的合格指标与判定方法应符合下列规定：</w:t>
      </w:r>
    </w:p>
    <w:p>
      <w:pPr>
        <w:spacing w:line="360" w:lineRule="auto"/>
        <w:ind w:firstLine="720" w:firstLineChars="300"/>
        <w:rPr>
          <w:sz w:val="24"/>
        </w:rPr>
      </w:pPr>
      <w:r>
        <w:rPr>
          <w:sz w:val="24"/>
        </w:rPr>
        <w:t>1 场地电磁辐射应符合《电磁环境控制限值》GB 8702的规定；</w:t>
      </w:r>
    </w:p>
    <w:p>
      <w:pPr>
        <w:spacing w:line="360" w:lineRule="auto"/>
        <w:ind w:firstLine="720" w:firstLineChars="300"/>
        <w:rPr>
          <w:sz w:val="24"/>
        </w:rPr>
      </w:pPr>
      <w:r>
        <w:rPr>
          <w:sz w:val="24"/>
        </w:rPr>
        <w:t>2 当检测结果满足本条第1款的规定时，应判定为合格。</w:t>
      </w:r>
    </w:p>
    <w:p>
      <w:pPr>
        <w:spacing w:line="360" w:lineRule="auto"/>
        <w:ind w:firstLine="720" w:firstLineChars="300"/>
        <w:rPr>
          <w:sz w:val="24"/>
        </w:rPr>
      </w:pPr>
    </w:p>
    <w:p>
      <w:pPr>
        <w:pStyle w:val="3"/>
        <w:rPr>
          <w:rFonts w:ascii="Times New Roman" w:hAnsi="Times New Roman" w:cs="Times New Roman"/>
          <w:lang w:val="zh-CN"/>
        </w:rPr>
      </w:pPr>
      <w:bookmarkStart w:id="18" w:name="_Toc17811145"/>
      <w:r>
        <w:rPr>
          <w:rFonts w:ascii="Times New Roman" w:hAnsi="Times New Roman" w:cs="Times New Roman"/>
          <w:lang w:val="zh-CN"/>
        </w:rPr>
        <w:t>4.</w:t>
      </w:r>
      <w:r>
        <w:rPr>
          <w:rFonts w:hint="eastAsia" w:ascii="Times New Roman" w:hAnsi="Times New Roman" w:cs="Times New Roman"/>
          <w:lang w:val="zh-CN"/>
        </w:rPr>
        <w:t>4</w:t>
      </w:r>
      <w:r>
        <w:rPr>
          <w:rFonts w:ascii="Times New Roman" w:hAnsi="Times New Roman" w:cs="Times New Roman"/>
          <w:lang w:val="zh-CN"/>
        </w:rPr>
        <w:t xml:space="preserve">  场地环境噪声检测</w:t>
      </w:r>
      <w:bookmarkEnd w:id="18"/>
    </w:p>
    <w:p>
      <w:pPr>
        <w:spacing w:line="360" w:lineRule="auto"/>
        <w:rPr>
          <w:sz w:val="24"/>
        </w:rPr>
      </w:pPr>
      <w:r>
        <w:rPr>
          <w:b/>
          <w:sz w:val="24"/>
        </w:rPr>
        <w:t>4.</w:t>
      </w:r>
      <w:r>
        <w:rPr>
          <w:rFonts w:hint="eastAsia"/>
          <w:b/>
          <w:sz w:val="24"/>
        </w:rPr>
        <w:t>4</w:t>
      </w:r>
      <w:r>
        <w:rPr>
          <w:b/>
          <w:sz w:val="24"/>
        </w:rPr>
        <w:t>.1</w:t>
      </w:r>
      <w:r>
        <w:rPr>
          <w:sz w:val="24"/>
        </w:rPr>
        <w:t>场地环境噪声检测前，应核查环境影响评价报告，确认场地周边建筑、设施及交通道路等噪声源情况，噪声影响较大时，应核查是否采取有效的隔声措施。</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建筑建成运行后，场地环境噪声情况相比项目开工前环评时可能有所变化，如场地周边增设轨道交通或机场、工厂等噪音源，因此需核查并进行场地环境噪声现场测试。</w:t>
      </w:r>
    </w:p>
    <w:p>
      <w:pPr>
        <w:spacing w:line="360" w:lineRule="auto"/>
        <w:rPr>
          <w:sz w:val="24"/>
        </w:rPr>
      </w:pPr>
      <w:r>
        <w:rPr>
          <w:b/>
          <w:sz w:val="24"/>
        </w:rPr>
        <w:t>4.</w:t>
      </w:r>
      <w:r>
        <w:rPr>
          <w:rFonts w:hint="eastAsia"/>
          <w:b/>
          <w:sz w:val="24"/>
        </w:rPr>
        <w:t>4</w:t>
      </w:r>
      <w:r>
        <w:rPr>
          <w:b/>
          <w:sz w:val="24"/>
        </w:rPr>
        <w:t>.2</w:t>
      </w:r>
      <w:r>
        <w:rPr>
          <w:sz w:val="24"/>
        </w:rPr>
        <w:t>场地环境噪声现场检测应符合下列规定：</w:t>
      </w:r>
    </w:p>
    <w:p>
      <w:pPr>
        <w:spacing w:line="360" w:lineRule="auto"/>
        <w:ind w:firstLine="424" w:firstLineChars="177"/>
        <w:rPr>
          <w:sz w:val="24"/>
        </w:rPr>
      </w:pPr>
      <w:r>
        <w:rPr>
          <w:sz w:val="24"/>
        </w:rPr>
        <w:t>1  在建筑场地周边 4 个方位，各布置不少于1 个噪声测量点</w:t>
      </w:r>
      <w:r>
        <w:rPr>
          <w:rFonts w:hint="eastAsia"/>
          <w:sz w:val="24"/>
        </w:rPr>
        <w:t>，测量点宜靠近噪声影响敏感建筑或场地内重点噪声源；</w:t>
      </w:r>
    </w:p>
    <w:p>
      <w:pPr>
        <w:spacing w:line="360" w:lineRule="auto"/>
        <w:ind w:firstLine="424" w:firstLineChars="177"/>
        <w:rPr>
          <w:sz w:val="24"/>
        </w:rPr>
      </w:pPr>
      <w:r>
        <w:rPr>
          <w:sz w:val="24"/>
        </w:rPr>
        <w:t>2  场地环境噪声的检测方法和判定方法应符合现行国家标准《声环境质量标准》GB 3096 的规定。</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考虑检测成本，在建筑物周边四个方向布设具有代表性的采样点。主要考察绿色建筑竣工后，其使用者所处的室外环境噪声情况。噪声敏感建筑物是指医院、学校、机关、科研单位、住宅等需要保持安静的建筑物。</w:t>
      </w:r>
    </w:p>
    <w:p>
      <w:pPr>
        <w:spacing w:line="360" w:lineRule="auto"/>
        <w:rPr>
          <w:sz w:val="24"/>
        </w:rPr>
      </w:pPr>
    </w:p>
    <w:p>
      <w:pPr>
        <w:pStyle w:val="3"/>
        <w:rPr>
          <w:rFonts w:ascii="Times New Roman" w:hAnsi="Times New Roman" w:cs="Times New Roman"/>
          <w:lang w:val="zh-CN"/>
        </w:rPr>
      </w:pPr>
      <w:bookmarkStart w:id="19" w:name="_Toc17811146"/>
      <w:r>
        <w:rPr>
          <w:rFonts w:ascii="Times New Roman" w:hAnsi="Times New Roman" w:cs="Times New Roman"/>
          <w:lang w:val="zh-CN"/>
        </w:rPr>
        <w:t>4.</w:t>
      </w:r>
      <w:r>
        <w:rPr>
          <w:rFonts w:hint="eastAsia" w:ascii="Times New Roman" w:hAnsi="Times New Roman" w:cs="Times New Roman"/>
          <w:lang w:val="zh-CN"/>
        </w:rPr>
        <w:t>5</w:t>
      </w:r>
      <w:r>
        <w:rPr>
          <w:rFonts w:ascii="Times New Roman" w:hAnsi="Times New Roman" w:cs="Times New Roman"/>
          <w:lang w:val="zh-CN"/>
        </w:rPr>
        <w:t xml:space="preserve">  </w:t>
      </w:r>
      <w:r>
        <w:rPr>
          <w:rFonts w:hint="eastAsia" w:ascii="Times New Roman" w:hAnsi="Times New Roman" w:cs="Times New Roman"/>
          <w:lang w:val="zh-CN"/>
        </w:rPr>
        <w:t>人行及非机动车道路照明</w:t>
      </w:r>
      <w:r>
        <w:rPr>
          <w:rFonts w:ascii="Times New Roman" w:hAnsi="Times New Roman" w:cs="Times New Roman"/>
          <w:lang w:val="zh-CN"/>
        </w:rPr>
        <w:t>检测</w:t>
      </w:r>
      <w:bookmarkEnd w:id="19"/>
    </w:p>
    <w:p>
      <w:pPr>
        <w:spacing w:line="360" w:lineRule="auto"/>
        <w:rPr>
          <w:sz w:val="24"/>
        </w:rPr>
      </w:pPr>
      <w:r>
        <w:rPr>
          <w:b/>
          <w:sz w:val="24"/>
        </w:rPr>
        <w:t>4.</w:t>
      </w:r>
      <w:r>
        <w:rPr>
          <w:rFonts w:hint="eastAsia"/>
          <w:b/>
          <w:sz w:val="24"/>
        </w:rPr>
        <w:t>5</w:t>
      </w:r>
      <w:r>
        <w:rPr>
          <w:b/>
          <w:sz w:val="24"/>
        </w:rPr>
        <w:t>.1</w:t>
      </w:r>
      <w:r>
        <w:rPr>
          <w:sz w:val="24"/>
        </w:rPr>
        <w:t>人行</w:t>
      </w:r>
      <w:r>
        <w:rPr>
          <w:rFonts w:hint="eastAsia"/>
          <w:sz w:val="24"/>
        </w:rPr>
        <w:t>及非机动车</w:t>
      </w:r>
      <w:r>
        <w:rPr>
          <w:sz w:val="24"/>
        </w:rPr>
        <w:t>道路照明检测项目应包括：路面平均照度、路面最小照度、最小垂直照度。</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夜间行人的不安全感和实际存在的危险与道路等行人设施的照度水平和照明质量密切相关。步行和自行车交通系统照明应以路面平均照度、路面最小照度和最小垂直照度为评价指标。</w:t>
      </w:r>
    </w:p>
    <w:p>
      <w:pPr>
        <w:spacing w:line="360" w:lineRule="auto"/>
        <w:rPr>
          <w:sz w:val="24"/>
        </w:rPr>
      </w:pPr>
      <w:r>
        <w:rPr>
          <w:b/>
          <w:sz w:val="24"/>
        </w:rPr>
        <w:t>4.</w:t>
      </w:r>
      <w:r>
        <w:rPr>
          <w:rFonts w:hint="eastAsia"/>
          <w:b/>
          <w:sz w:val="24"/>
        </w:rPr>
        <w:t>5</w:t>
      </w:r>
      <w:r>
        <w:rPr>
          <w:b/>
          <w:sz w:val="24"/>
        </w:rPr>
        <w:t>.</w:t>
      </w:r>
      <w:r>
        <w:rPr>
          <w:rFonts w:hint="eastAsia"/>
          <w:b/>
          <w:sz w:val="24"/>
        </w:rPr>
        <w:t>2</w:t>
      </w:r>
      <w:r>
        <w:rPr>
          <w:sz w:val="24"/>
        </w:rPr>
        <w:t>人行</w:t>
      </w:r>
      <w:r>
        <w:rPr>
          <w:rFonts w:hint="eastAsia"/>
          <w:sz w:val="24"/>
        </w:rPr>
        <w:t>及非机动车</w:t>
      </w:r>
      <w:r>
        <w:rPr>
          <w:sz w:val="24"/>
        </w:rPr>
        <w:t>道路照明检测</w:t>
      </w:r>
      <w:r>
        <w:rPr>
          <w:rFonts w:hint="eastAsia"/>
          <w:sz w:val="24"/>
        </w:rPr>
        <w:t>的</w:t>
      </w:r>
      <w:r>
        <w:rPr>
          <w:sz w:val="24"/>
        </w:rPr>
        <w:t>检测数量与检测方法应符合现行国家标准《照明测量方法》GB/T 5700的规定。</w:t>
      </w:r>
    </w:p>
    <w:p>
      <w:pPr>
        <w:spacing w:line="360" w:lineRule="auto"/>
        <w:rPr>
          <w:sz w:val="24"/>
        </w:rPr>
      </w:pPr>
      <w:r>
        <w:rPr>
          <w:b/>
          <w:sz w:val="24"/>
        </w:rPr>
        <w:t>4.</w:t>
      </w:r>
      <w:r>
        <w:rPr>
          <w:rFonts w:hint="eastAsia"/>
          <w:b/>
          <w:sz w:val="24"/>
        </w:rPr>
        <w:t>5</w:t>
      </w:r>
      <w:r>
        <w:rPr>
          <w:b/>
          <w:sz w:val="24"/>
        </w:rPr>
        <w:t>.</w:t>
      </w:r>
      <w:r>
        <w:rPr>
          <w:rFonts w:hint="eastAsia"/>
          <w:b/>
          <w:sz w:val="24"/>
        </w:rPr>
        <w:t>3</w:t>
      </w:r>
      <w:r>
        <w:rPr>
          <w:rFonts w:hint="eastAsia"/>
          <w:sz w:val="24"/>
        </w:rPr>
        <w:t>室外</w:t>
      </w:r>
      <w:r>
        <w:rPr>
          <w:sz w:val="24"/>
        </w:rPr>
        <w:t>人行道路照明的合格指标与判定方法应符合下列规定：</w:t>
      </w:r>
    </w:p>
    <w:p>
      <w:pPr>
        <w:spacing w:line="360" w:lineRule="auto"/>
        <w:ind w:firstLine="424" w:firstLineChars="177"/>
        <w:rPr>
          <w:sz w:val="24"/>
        </w:rPr>
      </w:pPr>
      <w:r>
        <w:rPr>
          <w:sz w:val="24"/>
        </w:rPr>
        <w:t>1</w:t>
      </w:r>
      <w:r>
        <w:rPr>
          <w:rFonts w:hint="eastAsia"/>
          <w:sz w:val="24"/>
        </w:rPr>
        <w:t xml:space="preserve">  </w:t>
      </w:r>
      <w:r>
        <w:rPr>
          <w:sz w:val="24"/>
        </w:rPr>
        <w:t>人行</w:t>
      </w:r>
      <w:r>
        <w:rPr>
          <w:rFonts w:hint="eastAsia"/>
          <w:sz w:val="24"/>
        </w:rPr>
        <w:t>及非机动车</w:t>
      </w:r>
      <w:r>
        <w:rPr>
          <w:sz w:val="24"/>
        </w:rPr>
        <w:t>道路照明</w:t>
      </w:r>
      <w:r>
        <w:rPr>
          <w:rFonts w:hint="eastAsia"/>
          <w:sz w:val="24"/>
        </w:rPr>
        <w:t>检测结果</w:t>
      </w:r>
      <w:r>
        <w:rPr>
          <w:sz w:val="24"/>
        </w:rPr>
        <w:t>应符合现行行业标准《城市道路照明设计标准》CJJ 45的规定；</w:t>
      </w:r>
    </w:p>
    <w:p>
      <w:pPr>
        <w:spacing w:line="360" w:lineRule="auto"/>
        <w:ind w:firstLine="424" w:firstLineChars="177"/>
        <w:rPr>
          <w:sz w:val="24"/>
        </w:rPr>
      </w:pPr>
      <w:r>
        <w:rPr>
          <w:sz w:val="24"/>
        </w:rPr>
        <w:t>2</w:t>
      </w:r>
      <w:r>
        <w:rPr>
          <w:rFonts w:hint="eastAsia"/>
          <w:sz w:val="24"/>
        </w:rPr>
        <w:t xml:space="preserve">  </w:t>
      </w:r>
      <w:r>
        <w:rPr>
          <w:sz w:val="24"/>
        </w:rPr>
        <w:t>当检测结果满足本条第1款的规定时，应判定为合格。</w:t>
      </w:r>
    </w:p>
    <w:p>
      <w:pPr>
        <w:spacing w:line="360" w:lineRule="auto"/>
        <w:ind w:firstLine="424" w:firstLineChars="177"/>
        <w:rPr>
          <w:sz w:val="24"/>
        </w:rPr>
      </w:pPr>
    </w:p>
    <w:p>
      <w:pPr>
        <w:pStyle w:val="3"/>
        <w:rPr>
          <w:rFonts w:ascii="Times New Roman" w:hAnsi="Times New Roman" w:cs="Times New Roman"/>
          <w:lang w:val="zh-CN"/>
        </w:rPr>
      </w:pPr>
      <w:bookmarkStart w:id="20" w:name="_Toc17811147"/>
      <w:r>
        <w:rPr>
          <w:rFonts w:ascii="Times New Roman" w:hAnsi="Times New Roman" w:cs="Times New Roman"/>
          <w:lang w:val="zh-CN"/>
        </w:rPr>
        <w:t>4.</w:t>
      </w:r>
      <w:r>
        <w:rPr>
          <w:rFonts w:hint="eastAsia" w:ascii="Times New Roman" w:hAnsi="Times New Roman" w:cs="Times New Roman"/>
          <w:lang w:val="zh-CN"/>
        </w:rPr>
        <w:t>6</w:t>
      </w:r>
      <w:r>
        <w:rPr>
          <w:rFonts w:ascii="Times New Roman" w:hAnsi="Times New Roman" w:cs="Times New Roman"/>
          <w:lang w:val="zh-CN"/>
        </w:rPr>
        <w:t xml:space="preserve">  室外照明光污染检测</w:t>
      </w:r>
      <w:bookmarkEnd w:id="20"/>
    </w:p>
    <w:p>
      <w:pPr>
        <w:spacing w:line="360" w:lineRule="auto"/>
        <w:rPr>
          <w:sz w:val="24"/>
        </w:rPr>
      </w:pPr>
      <w:r>
        <w:rPr>
          <w:b/>
          <w:sz w:val="24"/>
        </w:rPr>
        <w:t>4.</w:t>
      </w:r>
      <w:r>
        <w:rPr>
          <w:rFonts w:hint="eastAsia"/>
          <w:b/>
          <w:sz w:val="24"/>
        </w:rPr>
        <w:t>6</w:t>
      </w:r>
      <w:r>
        <w:rPr>
          <w:b/>
          <w:sz w:val="24"/>
        </w:rPr>
        <w:t>.</w:t>
      </w:r>
      <w:r>
        <w:rPr>
          <w:rFonts w:hint="eastAsia"/>
          <w:b/>
          <w:sz w:val="24"/>
        </w:rPr>
        <w:t>1</w:t>
      </w:r>
      <w:r>
        <w:rPr>
          <w:sz w:val="24"/>
        </w:rPr>
        <w:t xml:space="preserve"> 室外照明光污染检测项目宜包括：住宅建筑居室窗户外表面上垂直照度、广告标识发光表面的平均亮度、媒体立面墙面平均亮度和最大亮度、LED显示屏或媒体墙表面的平均亮度。</w:t>
      </w:r>
    </w:p>
    <w:p>
      <w:pPr>
        <w:spacing w:line="360" w:lineRule="auto"/>
        <w:rPr>
          <w:rFonts w:eastAsia="楷体"/>
          <w:color w:val="3016EE"/>
        </w:rPr>
      </w:pPr>
      <w:r>
        <w:rPr>
          <w:rFonts w:eastAsia="楷体"/>
          <w:color w:val="3016EE"/>
        </w:rPr>
        <w:t>【条文说明】</w:t>
      </w:r>
    </w:p>
    <w:p>
      <w:pPr>
        <w:spacing w:line="360" w:lineRule="auto"/>
        <w:ind w:firstLine="420" w:firstLineChars="200"/>
        <w:rPr>
          <w:sz w:val="24"/>
        </w:rPr>
      </w:pPr>
      <w:r>
        <w:rPr>
          <w:rFonts w:hint="eastAsia" w:eastAsia="楷体"/>
          <w:color w:val="3016EE"/>
        </w:rPr>
        <w:t>光污染指干扰光或过量的光辐射（含可见光、紫外和红外光辐射）对人、生态环境和天文观测等造成的负面影响的总称。室外照明光污染检测项目包括：住</w:t>
      </w:r>
      <w:r>
        <w:rPr>
          <w:rFonts w:eastAsia="楷体"/>
          <w:color w:val="3016EE"/>
        </w:rPr>
        <w:t>宅建筑居室窗户外表面上垂直照度、广告标识发光表面的平均亮度、媒体立面墙面平均亮度和最大亮度、LED显示屏或媒体墙表面的平均亮度</w:t>
      </w:r>
      <w:r>
        <w:rPr>
          <w:rFonts w:hint="eastAsia" w:eastAsia="楷体"/>
          <w:color w:val="3016EE"/>
        </w:rPr>
        <w:t>。应根据室外照明灯具实际布置以及周边住宅建筑的分布情况，选择相应的检测项目进行现场检测。</w:t>
      </w:r>
    </w:p>
    <w:p>
      <w:pPr>
        <w:spacing w:line="360" w:lineRule="auto"/>
        <w:rPr>
          <w:sz w:val="24"/>
        </w:rPr>
      </w:pPr>
      <w:r>
        <w:rPr>
          <w:b/>
          <w:sz w:val="24"/>
        </w:rPr>
        <w:t>4.</w:t>
      </w:r>
      <w:r>
        <w:rPr>
          <w:rFonts w:hint="eastAsia"/>
          <w:b/>
          <w:sz w:val="24"/>
        </w:rPr>
        <w:t>6</w:t>
      </w:r>
      <w:r>
        <w:rPr>
          <w:b/>
          <w:sz w:val="24"/>
        </w:rPr>
        <w:t>.</w:t>
      </w:r>
      <w:r>
        <w:rPr>
          <w:rFonts w:hint="eastAsia"/>
          <w:b/>
          <w:sz w:val="24"/>
        </w:rPr>
        <w:t>2</w:t>
      </w:r>
      <w:r>
        <w:rPr>
          <w:sz w:val="24"/>
        </w:rPr>
        <w:t>室外照明光污染的检测数量应符合下列规定：</w:t>
      </w:r>
    </w:p>
    <w:p>
      <w:pPr>
        <w:spacing w:line="360" w:lineRule="auto"/>
        <w:ind w:firstLine="424" w:firstLineChars="177"/>
        <w:rPr>
          <w:sz w:val="24"/>
        </w:rPr>
      </w:pPr>
      <w:r>
        <w:rPr>
          <w:sz w:val="24"/>
        </w:rPr>
        <w:t>1</w:t>
      </w:r>
      <w:r>
        <w:rPr>
          <w:rFonts w:hint="eastAsia"/>
          <w:sz w:val="24"/>
        </w:rPr>
        <w:t xml:space="preserve">  </w:t>
      </w:r>
      <w:r>
        <w:rPr>
          <w:sz w:val="24"/>
        </w:rPr>
        <w:t>住宅建筑居室窗户外表面上垂直照度测量</w:t>
      </w:r>
      <w:r>
        <w:rPr>
          <w:rFonts w:hint="eastAsia"/>
          <w:sz w:val="24"/>
        </w:rPr>
        <w:t>，</w:t>
      </w:r>
      <w:r>
        <w:rPr>
          <w:sz w:val="24"/>
        </w:rPr>
        <w:t>应</w:t>
      </w:r>
      <w:r>
        <w:rPr>
          <w:rFonts w:hint="eastAsia"/>
          <w:sz w:val="24"/>
        </w:rPr>
        <w:t>根据建筑室外照明灯具实际布置情况，选取至少2个光污染最不利建筑外立面，每个外立面至少选取高、低楼层各1个</w:t>
      </w:r>
      <w:r>
        <w:rPr>
          <w:sz w:val="24"/>
        </w:rPr>
        <w:t>居室外窗洞面</w:t>
      </w:r>
      <w:r>
        <w:rPr>
          <w:rFonts w:hint="eastAsia"/>
          <w:sz w:val="24"/>
        </w:rPr>
        <w:t>；每个</w:t>
      </w:r>
      <w:r>
        <w:rPr>
          <w:sz w:val="24"/>
        </w:rPr>
        <w:t>居室外窗洞面上均匀选择6~9个测点，取其平均值作为该窗测量结果；</w:t>
      </w:r>
    </w:p>
    <w:p>
      <w:pPr>
        <w:spacing w:line="360" w:lineRule="auto"/>
        <w:ind w:firstLine="424" w:firstLineChars="177"/>
        <w:rPr>
          <w:sz w:val="24"/>
        </w:rPr>
      </w:pPr>
      <w:r>
        <w:rPr>
          <w:sz w:val="24"/>
        </w:rPr>
        <w:t>2</w:t>
      </w:r>
      <w:r>
        <w:rPr>
          <w:rFonts w:hint="eastAsia"/>
          <w:sz w:val="24"/>
        </w:rPr>
        <w:t xml:space="preserve">  </w:t>
      </w:r>
      <w:r>
        <w:rPr>
          <w:sz w:val="24"/>
        </w:rPr>
        <w:t>广告标识发光表面的平均亮度、媒体立面墙面平均亮度和最大亮度、LED显示屏或媒体墙表面的平均亮度，应选择代表建筑特征的表面，同一代表面上的测点不得少于3点。</w:t>
      </w:r>
    </w:p>
    <w:p>
      <w:pPr>
        <w:spacing w:line="360" w:lineRule="auto"/>
        <w:rPr>
          <w:sz w:val="24"/>
        </w:rPr>
      </w:pPr>
      <w:r>
        <w:rPr>
          <w:b/>
          <w:sz w:val="24"/>
        </w:rPr>
        <w:t>4.</w:t>
      </w:r>
      <w:r>
        <w:rPr>
          <w:rFonts w:hint="eastAsia"/>
          <w:b/>
          <w:sz w:val="24"/>
        </w:rPr>
        <w:t>6</w:t>
      </w:r>
      <w:r>
        <w:rPr>
          <w:b/>
          <w:sz w:val="24"/>
        </w:rPr>
        <w:t>.</w:t>
      </w:r>
      <w:r>
        <w:rPr>
          <w:rFonts w:hint="eastAsia"/>
          <w:b/>
          <w:sz w:val="24"/>
        </w:rPr>
        <w:t>3</w:t>
      </w:r>
      <w:r>
        <w:rPr>
          <w:sz w:val="24"/>
        </w:rPr>
        <w:t xml:space="preserve"> 室外照明光污染的检测方法应符合现行国家标准《照明测量方法》GB/T 5700</w:t>
      </w:r>
      <w:r>
        <w:rPr>
          <w:rFonts w:hint="eastAsia"/>
          <w:sz w:val="24"/>
        </w:rPr>
        <w:t>与《LED显示屏干扰光现场测量方法》GB/T 34973</w:t>
      </w:r>
      <w:r>
        <w:rPr>
          <w:sz w:val="24"/>
        </w:rPr>
        <w:t>的规定</w:t>
      </w:r>
      <w:r>
        <w:rPr>
          <w:rFonts w:hint="eastAsia"/>
          <w:sz w:val="24"/>
        </w:rPr>
        <w:t>。</w:t>
      </w:r>
    </w:p>
    <w:p>
      <w:pPr>
        <w:spacing w:line="360" w:lineRule="auto"/>
        <w:rPr>
          <w:sz w:val="24"/>
        </w:rPr>
      </w:pPr>
      <w:r>
        <w:rPr>
          <w:b/>
          <w:sz w:val="24"/>
        </w:rPr>
        <w:t>4.</w:t>
      </w:r>
      <w:r>
        <w:rPr>
          <w:rFonts w:hint="eastAsia"/>
          <w:b/>
          <w:sz w:val="24"/>
        </w:rPr>
        <w:t>6</w:t>
      </w:r>
      <w:r>
        <w:rPr>
          <w:b/>
          <w:sz w:val="24"/>
        </w:rPr>
        <w:t>.</w:t>
      </w:r>
      <w:r>
        <w:rPr>
          <w:rFonts w:hint="eastAsia"/>
          <w:b/>
          <w:sz w:val="24"/>
        </w:rPr>
        <w:t>4</w:t>
      </w:r>
      <w:r>
        <w:rPr>
          <w:sz w:val="24"/>
        </w:rPr>
        <w:t>室外照明光污染的合格指标与判定方法应符合下列规定：</w:t>
      </w:r>
    </w:p>
    <w:p>
      <w:pPr>
        <w:spacing w:line="360" w:lineRule="auto"/>
        <w:ind w:firstLine="424" w:firstLineChars="177"/>
        <w:rPr>
          <w:sz w:val="24"/>
        </w:rPr>
      </w:pPr>
      <w:r>
        <w:rPr>
          <w:sz w:val="24"/>
        </w:rPr>
        <w:t>1</w:t>
      </w:r>
      <w:r>
        <w:rPr>
          <w:rFonts w:hint="eastAsia"/>
          <w:sz w:val="24"/>
        </w:rPr>
        <w:t xml:space="preserve">  </w:t>
      </w:r>
      <w:r>
        <w:rPr>
          <w:sz w:val="24"/>
        </w:rPr>
        <w:t>室外照明光污染应符合现行国家标准《室外照明干扰光限制规范》GB/T 35626的规定。</w:t>
      </w:r>
    </w:p>
    <w:p>
      <w:pPr>
        <w:spacing w:line="360" w:lineRule="auto"/>
        <w:ind w:firstLine="424" w:firstLineChars="177"/>
        <w:rPr>
          <w:sz w:val="24"/>
        </w:rPr>
      </w:pPr>
      <w:r>
        <w:rPr>
          <w:sz w:val="24"/>
        </w:rPr>
        <w:t>2</w:t>
      </w:r>
      <w:r>
        <w:rPr>
          <w:rFonts w:hint="eastAsia"/>
          <w:sz w:val="24"/>
        </w:rPr>
        <w:t xml:space="preserve">  </w:t>
      </w:r>
      <w:r>
        <w:rPr>
          <w:sz w:val="24"/>
        </w:rPr>
        <w:t>当检测结果满足本条第1款的规定时，应判定为合格。</w:t>
      </w:r>
    </w:p>
    <w:p>
      <w:pPr>
        <w:spacing w:line="360" w:lineRule="auto"/>
        <w:rPr>
          <w:sz w:val="24"/>
        </w:rPr>
      </w:pPr>
    </w:p>
    <w:p>
      <w:pPr>
        <w:pStyle w:val="3"/>
        <w:rPr>
          <w:rFonts w:ascii="Times New Roman" w:hAnsi="Times New Roman" w:cs="Times New Roman"/>
          <w:lang w:val="zh-CN"/>
        </w:rPr>
      </w:pPr>
      <w:bookmarkStart w:id="21" w:name="_Toc17811148"/>
      <w:r>
        <w:rPr>
          <w:rFonts w:ascii="Times New Roman" w:hAnsi="Times New Roman" w:cs="Times New Roman"/>
          <w:lang w:val="zh-CN"/>
        </w:rPr>
        <w:t>4.</w:t>
      </w:r>
      <w:r>
        <w:rPr>
          <w:rFonts w:hint="eastAsia" w:ascii="Times New Roman" w:hAnsi="Times New Roman" w:cs="Times New Roman"/>
          <w:lang w:val="zh-CN"/>
        </w:rPr>
        <w:t>7</w:t>
      </w:r>
      <w:r>
        <w:rPr>
          <w:rFonts w:ascii="Times New Roman" w:hAnsi="Times New Roman" w:cs="Times New Roman"/>
          <w:lang w:val="zh-CN"/>
        </w:rPr>
        <w:t xml:space="preserve">  </w:t>
      </w:r>
      <w:r>
        <w:rPr>
          <w:rFonts w:hint="eastAsia" w:ascii="Times New Roman" w:hAnsi="Times New Roman" w:cs="Times New Roman"/>
          <w:lang w:val="zh-CN"/>
        </w:rPr>
        <w:t>建筑外立面玻璃幕墙可见光反射比</w:t>
      </w:r>
      <w:r>
        <w:rPr>
          <w:rFonts w:ascii="Times New Roman" w:hAnsi="Times New Roman" w:cs="Times New Roman"/>
          <w:lang w:val="zh-CN"/>
        </w:rPr>
        <w:t>检测</w:t>
      </w:r>
      <w:bookmarkEnd w:id="21"/>
    </w:p>
    <w:p>
      <w:pPr>
        <w:spacing w:line="360" w:lineRule="auto"/>
        <w:rPr>
          <w:sz w:val="24"/>
        </w:rPr>
      </w:pPr>
      <w:r>
        <w:rPr>
          <w:b/>
          <w:sz w:val="24"/>
        </w:rPr>
        <w:t>4.</w:t>
      </w:r>
      <w:r>
        <w:rPr>
          <w:rFonts w:hint="eastAsia"/>
          <w:b/>
          <w:sz w:val="24"/>
        </w:rPr>
        <w:t>7</w:t>
      </w:r>
      <w:r>
        <w:rPr>
          <w:b/>
          <w:sz w:val="24"/>
        </w:rPr>
        <w:t>.</w:t>
      </w:r>
      <w:r>
        <w:rPr>
          <w:rFonts w:hint="eastAsia"/>
          <w:b/>
          <w:sz w:val="24"/>
        </w:rPr>
        <w:t>1</w:t>
      </w:r>
      <w:r>
        <w:rPr>
          <w:sz w:val="24"/>
        </w:rPr>
        <w:t>建筑立面玻璃幕墙的每种面板、构造做法均应检测，其中，每种构造抽检不应少于3处，每种面板抽检不应少于3件。</w:t>
      </w:r>
    </w:p>
    <w:p>
      <w:pPr>
        <w:spacing w:line="360" w:lineRule="auto"/>
        <w:rPr>
          <w:sz w:val="24"/>
        </w:rPr>
      </w:pPr>
      <w:r>
        <w:rPr>
          <w:b/>
          <w:sz w:val="24"/>
        </w:rPr>
        <w:t>4.</w:t>
      </w:r>
      <w:r>
        <w:rPr>
          <w:rFonts w:hint="eastAsia"/>
          <w:b/>
          <w:sz w:val="24"/>
        </w:rPr>
        <w:t>7</w:t>
      </w:r>
      <w:r>
        <w:rPr>
          <w:b/>
          <w:sz w:val="24"/>
        </w:rPr>
        <w:t>.</w:t>
      </w:r>
      <w:r>
        <w:rPr>
          <w:rFonts w:hint="eastAsia"/>
          <w:b/>
          <w:sz w:val="24"/>
        </w:rPr>
        <w:t>2</w:t>
      </w:r>
      <w:r>
        <w:rPr>
          <w:rFonts w:hint="eastAsia"/>
          <w:sz w:val="24"/>
        </w:rPr>
        <w:t>建筑立面</w:t>
      </w:r>
      <w:r>
        <w:rPr>
          <w:sz w:val="24"/>
        </w:rPr>
        <w:t>玻璃幕墙可见光反射比的检测方法应符合现行国家标准《建筑玻璃可见光透射比、太阳光直接透射比、太阳能总透射比、紫外线透射比及有关窗玻璃参数的测定》GB/T 2680</w:t>
      </w:r>
      <w:r>
        <w:rPr>
          <w:rFonts w:hint="eastAsia"/>
          <w:sz w:val="24"/>
        </w:rPr>
        <w:t>和</w:t>
      </w:r>
      <w:r>
        <w:rPr>
          <w:sz w:val="24"/>
        </w:rPr>
        <w:t>《建筑门窗玻璃幕墙热工计算规程》JGJ/</w:t>
      </w:r>
      <w:r>
        <w:rPr>
          <w:rFonts w:hint="eastAsia"/>
          <w:sz w:val="24"/>
        </w:rPr>
        <w:t>T</w:t>
      </w:r>
      <w:r>
        <w:rPr>
          <w:sz w:val="24"/>
        </w:rPr>
        <w:t xml:space="preserve"> 151的规定</w:t>
      </w:r>
      <w:r>
        <w:rPr>
          <w:rFonts w:hint="eastAsia"/>
          <w:sz w:val="24"/>
        </w:rPr>
        <w:t>。</w:t>
      </w:r>
    </w:p>
    <w:p>
      <w:pPr>
        <w:spacing w:line="360" w:lineRule="auto"/>
        <w:rPr>
          <w:sz w:val="24"/>
        </w:rPr>
      </w:pPr>
      <w:r>
        <w:rPr>
          <w:b/>
          <w:sz w:val="24"/>
        </w:rPr>
        <w:t>4.</w:t>
      </w:r>
      <w:r>
        <w:rPr>
          <w:rFonts w:hint="eastAsia"/>
          <w:b/>
          <w:sz w:val="24"/>
        </w:rPr>
        <w:t>7</w:t>
      </w:r>
      <w:r>
        <w:rPr>
          <w:b/>
          <w:sz w:val="24"/>
        </w:rPr>
        <w:t>.</w:t>
      </w:r>
      <w:r>
        <w:rPr>
          <w:rFonts w:hint="eastAsia"/>
          <w:b/>
          <w:sz w:val="24"/>
        </w:rPr>
        <w:t>3</w:t>
      </w:r>
      <w:r>
        <w:rPr>
          <w:rFonts w:hint="eastAsia"/>
          <w:sz w:val="24"/>
        </w:rPr>
        <w:t>建筑立面</w:t>
      </w:r>
      <w:r>
        <w:rPr>
          <w:sz w:val="24"/>
        </w:rPr>
        <w:t>玻璃幕墙可见光反射比的合格指标与判定方法应符合下列规定：</w:t>
      </w:r>
    </w:p>
    <w:p>
      <w:pPr>
        <w:spacing w:line="360" w:lineRule="auto"/>
        <w:ind w:firstLine="424" w:firstLineChars="177"/>
        <w:rPr>
          <w:sz w:val="24"/>
        </w:rPr>
      </w:pPr>
      <w:r>
        <w:rPr>
          <w:sz w:val="24"/>
        </w:rPr>
        <w:t>1</w:t>
      </w:r>
      <w:r>
        <w:rPr>
          <w:rFonts w:hint="eastAsia"/>
          <w:sz w:val="24"/>
        </w:rPr>
        <w:t xml:space="preserve">  建筑立面</w:t>
      </w:r>
      <w:r>
        <w:rPr>
          <w:sz w:val="24"/>
        </w:rPr>
        <w:t>玻璃幕墙可见光反射比应符合现行国家标准《玻璃幕墙光热性能》GB 18091的规定；</w:t>
      </w:r>
    </w:p>
    <w:p>
      <w:pPr>
        <w:spacing w:line="360" w:lineRule="auto"/>
        <w:ind w:firstLine="424" w:firstLineChars="177"/>
        <w:rPr>
          <w:sz w:val="24"/>
        </w:rPr>
      </w:pPr>
      <w:r>
        <w:rPr>
          <w:sz w:val="24"/>
        </w:rPr>
        <w:t>2</w:t>
      </w:r>
      <w:r>
        <w:rPr>
          <w:rFonts w:hint="eastAsia"/>
          <w:sz w:val="24"/>
        </w:rPr>
        <w:t xml:space="preserve">  </w:t>
      </w:r>
      <w:r>
        <w:rPr>
          <w:sz w:val="24"/>
        </w:rPr>
        <w:t>当检测结果满足本条第1款的规定时，应判定为合格。</w:t>
      </w:r>
    </w:p>
    <w:p>
      <w:pPr>
        <w:spacing w:line="360" w:lineRule="auto"/>
        <w:ind w:firstLine="480"/>
        <w:rPr>
          <w:sz w:val="24"/>
        </w:rPr>
      </w:pPr>
    </w:p>
    <w:p>
      <w:pPr>
        <w:pStyle w:val="3"/>
        <w:rPr>
          <w:rFonts w:ascii="Times New Roman" w:hAnsi="Times New Roman" w:cs="Times New Roman"/>
        </w:rPr>
      </w:pPr>
      <w:bookmarkStart w:id="22" w:name="_Toc17811149"/>
      <w:r>
        <w:rPr>
          <w:rFonts w:ascii="Times New Roman" w:hAnsi="Times New Roman" w:cs="Times New Roman"/>
        </w:rPr>
        <w:t>4.</w:t>
      </w:r>
      <w:r>
        <w:rPr>
          <w:rFonts w:hint="eastAsia" w:ascii="Times New Roman" w:hAnsi="Times New Roman" w:cs="Times New Roman"/>
        </w:rPr>
        <w:t>8</w:t>
      </w:r>
      <w:r>
        <w:rPr>
          <w:rFonts w:ascii="Times New Roman" w:hAnsi="Times New Roman" w:cs="Times New Roman"/>
        </w:rPr>
        <w:t xml:space="preserve">  </w:t>
      </w:r>
      <w:r>
        <w:rPr>
          <w:rFonts w:ascii="Times New Roman" w:hAnsi="Times New Roman" w:cs="Times New Roman"/>
          <w:lang w:val="zh-CN"/>
        </w:rPr>
        <w:t>地面材料防滑性能检测</w:t>
      </w:r>
      <w:bookmarkEnd w:id="22"/>
    </w:p>
    <w:p>
      <w:pPr>
        <w:spacing w:line="360" w:lineRule="auto"/>
        <w:rPr>
          <w:sz w:val="24"/>
        </w:rPr>
      </w:pPr>
      <w:r>
        <w:rPr>
          <w:b/>
          <w:sz w:val="24"/>
        </w:rPr>
        <w:t>4.</w:t>
      </w:r>
      <w:r>
        <w:rPr>
          <w:rFonts w:hint="eastAsia"/>
          <w:b/>
          <w:sz w:val="24"/>
        </w:rPr>
        <w:t>8</w:t>
      </w:r>
      <w:r>
        <w:rPr>
          <w:b/>
          <w:sz w:val="24"/>
        </w:rPr>
        <w:t>.1</w:t>
      </w:r>
      <w:r>
        <w:rPr>
          <w:sz w:val="24"/>
        </w:rPr>
        <w:t>地面材料防滑性能检测范围应包括表4.</w:t>
      </w:r>
      <w:r>
        <w:rPr>
          <w:rFonts w:hint="eastAsia"/>
          <w:sz w:val="24"/>
        </w:rPr>
        <w:t>8</w:t>
      </w:r>
      <w:r>
        <w:rPr>
          <w:sz w:val="24"/>
        </w:rPr>
        <w:t>.1-1和表4.</w:t>
      </w:r>
      <w:r>
        <w:rPr>
          <w:rFonts w:hint="eastAsia"/>
          <w:sz w:val="24"/>
        </w:rPr>
        <w:t>8</w:t>
      </w:r>
      <w:r>
        <w:rPr>
          <w:sz w:val="24"/>
        </w:rPr>
        <w:t>.1-2中列出的工程部位。</w:t>
      </w:r>
    </w:p>
    <w:p>
      <w:pPr>
        <w:spacing w:line="360" w:lineRule="auto"/>
        <w:rPr>
          <w:rFonts w:eastAsia="楷体"/>
          <w:color w:val="3016EE"/>
        </w:rPr>
      </w:pPr>
      <w:r>
        <w:rPr>
          <w:rFonts w:eastAsia="楷体"/>
          <w:color w:val="3016EE"/>
        </w:rPr>
        <w:t>【条文说明】</w:t>
      </w:r>
    </w:p>
    <w:p>
      <w:pPr>
        <w:spacing w:line="360" w:lineRule="auto"/>
        <w:ind w:firstLine="420" w:firstLineChars="200"/>
        <w:rPr>
          <w:sz w:val="24"/>
        </w:rPr>
      </w:pPr>
      <w:r>
        <w:rPr>
          <w:rFonts w:hint="eastAsia" w:eastAsia="楷体"/>
          <w:color w:val="3016EE"/>
        </w:rPr>
        <w:t>建筑防滑地面工程对于保证人身安全至关重要。</w:t>
      </w:r>
      <w:r>
        <w:rPr>
          <w:rFonts w:eastAsia="楷体"/>
          <w:color w:val="3016EE"/>
        </w:rPr>
        <w:t>建筑</w:t>
      </w:r>
      <w:r>
        <w:rPr>
          <w:rFonts w:hint="eastAsia" w:eastAsia="楷体"/>
          <w:color w:val="3016EE"/>
        </w:rPr>
        <w:t>防滑地面应包括室外地面和建筑室内底层地面及楼层地面。室内底层地面和楼层地面又按潮湿状态划分为干态地面和湿态地面，室外地面均为潮湿地面。潮湿地面是指长期接触水或相对湿度较大的潮气润湿的地面，主要指厨房、卫生间、公共浴室、泳池附近、超市肉菜部、餐饮制作间、菜市场及夏天南方地区的潮湿地面。</w:t>
      </w:r>
    </w:p>
    <w:p>
      <w:pPr>
        <w:spacing w:line="360" w:lineRule="auto"/>
        <w:rPr>
          <w:sz w:val="24"/>
        </w:rPr>
      </w:pPr>
      <w:r>
        <w:rPr>
          <w:b/>
          <w:sz w:val="24"/>
        </w:rPr>
        <w:t>4.</w:t>
      </w:r>
      <w:r>
        <w:rPr>
          <w:rFonts w:hint="eastAsia"/>
          <w:b/>
          <w:sz w:val="24"/>
        </w:rPr>
        <w:t>8</w:t>
      </w:r>
      <w:r>
        <w:rPr>
          <w:b/>
          <w:sz w:val="24"/>
        </w:rPr>
        <w:t>.2</w:t>
      </w:r>
      <w:r>
        <w:rPr>
          <w:rFonts w:hint="eastAsia"/>
          <w:sz w:val="24"/>
        </w:rPr>
        <w:t>地面</w:t>
      </w:r>
      <w:r>
        <w:rPr>
          <w:sz w:val="24"/>
        </w:rPr>
        <w:t>材料防滑性能的检测数量应符合现行行业标准《建筑地面工程防滑技术规程》JGJ/T</w:t>
      </w:r>
      <w:r>
        <w:rPr>
          <w:rFonts w:hint="eastAsia"/>
          <w:sz w:val="24"/>
        </w:rPr>
        <w:t xml:space="preserve"> </w:t>
      </w:r>
      <w:r>
        <w:rPr>
          <w:sz w:val="24"/>
        </w:rPr>
        <w:t>331的规定</w:t>
      </w:r>
      <w:r>
        <w:rPr>
          <w:rFonts w:hint="eastAsia"/>
          <w:sz w:val="24"/>
        </w:rPr>
        <w:t>。</w:t>
      </w:r>
    </w:p>
    <w:p>
      <w:pPr>
        <w:spacing w:line="360" w:lineRule="auto"/>
        <w:rPr>
          <w:sz w:val="24"/>
        </w:rPr>
      </w:pPr>
      <w:r>
        <w:rPr>
          <w:b/>
          <w:sz w:val="24"/>
        </w:rPr>
        <w:t>4.</w:t>
      </w:r>
      <w:r>
        <w:rPr>
          <w:rFonts w:hint="eastAsia"/>
          <w:b/>
          <w:sz w:val="24"/>
        </w:rPr>
        <w:t>8</w:t>
      </w:r>
      <w:r>
        <w:rPr>
          <w:b/>
          <w:sz w:val="24"/>
        </w:rPr>
        <w:t>.3</w:t>
      </w:r>
      <w:r>
        <w:rPr>
          <w:rFonts w:hint="eastAsia"/>
          <w:sz w:val="24"/>
        </w:rPr>
        <w:t>地面</w:t>
      </w:r>
      <w:r>
        <w:rPr>
          <w:sz w:val="24"/>
        </w:rPr>
        <w:t>材料防滑性能的检测方法应符合下列规定：</w:t>
      </w:r>
    </w:p>
    <w:p>
      <w:pPr>
        <w:spacing w:line="360" w:lineRule="auto"/>
        <w:ind w:firstLine="480" w:firstLineChars="200"/>
        <w:rPr>
          <w:sz w:val="24"/>
        </w:rPr>
      </w:pPr>
      <w:r>
        <w:rPr>
          <w:sz w:val="24"/>
        </w:rPr>
        <w:t>1</w:t>
      </w:r>
      <w:r>
        <w:rPr>
          <w:rFonts w:hint="eastAsia"/>
          <w:sz w:val="24"/>
        </w:rPr>
        <w:t xml:space="preserve">  </w:t>
      </w:r>
      <w:r>
        <w:rPr>
          <w:sz w:val="24"/>
        </w:rPr>
        <w:t>室外地面防滑工程、室内潮湿地面防滑工程的防滑性能以防滑值表示，应采用摆式防滑性能检测方法，且应符合现行国家标准《混凝土路面砖》GB/T 28635的规定；检测时，室内外地面应呈潮湿态，但不得有明水；</w:t>
      </w:r>
    </w:p>
    <w:p>
      <w:pPr>
        <w:spacing w:line="360" w:lineRule="auto"/>
        <w:ind w:firstLine="480" w:firstLineChars="200"/>
        <w:rPr>
          <w:sz w:val="24"/>
        </w:rPr>
      </w:pPr>
      <w:r>
        <w:rPr>
          <w:sz w:val="24"/>
        </w:rPr>
        <w:t>2</w:t>
      </w:r>
      <w:r>
        <w:rPr>
          <w:rFonts w:hint="eastAsia"/>
          <w:sz w:val="24"/>
        </w:rPr>
        <w:t xml:space="preserve">  </w:t>
      </w:r>
      <w:r>
        <w:rPr>
          <w:sz w:val="24"/>
        </w:rPr>
        <w:t>室内干态防滑地面工程的防滑性能以静摩擦系数表示，应采用卧式拉力计防滑性能检测方法，且应符合现行行业标准《地面石材防滑性能等级划分及试验方法》JC/T 1050的规定；</w:t>
      </w:r>
    </w:p>
    <w:p>
      <w:pPr>
        <w:spacing w:line="360" w:lineRule="auto"/>
        <w:ind w:firstLine="480" w:firstLineChars="200"/>
        <w:rPr>
          <w:sz w:val="24"/>
        </w:rPr>
      </w:pPr>
      <w:r>
        <w:rPr>
          <w:sz w:val="24"/>
        </w:rPr>
        <w:t xml:space="preserve">3 </w:t>
      </w:r>
      <w:r>
        <w:rPr>
          <w:rFonts w:hint="eastAsia"/>
          <w:sz w:val="24"/>
        </w:rPr>
        <w:t xml:space="preserve"> 地面</w:t>
      </w:r>
      <w:r>
        <w:rPr>
          <w:sz w:val="24"/>
        </w:rPr>
        <w:t>材料防滑性能的防滑值和静摩擦系数应按照4.</w:t>
      </w:r>
      <w:r>
        <w:rPr>
          <w:rFonts w:hint="eastAsia"/>
          <w:sz w:val="24"/>
        </w:rPr>
        <w:t>8</w:t>
      </w:r>
      <w:r>
        <w:rPr>
          <w:sz w:val="24"/>
        </w:rPr>
        <w:t>.1-3和表4.</w:t>
      </w:r>
      <w:r>
        <w:rPr>
          <w:rFonts w:hint="eastAsia"/>
          <w:sz w:val="24"/>
        </w:rPr>
        <w:t>8</w:t>
      </w:r>
      <w:r>
        <w:rPr>
          <w:sz w:val="24"/>
        </w:rPr>
        <w:t>.1-4的规定，换算为对应的防滑等级。</w:t>
      </w:r>
    </w:p>
    <w:p>
      <w:pPr>
        <w:spacing w:line="360" w:lineRule="auto"/>
        <w:rPr>
          <w:sz w:val="24"/>
        </w:rPr>
      </w:pPr>
      <w:r>
        <w:rPr>
          <w:b/>
          <w:sz w:val="24"/>
        </w:rPr>
        <w:t>4.</w:t>
      </w:r>
      <w:r>
        <w:rPr>
          <w:rFonts w:hint="eastAsia"/>
          <w:b/>
          <w:sz w:val="24"/>
        </w:rPr>
        <w:t>8</w:t>
      </w:r>
      <w:r>
        <w:rPr>
          <w:b/>
          <w:sz w:val="24"/>
        </w:rPr>
        <w:t>.4</w:t>
      </w:r>
      <w:r>
        <w:rPr>
          <w:rFonts w:hint="eastAsia"/>
          <w:sz w:val="24"/>
        </w:rPr>
        <w:t>地面</w:t>
      </w:r>
      <w:r>
        <w:rPr>
          <w:sz w:val="24"/>
        </w:rPr>
        <w:t>材料防滑性能的合格指标与判定方法应符合下列规定：</w:t>
      </w:r>
    </w:p>
    <w:p>
      <w:pPr>
        <w:spacing w:line="360" w:lineRule="auto"/>
        <w:ind w:firstLine="480" w:firstLineChars="200"/>
        <w:rPr>
          <w:sz w:val="24"/>
        </w:rPr>
      </w:pPr>
      <w:r>
        <w:rPr>
          <w:sz w:val="24"/>
        </w:rPr>
        <w:t xml:space="preserve">1  </w:t>
      </w:r>
      <w:r>
        <w:rPr>
          <w:rFonts w:hint="eastAsia"/>
          <w:sz w:val="24"/>
        </w:rPr>
        <w:t>地面</w:t>
      </w:r>
      <w:r>
        <w:rPr>
          <w:sz w:val="24"/>
        </w:rPr>
        <w:t>材料防滑性能的防滑等级应满足表4.</w:t>
      </w:r>
      <w:r>
        <w:rPr>
          <w:rFonts w:hint="eastAsia"/>
          <w:sz w:val="24"/>
        </w:rPr>
        <w:t>8</w:t>
      </w:r>
      <w:r>
        <w:rPr>
          <w:sz w:val="24"/>
        </w:rPr>
        <w:t>.1-1和表4.</w:t>
      </w:r>
      <w:r>
        <w:rPr>
          <w:rFonts w:hint="eastAsia"/>
          <w:sz w:val="24"/>
        </w:rPr>
        <w:t>8</w:t>
      </w:r>
      <w:r>
        <w:rPr>
          <w:sz w:val="24"/>
        </w:rPr>
        <w:t>.1-2的规定；</w:t>
      </w:r>
    </w:p>
    <w:p>
      <w:pPr>
        <w:spacing w:line="360" w:lineRule="auto"/>
        <w:ind w:firstLine="480" w:firstLineChars="200"/>
        <w:rPr>
          <w:sz w:val="24"/>
        </w:rPr>
      </w:pPr>
      <w:r>
        <w:rPr>
          <w:sz w:val="24"/>
        </w:rPr>
        <w:t>2  当检测结果满足本条第1款的规定时，应判定为合格。</w:t>
      </w:r>
    </w:p>
    <w:p>
      <w:pPr>
        <w:spacing w:line="360" w:lineRule="auto"/>
        <w:jc w:val="center"/>
        <w:rPr>
          <w:rFonts w:eastAsia="黑体"/>
          <w:szCs w:val="21"/>
        </w:rPr>
      </w:pPr>
      <w:r>
        <w:rPr>
          <w:rFonts w:eastAsia="黑体"/>
          <w:szCs w:val="21"/>
        </w:rPr>
        <w:t>表4.</w:t>
      </w:r>
      <w:r>
        <w:rPr>
          <w:rFonts w:hint="eastAsia" w:eastAsia="黑体"/>
          <w:szCs w:val="21"/>
        </w:rPr>
        <w:t>8</w:t>
      </w:r>
      <w:r>
        <w:rPr>
          <w:rFonts w:eastAsia="黑体"/>
          <w:szCs w:val="21"/>
        </w:rPr>
        <w:t>.1-1 室外及室内潮湿地面工程防滑性能要求</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2"/>
        <w:gridCol w:w="1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9" w:hRule="atLeast"/>
        </w:trPr>
        <w:tc>
          <w:tcPr>
            <w:tcW w:w="6912" w:type="dxa"/>
          </w:tcPr>
          <w:p>
            <w:pPr>
              <w:spacing w:line="360" w:lineRule="auto"/>
              <w:jc w:val="center"/>
              <w:rPr>
                <w:szCs w:val="21"/>
              </w:rPr>
            </w:pPr>
            <w:r>
              <w:rPr>
                <w:szCs w:val="21"/>
              </w:rPr>
              <w:t>工程部位</w:t>
            </w:r>
          </w:p>
        </w:tc>
        <w:tc>
          <w:tcPr>
            <w:tcW w:w="1610" w:type="dxa"/>
          </w:tcPr>
          <w:p>
            <w:pPr>
              <w:spacing w:line="360" w:lineRule="auto"/>
              <w:jc w:val="center"/>
              <w:rPr>
                <w:szCs w:val="21"/>
              </w:rPr>
            </w:pPr>
            <w:r>
              <w:rPr>
                <w:szCs w:val="21"/>
              </w:rPr>
              <w:t>防滑等级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坡道、无障碍步道等</w:t>
            </w:r>
          </w:p>
        </w:tc>
        <w:tc>
          <w:tcPr>
            <w:tcW w:w="1610" w:type="dxa"/>
            <w:vMerge w:val="restart"/>
            <w:vAlign w:val="center"/>
          </w:tcPr>
          <w:p>
            <w:pPr>
              <w:spacing w:line="360" w:lineRule="auto"/>
              <w:jc w:val="center"/>
              <w:rPr>
                <w:szCs w:val="21"/>
              </w:rPr>
            </w:pPr>
            <w:r>
              <w:rPr>
                <w:szCs w:val="21"/>
              </w:rPr>
              <w:t>A</w:t>
            </w:r>
            <w:r>
              <w:rPr>
                <w:szCs w:val="21"/>
                <w:vertAlign w:val="subscript"/>
              </w:rPr>
              <w:t>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楼梯踏步等</w:t>
            </w:r>
          </w:p>
        </w:tc>
        <w:tc>
          <w:tcPr>
            <w:tcW w:w="1610" w:type="dxa"/>
            <w:vMerge w:val="continue"/>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公交、地铁站台等</w:t>
            </w:r>
          </w:p>
        </w:tc>
        <w:tc>
          <w:tcPr>
            <w:tcW w:w="1610" w:type="dxa"/>
            <w:vMerge w:val="continue"/>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建筑出口平台</w:t>
            </w:r>
          </w:p>
        </w:tc>
        <w:tc>
          <w:tcPr>
            <w:tcW w:w="1610" w:type="dxa"/>
            <w:vMerge w:val="restart"/>
            <w:vAlign w:val="center"/>
          </w:tcPr>
          <w:p>
            <w:pPr>
              <w:spacing w:line="360" w:lineRule="auto"/>
              <w:jc w:val="center"/>
              <w:rPr>
                <w:szCs w:val="21"/>
              </w:rPr>
            </w:pPr>
            <w:r>
              <w:rPr>
                <w:szCs w:val="21"/>
              </w:rPr>
              <w:t>B</w:t>
            </w:r>
            <w:r>
              <w:rPr>
                <w:szCs w:val="21"/>
                <w:vertAlign w:val="subscript"/>
              </w:rPr>
              <w:t>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人行道、步行街、室外广场、停车场等</w:t>
            </w:r>
          </w:p>
        </w:tc>
        <w:tc>
          <w:tcPr>
            <w:tcW w:w="1610" w:type="dxa"/>
            <w:vMerge w:val="continue"/>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人行道支干道、小区道路、绿地道路及室内潮湿地面（超市肉食部、菜市场、餐饮操作间、潮湿生产车间等）</w:t>
            </w:r>
          </w:p>
        </w:tc>
        <w:tc>
          <w:tcPr>
            <w:tcW w:w="1610" w:type="dxa"/>
          </w:tcPr>
          <w:p>
            <w:pPr>
              <w:spacing w:line="360" w:lineRule="auto"/>
              <w:jc w:val="center"/>
              <w:rPr>
                <w:szCs w:val="21"/>
              </w:rPr>
            </w:pPr>
            <w:r>
              <w:rPr>
                <w:szCs w:val="21"/>
              </w:rPr>
              <w:t>C</w:t>
            </w:r>
            <w:r>
              <w:rPr>
                <w:szCs w:val="21"/>
                <w:vertAlign w:val="subscript"/>
              </w:rPr>
              <w:t>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室外普通地面</w:t>
            </w:r>
          </w:p>
        </w:tc>
        <w:tc>
          <w:tcPr>
            <w:tcW w:w="1610" w:type="dxa"/>
          </w:tcPr>
          <w:p>
            <w:pPr>
              <w:spacing w:line="360" w:lineRule="auto"/>
              <w:jc w:val="center"/>
              <w:rPr>
                <w:szCs w:val="21"/>
              </w:rPr>
            </w:pPr>
            <w:r>
              <w:rPr>
                <w:szCs w:val="21"/>
              </w:rPr>
              <w:t>D</w:t>
            </w:r>
            <w:r>
              <w:rPr>
                <w:szCs w:val="21"/>
                <w:vertAlign w:val="subscript"/>
              </w:rPr>
              <w:t>w</w:t>
            </w:r>
          </w:p>
        </w:tc>
      </w:tr>
    </w:tbl>
    <w:p>
      <w:pPr>
        <w:spacing w:line="360" w:lineRule="auto"/>
        <w:jc w:val="left"/>
        <w:rPr>
          <w:szCs w:val="21"/>
        </w:rPr>
      </w:pPr>
      <w:r>
        <w:rPr>
          <w:szCs w:val="21"/>
        </w:rPr>
        <w:t>注：A</w:t>
      </w:r>
      <w:r>
        <w:rPr>
          <w:szCs w:val="21"/>
          <w:vertAlign w:val="subscript"/>
        </w:rPr>
        <w:t>w</w:t>
      </w:r>
      <w:r>
        <w:rPr>
          <w:szCs w:val="21"/>
        </w:rPr>
        <w:t>、B</w:t>
      </w:r>
      <w:r>
        <w:rPr>
          <w:szCs w:val="21"/>
          <w:vertAlign w:val="subscript"/>
        </w:rPr>
        <w:t>w</w:t>
      </w:r>
      <w:r>
        <w:rPr>
          <w:szCs w:val="21"/>
        </w:rPr>
        <w:t>、C</w:t>
      </w:r>
      <w:r>
        <w:rPr>
          <w:szCs w:val="21"/>
          <w:vertAlign w:val="subscript"/>
        </w:rPr>
        <w:t>w</w:t>
      </w:r>
      <w:r>
        <w:rPr>
          <w:szCs w:val="21"/>
        </w:rPr>
        <w:t>、D</w:t>
      </w:r>
      <w:r>
        <w:rPr>
          <w:szCs w:val="21"/>
          <w:vertAlign w:val="subscript"/>
        </w:rPr>
        <w:t>w</w:t>
      </w:r>
      <w:r>
        <w:rPr>
          <w:szCs w:val="21"/>
        </w:rPr>
        <w:t>分别表示潮湿地面防滑安全程度为高级、中高级、中级、低级。</w:t>
      </w:r>
    </w:p>
    <w:p>
      <w:pPr>
        <w:spacing w:line="360" w:lineRule="auto"/>
        <w:jc w:val="center"/>
        <w:rPr>
          <w:rFonts w:eastAsia="黑体"/>
          <w:szCs w:val="21"/>
        </w:rPr>
      </w:pPr>
    </w:p>
    <w:p>
      <w:pPr>
        <w:spacing w:line="360" w:lineRule="auto"/>
        <w:jc w:val="center"/>
        <w:rPr>
          <w:rFonts w:eastAsia="黑体"/>
          <w:szCs w:val="21"/>
        </w:rPr>
      </w:pPr>
      <w:r>
        <w:rPr>
          <w:rFonts w:eastAsia="黑体"/>
          <w:szCs w:val="21"/>
        </w:rPr>
        <w:t>表4.</w:t>
      </w:r>
      <w:r>
        <w:rPr>
          <w:rFonts w:hint="eastAsia" w:eastAsia="黑体"/>
          <w:szCs w:val="21"/>
        </w:rPr>
        <w:t>8</w:t>
      </w:r>
      <w:r>
        <w:rPr>
          <w:rFonts w:eastAsia="黑体"/>
          <w:szCs w:val="21"/>
        </w:rPr>
        <w:t>.1-2 室内干态地面工程防滑性能要求</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2"/>
        <w:gridCol w:w="1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9" w:hRule="atLeast"/>
        </w:trPr>
        <w:tc>
          <w:tcPr>
            <w:tcW w:w="6912" w:type="dxa"/>
          </w:tcPr>
          <w:p>
            <w:pPr>
              <w:spacing w:line="360" w:lineRule="auto"/>
              <w:jc w:val="center"/>
              <w:rPr>
                <w:szCs w:val="21"/>
              </w:rPr>
            </w:pPr>
            <w:r>
              <w:rPr>
                <w:szCs w:val="21"/>
              </w:rPr>
              <w:t>工程部位</w:t>
            </w:r>
          </w:p>
        </w:tc>
        <w:tc>
          <w:tcPr>
            <w:tcW w:w="1610" w:type="dxa"/>
          </w:tcPr>
          <w:p>
            <w:pPr>
              <w:spacing w:line="360" w:lineRule="auto"/>
              <w:jc w:val="center"/>
              <w:rPr>
                <w:szCs w:val="21"/>
              </w:rPr>
            </w:pPr>
            <w:r>
              <w:rPr>
                <w:szCs w:val="21"/>
              </w:rPr>
              <w:t>防滑等级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站台、踏步及防滑坡道等</w:t>
            </w:r>
          </w:p>
        </w:tc>
        <w:tc>
          <w:tcPr>
            <w:tcW w:w="1610" w:type="dxa"/>
            <w:vAlign w:val="center"/>
          </w:tcPr>
          <w:p>
            <w:pPr>
              <w:spacing w:line="360" w:lineRule="auto"/>
              <w:jc w:val="center"/>
              <w:rPr>
                <w:szCs w:val="21"/>
              </w:rPr>
            </w:pPr>
            <w:r>
              <w:rPr>
                <w:szCs w:val="21"/>
              </w:rPr>
              <w:t>A</w:t>
            </w:r>
            <w:r>
              <w:rPr>
                <w:szCs w:val="21"/>
                <w:vertAlign w:val="subscript"/>
              </w:rPr>
              <w: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室内游泳池、厕浴室、建筑出入口等</w:t>
            </w:r>
          </w:p>
        </w:tc>
        <w:tc>
          <w:tcPr>
            <w:tcW w:w="1610" w:type="dxa"/>
            <w:vAlign w:val="center"/>
          </w:tcPr>
          <w:p>
            <w:pPr>
              <w:spacing w:line="360" w:lineRule="auto"/>
              <w:jc w:val="center"/>
              <w:rPr>
                <w:szCs w:val="21"/>
              </w:rPr>
            </w:pPr>
            <w:r>
              <w:rPr>
                <w:szCs w:val="21"/>
              </w:rPr>
              <w:t>B</w:t>
            </w:r>
            <w:r>
              <w:rPr>
                <w:szCs w:val="21"/>
                <w:vertAlign w:val="subscript"/>
              </w:rPr>
              <w: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大厅、候机厅、候车厅、走廊、餐厅、通道、生产车间、电梯廊、门厅、室内平面防滑地面等（含工业、商业建筑）</w:t>
            </w:r>
          </w:p>
        </w:tc>
        <w:tc>
          <w:tcPr>
            <w:tcW w:w="1610" w:type="dxa"/>
            <w:vAlign w:val="center"/>
          </w:tcPr>
          <w:p>
            <w:pPr>
              <w:spacing w:line="360" w:lineRule="auto"/>
              <w:jc w:val="center"/>
              <w:rPr>
                <w:szCs w:val="21"/>
              </w:rPr>
            </w:pPr>
            <w:r>
              <w:rPr>
                <w:szCs w:val="21"/>
              </w:rPr>
              <w:t>C</w:t>
            </w:r>
            <w:r>
              <w:rPr>
                <w:szCs w:val="21"/>
                <w:vertAlign w:val="subscript"/>
              </w:rPr>
              <w:t>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912" w:type="dxa"/>
          </w:tcPr>
          <w:p>
            <w:pPr>
              <w:spacing w:line="360" w:lineRule="auto"/>
              <w:jc w:val="center"/>
              <w:rPr>
                <w:szCs w:val="21"/>
              </w:rPr>
            </w:pPr>
            <w:r>
              <w:rPr>
                <w:szCs w:val="21"/>
              </w:rPr>
              <w:t>室内普通地面</w:t>
            </w:r>
          </w:p>
        </w:tc>
        <w:tc>
          <w:tcPr>
            <w:tcW w:w="1610" w:type="dxa"/>
            <w:vAlign w:val="center"/>
          </w:tcPr>
          <w:p>
            <w:pPr>
              <w:spacing w:line="360" w:lineRule="auto"/>
              <w:jc w:val="center"/>
              <w:rPr>
                <w:szCs w:val="21"/>
              </w:rPr>
            </w:pPr>
            <w:r>
              <w:rPr>
                <w:szCs w:val="21"/>
              </w:rPr>
              <w:t>D</w:t>
            </w:r>
            <w:r>
              <w:rPr>
                <w:szCs w:val="21"/>
                <w:vertAlign w:val="subscript"/>
              </w:rPr>
              <w:t>d</w:t>
            </w:r>
          </w:p>
        </w:tc>
      </w:tr>
    </w:tbl>
    <w:p>
      <w:pPr>
        <w:spacing w:line="360" w:lineRule="auto"/>
        <w:jc w:val="left"/>
        <w:rPr>
          <w:szCs w:val="21"/>
        </w:rPr>
      </w:pPr>
      <w:r>
        <w:rPr>
          <w:szCs w:val="21"/>
        </w:rPr>
        <w:t>注：A</w:t>
      </w:r>
      <w:r>
        <w:rPr>
          <w:szCs w:val="21"/>
          <w:vertAlign w:val="subscript"/>
        </w:rPr>
        <w:t>d</w:t>
      </w:r>
      <w:r>
        <w:rPr>
          <w:szCs w:val="21"/>
        </w:rPr>
        <w:t>、B</w:t>
      </w:r>
      <w:r>
        <w:rPr>
          <w:szCs w:val="21"/>
          <w:vertAlign w:val="subscript"/>
        </w:rPr>
        <w:t>d</w:t>
      </w:r>
      <w:r>
        <w:rPr>
          <w:szCs w:val="21"/>
        </w:rPr>
        <w:t>、C</w:t>
      </w:r>
      <w:r>
        <w:rPr>
          <w:szCs w:val="21"/>
          <w:vertAlign w:val="subscript"/>
        </w:rPr>
        <w:t>d</w:t>
      </w:r>
      <w:r>
        <w:rPr>
          <w:szCs w:val="21"/>
        </w:rPr>
        <w:t>、D</w:t>
      </w:r>
      <w:r>
        <w:rPr>
          <w:szCs w:val="21"/>
          <w:vertAlign w:val="subscript"/>
        </w:rPr>
        <w:t>d</w:t>
      </w:r>
      <w:r>
        <w:rPr>
          <w:szCs w:val="21"/>
        </w:rPr>
        <w:t>分别表示潮湿地面防滑安全程度为高级、中高级、中级、低级。</w:t>
      </w:r>
    </w:p>
    <w:p>
      <w:pPr>
        <w:spacing w:line="360" w:lineRule="auto"/>
        <w:jc w:val="center"/>
        <w:rPr>
          <w:rFonts w:eastAsia="黑体"/>
          <w:szCs w:val="21"/>
        </w:rPr>
      </w:pPr>
    </w:p>
    <w:p>
      <w:pPr>
        <w:spacing w:line="360" w:lineRule="auto"/>
        <w:jc w:val="center"/>
        <w:rPr>
          <w:rFonts w:eastAsia="黑体"/>
          <w:szCs w:val="21"/>
        </w:rPr>
      </w:pPr>
    </w:p>
    <w:p>
      <w:pPr>
        <w:spacing w:line="360" w:lineRule="auto"/>
        <w:jc w:val="center"/>
        <w:rPr>
          <w:rFonts w:eastAsia="黑体"/>
          <w:szCs w:val="21"/>
        </w:rPr>
      </w:pPr>
    </w:p>
    <w:p>
      <w:pPr>
        <w:spacing w:line="360" w:lineRule="auto"/>
        <w:jc w:val="center"/>
        <w:rPr>
          <w:rFonts w:eastAsia="黑体"/>
          <w:szCs w:val="21"/>
        </w:rPr>
      </w:pPr>
      <w:r>
        <w:rPr>
          <w:rFonts w:eastAsia="黑体"/>
          <w:szCs w:val="21"/>
        </w:rPr>
        <w:t>表4.</w:t>
      </w:r>
      <w:r>
        <w:rPr>
          <w:rFonts w:hint="eastAsia" w:eastAsia="黑体"/>
          <w:szCs w:val="21"/>
        </w:rPr>
        <w:t>8</w:t>
      </w:r>
      <w:r>
        <w:rPr>
          <w:rFonts w:eastAsia="黑体"/>
          <w:szCs w:val="21"/>
        </w:rPr>
        <w:t>.1-3 室外及室内潮湿地面湿态防滑值</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tcPr>
          <w:p>
            <w:pPr>
              <w:spacing w:line="360" w:lineRule="auto"/>
              <w:jc w:val="center"/>
              <w:rPr>
                <w:szCs w:val="21"/>
              </w:rPr>
            </w:pPr>
            <w:r>
              <w:rPr>
                <w:szCs w:val="21"/>
              </w:rPr>
              <w:t>防滑等级</w:t>
            </w:r>
          </w:p>
        </w:tc>
        <w:tc>
          <w:tcPr>
            <w:tcW w:w="2841" w:type="dxa"/>
          </w:tcPr>
          <w:p>
            <w:pPr>
              <w:spacing w:line="360" w:lineRule="auto"/>
              <w:jc w:val="center"/>
              <w:rPr>
                <w:szCs w:val="21"/>
              </w:rPr>
            </w:pPr>
            <w:r>
              <w:rPr>
                <w:szCs w:val="21"/>
              </w:rPr>
              <w:t>防滑安全程度</w:t>
            </w:r>
          </w:p>
        </w:tc>
        <w:tc>
          <w:tcPr>
            <w:tcW w:w="2841" w:type="dxa"/>
          </w:tcPr>
          <w:p>
            <w:pPr>
              <w:spacing w:line="360" w:lineRule="auto"/>
              <w:jc w:val="center"/>
              <w:rPr>
                <w:szCs w:val="21"/>
              </w:rPr>
            </w:pPr>
            <w:r>
              <w:rPr>
                <w:szCs w:val="21"/>
              </w:rPr>
              <w:t>防滑值BPN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vAlign w:val="center"/>
          </w:tcPr>
          <w:p>
            <w:pPr>
              <w:spacing w:line="360" w:lineRule="auto"/>
              <w:jc w:val="center"/>
              <w:rPr>
                <w:szCs w:val="21"/>
              </w:rPr>
            </w:pPr>
            <w:r>
              <w:rPr>
                <w:szCs w:val="21"/>
              </w:rPr>
              <w:t>A</w:t>
            </w:r>
            <w:r>
              <w:rPr>
                <w:szCs w:val="21"/>
                <w:vertAlign w:val="subscript"/>
              </w:rPr>
              <w:t>w</w:t>
            </w:r>
          </w:p>
        </w:tc>
        <w:tc>
          <w:tcPr>
            <w:tcW w:w="2841" w:type="dxa"/>
          </w:tcPr>
          <w:p>
            <w:pPr>
              <w:spacing w:line="360" w:lineRule="auto"/>
              <w:jc w:val="center"/>
              <w:rPr>
                <w:szCs w:val="21"/>
              </w:rPr>
            </w:pPr>
            <w:r>
              <w:rPr>
                <w:szCs w:val="21"/>
              </w:rPr>
              <w:t>高</w:t>
            </w:r>
          </w:p>
        </w:tc>
        <w:tc>
          <w:tcPr>
            <w:tcW w:w="2841" w:type="dxa"/>
          </w:tcPr>
          <w:p>
            <w:pPr>
              <w:spacing w:line="360" w:lineRule="auto"/>
              <w:jc w:val="center"/>
              <w:rPr>
                <w:szCs w:val="21"/>
              </w:rPr>
            </w:pPr>
            <w:r>
              <w:rPr>
                <w:szCs w:val="21"/>
              </w:rPr>
              <w:t>BPN</w:t>
            </w:r>
            <w:r>
              <w:rPr>
                <w:rFonts w:hint="eastAsia"/>
                <w:szCs w:val="21"/>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vAlign w:val="center"/>
          </w:tcPr>
          <w:p>
            <w:pPr>
              <w:spacing w:line="360" w:lineRule="auto"/>
              <w:jc w:val="center"/>
              <w:rPr>
                <w:szCs w:val="21"/>
              </w:rPr>
            </w:pPr>
            <w:r>
              <w:rPr>
                <w:szCs w:val="21"/>
              </w:rPr>
              <w:t>B</w:t>
            </w:r>
            <w:r>
              <w:rPr>
                <w:szCs w:val="21"/>
                <w:vertAlign w:val="subscript"/>
              </w:rPr>
              <w:t>w</w:t>
            </w:r>
          </w:p>
        </w:tc>
        <w:tc>
          <w:tcPr>
            <w:tcW w:w="2841" w:type="dxa"/>
          </w:tcPr>
          <w:p>
            <w:pPr>
              <w:spacing w:line="360" w:lineRule="auto"/>
              <w:jc w:val="center"/>
              <w:rPr>
                <w:szCs w:val="21"/>
              </w:rPr>
            </w:pPr>
            <w:r>
              <w:rPr>
                <w:szCs w:val="21"/>
              </w:rPr>
              <w:t>中高</w:t>
            </w:r>
          </w:p>
        </w:tc>
        <w:tc>
          <w:tcPr>
            <w:tcW w:w="2841" w:type="dxa"/>
          </w:tcPr>
          <w:p>
            <w:pPr>
              <w:spacing w:line="360" w:lineRule="auto"/>
              <w:jc w:val="center"/>
              <w:rPr>
                <w:szCs w:val="21"/>
              </w:rPr>
            </w:pPr>
            <w:r>
              <w:rPr>
                <w:rFonts w:hint="eastAsia"/>
                <w:szCs w:val="21"/>
              </w:rPr>
              <w:t>60≤BPN＜80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vAlign w:val="center"/>
          </w:tcPr>
          <w:p>
            <w:pPr>
              <w:spacing w:line="360" w:lineRule="auto"/>
              <w:jc w:val="center"/>
              <w:rPr>
                <w:szCs w:val="21"/>
              </w:rPr>
            </w:pPr>
            <w:r>
              <w:rPr>
                <w:szCs w:val="21"/>
              </w:rPr>
              <w:t>C</w:t>
            </w:r>
            <w:r>
              <w:rPr>
                <w:szCs w:val="21"/>
                <w:vertAlign w:val="subscript"/>
              </w:rPr>
              <w:t>w</w:t>
            </w:r>
          </w:p>
        </w:tc>
        <w:tc>
          <w:tcPr>
            <w:tcW w:w="2841" w:type="dxa"/>
          </w:tcPr>
          <w:p>
            <w:pPr>
              <w:spacing w:line="360" w:lineRule="auto"/>
              <w:jc w:val="center"/>
              <w:rPr>
                <w:szCs w:val="21"/>
              </w:rPr>
            </w:pPr>
            <w:r>
              <w:rPr>
                <w:szCs w:val="21"/>
              </w:rPr>
              <w:t>中</w:t>
            </w:r>
          </w:p>
        </w:tc>
        <w:tc>
          <w:tcPr>
            <w:tcW w:w="2841" w:type="dxa"/>
          </w:tcPr>
          <w:p>
            <w:pPr>
              <w:spacing w:line="360" w:lineRule="auto"/>
              <w:jc w:val="center"/>
              <w:rPr>
                <w:szCs w:val="21"/>
              </w:rPr>
            </w:pPr>
            <w:r>
              <w:rPr>
                <w:rFonts w:hint="eastAsia"/>
                <w:szCs w:val="21"/>
              </w:rPr>
              <w:t>45≤BPN＜60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vAlign w:val="center"/>
          </w:tcPr>
          <w:p>
            <w:pPr>
              <w:spacing w:line="360" w:lineRule="auto"/>
              <w:jc w:val="center"/>
              <w:rPr>
                <w:szCs w:val="21"/>
              </w:rPr>
            </w:pPr>
            <w:r>
              <w:rPr>
                <w:szCs w:val="21"/>
              </w:rPr>
              <w:t>D</w:t>
            </w:r>
            <w:r>
              <w:rPr>
                <w:szCs w:val="21"/>
                <w:vertAlign w:val="subscript"/>
              </w:rPr>
              <w:t>w</w:t>
            </w:r>
          </w:p>
        </w:tc>
        <w:tc>
          <w:tcPr>
            <w:tcW w:w="2841" w:type="dxa"/>
          </w:tcPr>
          <w:p>
            <w:pPr>
              <w:spacing w:line="360" w:lineRule="auto"/>
              <w:jc w:val="center"/>
              <w:rPr>
                <w:szCs w:val="21"/>
              </w:rPr>
            </w:pPr>
            <w:r>
              <w:rPr>
                <w:szCs w:val="21"/>
              </w:rPr>
              <w:t>低</w:t>
            </w:r>
          </w:p>
        </w:tc>
        <w:tc>
          <w:tcPr>
            <w:tcW w:w="2841" w:type="dxa"/>
          </w:tcPr>
          <w:p>
            <w:pPr>
              <w:spacing w:line="360" w:lineRule="auto"/>
              <w:jc w:val="center"/>
              <w:rPr>
                <w:szCs w:val="21"/>
              </w:rPr>
            </w:pPr>
            <w:r>
              <w:rPr>
                <w:rFonts w:hint="eastAsia"/>
                <w:szCs w:val="21"/>
              </w:rPr>
              <w:t>BPN＜45</w:t>
            </w:r>
          </w:p>
        </w:tc>
      </w:tr>
    </w:tbl>
    <w:p>
      <w:pPr>
        <w:spacing w:line="360" w:lineRule="auto"/>
        <w:jc w:val="center"/>
        <w:rPr>
          <w:rFonts w:eastAsia="黑体"/>
          <w:szCs w:val="21"/>
        </w:rPr>
      </w:pPr>
    </w:p>
    <w:p>
      <w:pPr>
        <w:spacing w:line="360" w:lineRule="auto"/>
        <w:jc w:val="center"/>
        <w:rPr>
          <w:rFonts w:eastAsia="黑体"/>
          <w:szCs w:val="21"/>
        </w:rPr>
      </w:pPr>
      <w:r>
        <w:rPr>
          <w:rFonts w:eastAsia="黑体"/>
          <w:szCs w:val="21"/>
        </w:rPr>
        <w:t>表4.</w:t>
      </w:r>
      <w:r>
        <w:rPr>
          <w:rFonts w:hint="eastAsia" w:eastAsia="黑体"/>
          <w:szCs w:val="21"/>
        </w:rPr>
        <w:t>8</w:t>
      </w:r>
      <w:r>
        <w:rPr>
          <w:rFonts w:eastAsia="黑体"/>
          <w:szCs w:val="21"/>
        </w:rPr>
        <w:t>.1-4 室内干态地面静摩擦系数</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0"/>
        <w:gridCol w:w="284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tcPr>
          <w:p>
            <w:pPr>
              <w:spacing w:line="360" w:lineRule="auto"/>
              <w:jc w:val="center"/>
              <w:rPr>
                <w:szCs w:val="21"/>
              </w:rPr>
            </w:pPr>
            <w:r>
              <w:rPr>
                <w:szCs w:val="21"/>
              </w:rPr>
              <w:t>防滑等级</w:t>
            </w:r>
          </w:p>
        </w:tc>
        <w:tc>
          <w:tcPr>
            <w:tcW w:w="2841" w:type="dxa"/>
          </w:tcPr>
          <w:p>
            <w:pPr>
              <w:spacing w:line="360" w:lineRule="auto"/>
              <w:jc w:val="center"/>
              <w:rPr>
                <w:szCs w:val="21"/>
              </w:rPr>
            </w:pPr>
            <w:r>
              <w:rPr>
                <w:szCs w:val="21"/>
              </w:rPr>
              <w:t>防滑安全程度</w:t>
            </w:r>
          </w:p>
        </w:tc>
        <w:tc>
          <w:tcPr>
            <w:tcW w:w="2841" w:type="dxa"/>
          </w:tcPr>
          <w:p>
            <w:pPr>
              <w:spacing w:line="360" w:lineRule="auto"/>
              <w:jc w:val="center"/>
              <w:rPr>
                <w:szCs w:val="21"/>
              </w:rPr>
            </w:pPr>
            <w:r>
              <w:rPr>
                <w:rFonts w:hint="eastAsia"/>
                <w:szCs w:val="21"/>
              </w:rPr>
              <w:t>静摩擦系数COF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vAlign w:val="center"/>
          </w:tcPr>
          <w:p>
            <w:pPr>
              <w:spacing w:line="360" w:lineRule="auto"/>
              <w:jc w:val="center"/>
              <w:rPr>
                <w:szCs w:val="21"/>
              </w:rPr>
            </w:pPr>
            <w:r>
              <w:rPr>
                <w:szCs w:val="21"/>
              </w:rPr>
              <w:t>A</w:t>
            </w:r>
            <w:r>
              <w:rPr>
                <w:szCs w:val="21"/>
                <w:vertAlign w:val="subscript"/>
              </w:rPr>
              <w:t>d</w:t>
            </w:r>
          </w:p>
        </w:tc>
        <w:tc>
          <w:tcPr>
            <w:tcW w:w="2841" w:type="dxa"/>
          </w:tcPr>
          <w:p>
            <w:pPr>
              <w:spacing w:line="360" w:lineRule="auto"/>
              <w:jc w:val="center"/>
              <w:rPr>
                <w:szCs w:val="21"/>
              </w:rPr>
            </w:pPr>
            <w:r>
              <w:rPr>
                <w:szCs w:val="21"/>
              </w:rPr>
              <w:t>高</w:t>
            </w:r>
          </w:p>
        </w:tc>
        <w:tc>
          <w:tcPr>
            <w:tcW w:w="2841" w:type="dxa"/>
          </w:tcPr>
          <w:p>
            <w:pPr>
              <w:spacing w:line="360" w:lineRule="auto"/>
              <w:jc w:val="center"/>
              <w:rPr>
                <w:szCs w:val="21"/>
              </w:rPr>
            </w:pPr>
            <w:r>
              <w:rPr>
                <w:rFonts w:hint="eastAsia"/>
                <w:szCs w:val="21"/>
              </w:rPr>
              <w:t>COF≥0.70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vAlign w:val="center"/>
          </w:tcPr>
          <w:p>
            <w:pPr>
              <w:spacing w:line="360" w:lineRule="auto"/>
              <w:jc w:val="center"/>
              <w:rPr>
                <w:szCs w:val="21"/>
              </w:rPr>
            </w:pPr>
            <w:r>
              <w:rPr>
                <w:szCs w:val="21"/>
              </w:rPr>
              <w:t>B</w:t>
            </w:r>
            <w:r>
              <w:rPr>
                <w:szCs w:val="21"/>
                <w:vertAlign w:val="subscript"/>
              </w:rPr>
              <w:t>d</w:t>
            </w:r>
          </w:p>
        </w:tc>
        <w:tc>
          <w:tcPr>
            <w:tcW w:w="2841" w:type="dxa"/>
          </w:tcPr>
          <w:p>
            <w:pPr>
              <w:spacing w:line="360" w:lineRule="auto"/>
              <w:jc w:val="center"/>
              <w:rPr>
                <w:szCs w:val="21"/>
              </w:rPr>
            </w:pPr>
            <w:r>
              <w:rPr>
                <w:szCs w:val="21"/>
              </w:rPr>
              <w:t>中高</w:t>
            </w:r>
          </w:p>
        </w:tc>
        <w:tc>
          <w:tcPr>
            <w:tcW w:w="2841" w:type="dxa"/>
          </w:tcPr>
          <w:p>
            <w:pPr>
              <w:spacing w:line="360" w:lineRule="auto"/>
              <w:jc w:val="center"/>
              <w:rPr>
                <w:szCs w:val="21"/>
              </w:rPr>
            </w:pPr>
            <w:r>
              <w:rPr>
                <w:rFonts w:hint="eastAsia"/>
                <w:szCs w:val="21"/>
              </w:rPr>
              <w:t>0.60≤COF＜0.70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vAlign w:val="center"/>
          </w:tcPr>
          <w:p>
            <w:pPr>
              <w:spacing w:line="360" w:lineRule="auto"/>
              <w:jc w:val="center"/>
              <w:rPr>
                <w:szCs w:val="21"/>
              </w:rPr>
            </w:pPr>
            <w:r>
              <w:rPr>
                <w:szCs w:val="21"/>
              </w:rPr>
              <w:t>C</w:t>
            </w:r>
            <w:r>
              <w:rPr>
                <w:szCs w:val="21"/>
                <w:vertAlign w:val="subscript"/>
              </w:rPr>
              <w:t>d</w:t>
            </w:r>
          </w:p>
        </w:tc>
        <w:tc>
          <w:tcPr>
            <w:tcW w:w="2841" w:type="dxa"/>
          </w:tcPr>
          <w:p>
            <w:pPr>
              <w:spacing w:line="360" w:lineRule="auto"/>
              <w:jc w:val="center"/>
              <w:rPr>
                <w:szCs w:val="21"/>
              </w:rPr>
            </w:pPr>
            <w:r>
              <w:rPr>
                <w:szCs w:val="21"/>
              </w:rPr>
              <w:t>中</w:t>
            </w:r>
          </w:p>
        </w:tc>
        <w:tc>
          <w:tcPr>
            <w:tcW w:w="2841" w:type="dxa"/>
          </w:tcPr>
          <w:p>
            <w:pPr>
              <w:spacing w:line="360" w:lineRule="auto"/>
              <w:jc w:val="center"/>
              <w:rPr>
                <w:szCs w:val="21"/>
              </w:rPr>
            </w:pPr>
            <w:r>
              <w:rPr>
                <w:rFonts w:hint="eastAsia"/>
                <w:szCs w:val="21"/>
              </w:rPr>
              <w:t>0.50≤COF＜0.60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0" w:type="dxa"/>
            <w:vAlign w:val="center"/>
          </w:tcPr>
          <w:p>
            <w:pPr>
              <w:spacing w:line="360" w:lineRule="auto"/>
              <w:jc w:val="center"/>
              <w:rPr>
                <w:szCs w:val="21"/>
              </w:rPr>
            </w:pPr>
            <w:r>
              <w:rPr>
                <w:szCs w:val="21"/>
              </w:rPr>
              <w:t>D</w:t>
            </w:r>
            <w:r>
              <w:rPr>
                <w:szCs w:val="21"/>
                <w:vertAlign w:val="subscript"/>
              </w:rPr>
              <w:t>d</w:t>
            </w:r>
          </w:p>
        </w:tc>
        <w:tc>
          <w:tcPr>
            <w:tcW w:w="2841" w:type="dxa"/>
          </w:tcPr>
          <w:p>
            <w:pPr>
              <w:spacing w:line="360" w:lineRule="auto"/>
              <w:jc w:val="center"/>
              <w:rPr>
                <w:szCs w:val="21"/>
              </w:rPr>
            </w:pPr>
            <w:r>
              <w:rPr>
                <w:szCs w:val="21"/>
              </w:rPr>
              <w:t>低</w:t>
            </w:r>
          </w:p>
        </w:tc>
        <w:tc>
          <w:tcPr>
            <w:tcW w:w="2841" w:type="dxa"/>
          </w:tcPr>
          <w:p>
            <w:pPr>
              <w:spacing w:line="360" w:lineRule="auto"/>
              <w:jc w:val="center"/>
              <w:rPr>
                <w:szCs w:val="21"/>
              </w:rPr>
            </w:pPr>
            <w:r>
              <w:rPr>
                <w:rFonts w:hint="eastAsia"/>
                <w:szCs w:val="21"/>
              </w:rPr>
              <w:t>COF＜0.50</w:t>
            </w:r>
          </w:p>
        </w:tc>
      </w:tr>
    </w:tbl>
    <w:p>
      <w:pPr>
        <w:spacing w:line="360" w:lineRule="auto"/>
        <w:ind w:firstLine="480" w:firstLineChars="200"/>
        <w:rPr>
          <w:sz w:val="24"/>
        </w:rPr>
      </w:pPr>
    </w:p>
    <w:p>
      <w:pPr>
        <w:pStyle w:val="3"/>
        <w:rPr>
          <w:rFonts w:ascii="Times New Roman" w:hAnsi="Times New Roman" w:cs="Times New Roman"/>
        </w:rPr>
      </w:pPr>
      <w:bookmarkStart w:id="23" w:name="_Toc17811150"/>
      <w:r>
        <w:rPr>
          <w:rFonts w:ascii="Times New Roman" w:hAnsi="Times New Roman" w:cs="Times New Roman"/>
        </w:rPr>
        <w:t>4.</w:t>
      </w:r>
      <w:r>
        <w:rPr>
          <w:rFonts w:hint="eastAsia" w:ascii="Times New Roman" w:hAnsi="Times New Roman" w:cs="Times New Roman"/>
        </w:rPr>
        <w:t>9</w:t>
      </w:r>
      <w:r>
        <w:rPr>
          <w:rFonts w:ascii="Times New Roman" w:hAnsi="Times New Roman" w:cs="Times New Roman"/>
        </w:rPr>
        <w:t xml:space="preserve">  </w:t>
      </w:r>
      <w:r>
        <w:rPr>
          <w:rFonts w:hint="eastAsia" w:ascii="Times New Roman" w:hAnsi="Times New Roman" w:cs="Times New Roman"/>
          <w:lang w:val="zh-CN"/>
        </w:rPr>
        <w:t>透水铺装构造检验</w:t>
      </w:r>
      <w:bookmarkEnd w:id="23"/>
    </w:p>
    <w:p>
      <w:pPr>
        <w:spacing w:line="360" w:lineRule="auto"/>
        <w:rPr>
          <w:sz w:val="24"/>
        </w:rPr>
      </w:pPr>
      <w:r>
        <w:rPr>
          <w:b/>
          <w:sz w:val="24"/>
        </w:rPr>
        <w:t>4.</w:t>
      </w:r>
      <w:r>
        <w:rPr>
          <w:rFonts w:hint="eastAsia"/>
          <w:b/>
          <w:sz w:val="24"/>
        </w:rPr>
        <w:t>9</w:t>
      </w:r>
      <w:r>
        <w:rPr>
          <w:b/>
          <w:sz w:val="24"/>
        </w:rPr>
        <w:t>.1</w:t>
      </w:r>
      <w:r>
        <w:rPr>
          <w:rFonts w:hint="eastAsia"/>
          <w:sz w:val="24"/>
        </w:rPr>
        <w:t>透水铺装构造检验</w:t>
      </w:r>
      <w:r>
        <w:rPr>
          <w:sz w:val="24"/>
        </w:rPr>
        <w:t>范围</w:t>
      </w:r>
      <w:r>
        <w:rPr>
          <w:rFonts w:hint="eastAsia"/>
          <w:sz w:val="24"/>
        </w:rPr>
        <w:t>包括以透水砖、透水水泥混凝土、透水沥青为面层的室外地面铺装。</w:t>
      </w:r>
      <w:r>
        <w:rPr>
          <w:color w:val="000000" w:themeColor="text1"/>
          <w:sz w:val="24"/>
          <w14:textFill>
            <w14:solidFill>
              <w14:schemeClr w14:val="tx1"/>
            </w14:solidFill>
          </w14:textFill>
        </w:rPr>
        <w:t>每一种构造做法抽样</w:t>
      </w:r>
      <w:r>
        <w:rPr>
          <w:rFonts w:hint="eastAsia"/>
          <w:sz w:val="24"/>
        </w:rPr>
        <w:t>检验</w:t>
      </w:r>
      <w:r>
        <w:rPr>
          <w:color w:val="000000" w:themeColor="text1"/>
          <w:sz w:val="24"/>
          <w14:textFill>
            <w14:solidFill>
              <w14:schemeClr w14:val="tx1"/>
            </w14:solidFill>
          </w14:textFill>
        </w:rPr>
        <w:t>不应少于1个</w:t>
      </w:r>
      <w:r>
        <w:rPr>
          <w:rFonts w:hint="eastAsia"/>
          <w:sz w:val="24"/>
        </w:rPr>
        <w:t>检验</w:t>
      </w:r>
      <w:r>
        <w:rPr>
          <w:color w:val="000000" w:themeColor="text1"/>
          <w:sz w:val="24"/>
          <w14:textFill>
            <w14:solidFill>
              <w14:schemeClr w14:val="tx1"/>
            </w14:solidFill>
          </w14:textFill>
        </w:rPr>
        <w:t>部位</w:t>
      </w:r>
      <w:r>
        <w:rPr>
          <w:sz w:val="24"/>
        </w:rPr>
        <w:t>。</w:t>
      </w:r>
    </w:p>
    <w:p>
      <w:pPr>
        <w:spacing w:line="360" w:lineRule="auto"/>
        <w:rPr>
          <w:rFonts w:eastAsia="楷体"/>
          <w:color w:val="3016EE"/>
        </w:rPr>
      </w:pPr>
      <w:r>
        <w:rPr>
          <w:rFonts w:eastAsia="楷体"/>
          <w:color w:val="3016EE"/>
        </w:rPr>
        <w:t>【条文说明】</w:t>
      </w:r>
    </w:p>
    <w:p>
      <w:pPr>
        <w:spacing w:line="360" w:lineRule="auto"/>
        <w:ind w:firstLine="420" w:firstLineChars="200"/>
        <w:rPr>
          <w:sz w:val="24"/>
        </w:rPr>
      </w:pPr>
      <w:r>
        <w:rPr>
          <w:rFonts w:hint="eastAsia" w:eastAsia="楷体"/>
          <w:color w:val="3016EE"/>
        </w:rPr>
        <w:t>透水铺装按照面层材料不同主要分为透水砖、透水水泥混凝土、透水沥青三类。除面层外，面层之下的找平层、基层、垫层、土基、排水层等对透水铺装的综合透水性能也有直接影响。因此需对透水铺装构造进行现场检验，核查是否满足设计要求。</w:t>
      </w:r>
      <w:r>
        <w:rPr>
          <w:sz w:val="24"/>
        </w:rPr>
        <w:t xml:space="preserve"> </w:t>
      </w:r>
    </w:p>
    <w:p>
      <w:pPr>
        <w:spacing w:line="360" w:lineRule="auto"/>
        <w:rPr>
          <w:sz w:val="24"/>
        </w:rPr>
      </w:pPr>
      <w:r>
        <w:rPr>
          <w:b/>
          <w:sz w:val="24"/>
        </w:rPr>
        <w:t>4.</w:t>
      </w:r>
      <w:r>
        <w:rPr>
          <w:rFonts w:hint="eastAsia"/>
          <w:b/>
          <w:sz w:val="24"/>
        </w:rPr>
        <w:t>9</w:t>
      </w:r>
      <w:r>
        <w:rPr>
          <w:b/>
          <w:sz w:val="24"/>
        </w:rPr>
        <w:t>.2</w:t>
      </w:r>
      <w:r>
        <w:rPr>
          <w:rFonts w:hint="eastAsia"/>
          <w:sz w:val="24"/>
        </w:rPr>
        <w:t>透水铺装构造检验采用钻探法取得岩芯试样，应</w:t>
      </w:r>
      <w:r>
        <w:rPr>
          <w:sz w:val="24"/>
        </w:rPr>
        <w:t>符合现行行业标准</w:t>
      </w:r>
      <w:r>
        <w:rPr>
          <w:rFonts w:hint="eastAsia"/>
          <w:sz w:val="24"/>
        </w:rPr>
        <w:t>《建筑工程地质勘探与取样技术规程》JGJ/T 87</w:t>
      </w:r>
      <w:r>
        <w:rPr>
          <w:sz w:val="24"/>
        </w:rPr>
        <w:t>的规定</w:t>
      </w:r>
      <w:r>
        <w:rPr>
          <w:rFonts w:hint="eastAsia"/>
          <w:sz w:val="24"/>
        </w:rPr>
        <w:t>。</w:t>
      </w:r>
    </w:p>
    <w:p>
      <w:pPr>
        <w:spacing w:line="360" w:lineRule="auto"/>
        <w:rPr>
          <w:rFonts w:eastAsia="楷体"/>
          <w:color w:val="3016EE"/>
        </w:rPr>
      </w:pPr>
      <w:r>
        <w:rPr>
          <w:rFonts w:eastAsia="楷体"/>
          <w:color w:val="3016EE"/>
        </w:rPr>
        <w:t>【条文说明】</w:t>
      </w:r>
    </w:p>
    <w:p>
      <w:pPr>
        <w:spacing w:line="360" w:lineRule="auto"/>
        <w:ind w:firstLine="420" w:firstLineChars="200"/>
        <w:rPr>
          <w:sz w:val="24"/>
        </w:rPr>
      </w:pPr>
      <w:r>
        <w:rPr>
          <w:rFonts w:hint="eastAsia" w:eastAsia="楷体"/>
          <w:color w:val="3016EE"/>
        </w:rPr>
        <w:t>钻探工作应根据设计图纸中构造类型、厚度，以及场地和环境条件，选择合适的钻机、钻具和钻进方法。</w:t>
      </w:r>
    </w:p>
    <w:p>
      <w:pPr>
        <w:spacing w:line="360" w:lineRule="auto"/>
        <w:rPr>
          <w:sz w:val="24"/>
        </w:rPr>
      </w:pPr>
      <w:r>
        <w:rPr>
          <w:b/>
          <w:sz w:val="24"/>
        </w:rPr>
        <w:t>4.</w:t>
      </w:r>
      <w:r>
        <w:rPr>
          <w:rFonts w:hint="eastAsia"/>
          <w:b/>
          <w:sz w:val="24"/>
        </w:rPr>
        <w:t>9</w:t>
      </w:r>
      <w:r>
        <w:rPr>
          <w:b/>
          <w:sz w:val="24"/>
        </w:rPr>
        <w:t>.3</w:t>
      </w:r>
      <w:r>
        <w:rPr>
          <w:rFonts w:hint="eastAsia"/>
          <w:sz w:val="24"/>
        </w:rPr>
        <w:t>透水铺装构造检验的</w:t>
      </w:r>
      <w:r>
        <w:rPr>
          <w:sz w:val="24"/>
        </w:rPr>
        <w:t>合格指标与判定方法应符合下列规定：</w:t>
      </w:r>
    </w:p>
    <w:p>
      <w:pPr>
        <w:spacing w:line="360" w:lineRule="auto"/>
        <w:ind w:firstLine="480" w:firstLineChars="200"/>
        <w:rPr>
          <w:sz w:val="24"/>
        </w:rPr>
      </w:pPr>
      <w:r>
        <w:rPr>
          <w:sz w:val="24"/>
        </w:rPr>
        <w:t xml:space="preserve">1  </w:t>
      </w:r>
      <w:r>
        <w:rPr>
          <w:rFonts w:hint="eastAsia"/>
          <w:sz w:val="24"/>
        </w:rPr>
        <w:t>核查岩芯试样的各层材料、厚度等，应与设计施工图纸中构造一致，并满足相应现行行业标准《透水砖路面技术规程》CJJ/T 188、《透水沥青路面技术规程》CJJ/T 190及《透水水泥混凝土路面技术规程》CJJ/T 135的规定</w:t>
      </w:r>
      <w:r>
        <w:rPr>
          <w:sz w:val="24"/>
        </w:rPr>
        <w:t>；</w:t>
      </w:r>
    </w:p>
    <w:p>
      <w:pPr>
        <w:spacing w:line="360" w:lineRule="auto"/>
        <w:ind w:firstLine="480" w:firstLineChars="200"/>
        <w:rPr>
          <w:sz w:val="24"/>
        </w:rPr>
      </w:pPr>
      <w:r>
        <w:rPr>
          <w:sz w:val="24"/>
        </w:rPr>
        <w:t>2  当</w:t>
      </w:r>
      <w:r>
        <w:rPr>
          <w:rFonts w:hint="eastAsia"/>
          <w:sz w:val="24"/>
        </w:rPr>
        <w:t>检验</w:t>
      </w:r>
      <w:r>
        <w:rPr>
          <w:sz w:val="24"/>
        </w:rPr>
        <w:t>结果符合本条第1款的规定时，应判定为合格。</w:t>
      </w:r>
    </w:p>
    <w:p>
      <w:pPr>
        <w:widowControl/>
        <w:jc w:val="left"/>
        <w:rPr>
          <w:b/>
          <w:sz w:val="32"/>
        </w:rPr>
        <w:sectPr>
          <w:pgSz w:w="11906" w:h="16838"/>
          <w:pgMar w:top="1440" w:right="1800" w:bottom="1440" w:left="1800" w:header="851" w:footer="992" w:gutter="0"/>
          <w:cols w:space="425" w:num="1"/>
          <w:docGrid w:type="lines" w:linePitch="312" w:charSpace="0"/>
        </w:sectPr>
      </w:pPr>
      <w:r>
        <w:rPr>
          <w:b/>
          <w:sz w:val="32"/>
        </w:rPr>
        <w:br w:type="page"/>
      </w:r>
    </w:p>
    <w:p>
      <w:pPr>
        <w:pStyle w:val="2"/>
      </w:pPr>
      <w:bookmarkStart w:id="24" w:name="_Toc17811151"/>
      <w:r>
        <w:t>5</w:t>
      </w:r>
      <w:r>
        <w:rPr>
          <w:rFonts w:hint="eastAsia"/>
        </w:rPr>
        <w:t xml:space="preserve">  室内环境检测</w:t>
      </w:r>
      <w:bookmarkEnd w:id="24"/>
    </w:p>
    <w:p>
      <w:pPr>
        <w:pStyle w:val="3"/>
        <w:rPr>
          <w:lang w:val="zh-CN"/>
        </w:rPr>
      </w:pPr>
      <w:bookmarkStart w:id="25" w:name="_Toc17811152"/>
      <w:bookmarkStart w:id="26" w:name="_Toc16776642"/>
      <w:r>
        <w:rPr>
          <w:rFonts w:ascii="Times New Roman" w:hAnsi="Times New Roman" w:cs="Times New Roman"/>
          <w:lang w:val="zh-CN"/>
        </w:rPr>
        <w:t>5.1</w:t>
      </w:r>
      <w:r>
        <w:rPr>
          <w:lang w:val="zh-CN"/>
        </w:rPr>
        <w:t xml:space="preserve">  一般规定</w:t>
      </w:r>
      <w:bookmarkEnd w:id="25"/>
      <w:bookmarkEnd w:id="26"/>
    </w:p>
    <w:p>
      <w:pPr>
        <w:spacing w:line="360" w:lineRule="auto"/>
        <w:rPr>
          <w:color w:val="000000" w:themeColor="text1"/>
          <w:sz w:val="24"/>
          <w14:textFill>
            <w14:solidFill>
              <w14:schemeClr w14:val="tx1"/>
            </w14:solidFill>
          </w14:textFill>
        </w:rPr>
      </w:pPr>
      <w:r>
        <w:rPr>
          <w:b/>
          <w:sz w:val="24"/>
        </w:rPr>
        <w:t>5</w:t>
      </w:r>
      <w:r>
        <w:rPr>
          <w:rFonts w:hint="eastAsia"/>
          <w:b/>
          <w:sz w:val="24"/>
        </w:rPr>
        <w:t xml:space="preserve">.1.1  </w:t>
      </w:r>
      <w:r>
        <w:rPr>
          <w:rFonts w:hint="eastAsia"/>
          <w:color w:val="000000" w:themeColor="text1"/>
          <w:sz w:val="24"/>
          <w14:textFill>
            <w14:solidFill>
              <w14:schemeClr w14:val="tx1"/>
            </w14:solidFill>
          </w14:textFill>
        </w:rPr>
        <w:t>室内环境检测项目包括</w:t>
      </w:r>
      <w:r>
        <w:rPr>
          <w:color w:val="000000" w:themeColor="text1"/>
          <w:sz w:val="24"/>
          <w14:textFill>
            <w14:solidFill>
              <w14:schemeClr w14:val="tx1"/>
            </w14:solidFill>
          </w14:textFill>
        </w:rPr>
        <w:t>室内噪声</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楼板和隔墙空气声隔声性能</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外窗和</w:t>
      </w:r>
      <w:r>
        <w:rPr>
          <w:rFonts w:hint="eastAsia"/>
          <w:color w:val="000000" w:themeColor="text1"/>
          <w:sz w:val="24"/>
          <w14:textFill>
            <w14:solidFill>
              <w14:schemeClr w14:val="tx1"/>
            </w14:solidFill>
          </w14:textFill>
        </w:rPr>
        <w:t>门</w:t>
      </w:r>
      <w:r>
        <w:rPr>
          <w:color w:val="000000" w:themeColor="text1"/>
          <w:sz w:val="24"/>
          <w14:textFill>
            <w14:solidFill>
              <w14:schemeClr w14:val="tx1"/>
            </w14:solidFill>
          </w14:textFill>
        </w:rPr>
        <w:t>空气声隔声性能</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楼板撞击声隔声性能</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室内声学特性</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室内电梯噪声</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室内采光系数</w:t>
      </w:r>
      <w:r>
        <w:rPr>
          <w:rFonts w:hint="eastAsia"/>
          <w:color w:val="000000" w:themeColor="text1"/>
          <w:sz w:val="24"/>
          <w14:textFill>
            <w14:solidFill>
              <w14:schemeClr w14:val="tx1"/>
            </w14:solidFill>
          </w14:textFill>
        </w:rPr>
        <w:t>和</w:t>
      </w:r>
      <w:r>
        <w:rPr>
          <w:color w:val="000000" w:themeColor="text1"/>
          <w:sz w:val="24"/>
          <w14:textFill>
            <w14:solidFill>
              <w14:schemeClr w14:val="tx1"/>
            </w14:solidFill>
          </w14:textFill>
        </w:rPr>
        <w:t>天然光照度</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室内新风量</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室内空气流速</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室内平均温度</w:t>
      </w:r>
      <w:r>
        <w:rPr>
          <w:rFonts w:hint="eastAsia"/>
          <w:color w:val="000000" w:themeColor="text1"/>
          <w:sz w:val="24"/>
          <w14:textFill>
            <w14:solidFill>
              <w14:schemeClr w14:val="tx1"/>
            </w14:solidFill>
          </w14:textFill>
        </w:rPr>
        <w:t>和</w:t>
      </w:r>
      <w:r>
        <w:rPr>
          <w:color w:val="000000" w:themeColor="text1"/>
          <w:sz w:val="24"/>
          <w14:textFill>
            <w14:solidFill>
              <w14:schemeClr w14:val="tx1"/>
            </w14:solidFill>
          </w14:textFill>
        </w:rPr>
        <w:t>湿度</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室内空气污染物浓度</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室内CO</w:t>
      </w:r>
      <w:r>
        <w:rPr>
          <w:color w:val="000000" w:themeColor="text1"/>
          <w:sz w:val="24"/>
          <w:vertAlign w:val="subscript"/>
          <w14:textFill>
            <w14:solidFill>
              <w14:schemeClr w14:val="tx1"/>
            </w14:solidFill>
          </w14:textFill>
        </w:rPr>
        <w:t>2</w:t>
      </w:r>
      <w:r>
        <w:rPr>
          <w:color w:val="000000" w:themeColor="text1"/>
          <w:sz w:val="24"/>
          <w14:textFill>
            <w14:solidFill>
              <w14:schemeClr w14:val="tx1"/>
            </w14:solidFill>
          </w14:textFill>
        </w:rPr>
        <w:t>浓度</w:t>
      </w:r>
      <w:r>
        <w:rPr>
          <w:rFonts w:hint="eastAsia"/>
          <w:color w:val="000000" w:themeColor="text1"/>
          <w:sz w:val="24"/>
          <w14:textFill>
            <w14:solidFill>
              <w14:schemeClr w14:val="tx1"/>
            </w14:solidFill>
          </w14:textFill>
        </w:rPr>
        <w:t>、室内可吸入颗粒物等检测。</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本条列举了绿色建筑室内环境检测涉及的检测项目。</w:t>
      </w:r>
    </w:p>
    <w:p>
      <w:pPr>
        <w:spacing w:line="360" w:lineRule="auto"/>
        <w:rPr>
          <w:color w:val="000000" w:themeColor="text1"/>
          <w:sz w:val="24"/>
          <w14:textFill>
            <w14:solidFill>
              <w14:schemeClr w14:val="tx1"/>
            </w14:solidFill>
          </w14:textFill>
        </w:rPr>
      </w:pPr>
      <w:r>
        <w:rPr>
          <w:b/>
          <w:sz w:val="24"/>
        </w:rPr>
        <w:t>5</w:t>
      </w:r>
      <w:r>
        <w:rPr>
          <w:rFonts w:hint="eastAsia"/>
          <w:b/>
          <w:sz w:val="24"/>
        </w:rPr>
        <w:t>.1.2</w:t>
      </w:r>
      <w:r>
        <w:rPr>
          <w:rFonts w:hint="eastAsia"/>
          <w:color w:val="000000" w:themeColor="text1"/>
          <w:sz w:val="24"/>
          <w14:textFill>
            <w14:solidFill>
              <w14:schemeClr w14:val="tx1"/>
            </w14:solidFill>
          </w14:textFill>
        </w:rPr>
        <w:t xml:space="preserve">  室内环境检测应在室内</w:t>
      </w:r>
      <w:r>
        <w:rPr>
          <w:color w:val="000000" w:themeColor="text1"/>
          <w:sz w:val="24"/>
          <w14:textFill>
            <w14:solidFill>
              <w14:schemeClr w14:val="tx1"/>
            </w14:solidFill>
          </w14:textFill>
        </w:rPr>
        <w:t>完成装饰装修</w:t>
      </w:r>
      <w:r>
        <w:rPr>
          <w:rFonts w:hint="eastAsia"/>
          <w:color w:val="000000" w:themeColor="text1"/>
          <w:sz w:val="24"/>
          <w14:textFill>
            <w14:solidFill>
              <w14:schemeClr w14:val="tx1"/>
            </w14:solidFill>
          </w14:textFill>
        </w:rPr>
        <w:t>后进行。</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本条要求在</w:t>
      </w:r>
      <w:r>
        <w:rPr>
          <w:rFonts w:eastAsia="楷体"/>
          <w:color w:val="3016EE"/>
        </w:rPr>
        <w:t>室内装饰装修</w:t>
      </w:r>
      <w:r>
        <w:rPr>
          <w:rFonts w:hint="eastAsia" w:eastAsia="楷体"/>
          <w:color w:val="3016EE"/>
        </w:rPr>
        <w:t>完成</w:t>
      </w:r>
      <w:r>
        <w:rPr>
          <w:rFonts w:eastAsia="楷体"/>
          <w:color w:val="3016EE"/>
        </w:rPr>
        <w:t>后对室内环境进行实际检测</w:t>
      </w:r>
      <w:r>
        <w:rPr>
          <w:rFonts w:hint="eastAsia" w:eastAsia="楷体"/>
          <w:color w:val="3016EE"/>
        </w:rPr>
        <w:t>。因毛坯</w:t>
      </w:r>
      <w:r>
        <w:rPr>
          <w:rFonts w:eastAsia="楷体"/>
          <w:color w:val="3016EE"/>
        </w:rPr>
        <w:t>交楼等</w:t>
      </w:r>
      <w:r>
        <w:rPr>
          <w:rFonts w:hint="eastAsia" w:eastAsia="楷体"/>
          <w:color w:val="3016EE"/>
        </w:rPr>
        <w:t>原因</w:t>
      </w:r>
      <w:r>
        <w:rPr>
          <w:rFonts w:eastAsia="楷体"/>
          <w:color w:val="3016EE"/>
        </w:rPr>
        <w:t>不能完成室内</w:t>
      </w:r>
      <w:r>
        <w:rPr>
          <w:rFonts w:hint="eastAsia" w:eastAsia="楷体"/>
          <w:color w:val="3016EE"/>
        </w:rPr>
        <w:t>装饰</w:t>
      </w:r>
      <w:r>
        <w:rPr>
          <w:rFonts w:eastAsia="楷体"/>
          <w:color w:val="3016EE"/>
        </w:rPr>
        <w:t>装修的，检测报告</w:t>
      </w:r>
      <w:r>
        <w:rPr>
          <w:rFonts w:hint="eastAsia" w:eastAsia="楷体"/>
          <w:color w:val="3016EE"/>
        </w:rPr>
        <w:t>中</w:t>
      </w:r>
      <w:r>
        <w:rPr>
          <w:rFonts w:eastAsia="楷体"/>
          <w:color w:val="3016EE"/>
        </w:rPr>
        <w:t>应注明实际装修完成情况。</w:t>
      </w:r>
    </w:p>
    <w:p>
      <w:pPr>
        <w:spacing w:line="360" w:lineRule="auto"/>
        <w:ind w:firstLine="420" w:firstLineChars="200"/>
        <w:rPr>
          <w:rFonts w:eastAsia="楷体"/>
          <w:color w:val="3016EE"/>
        </w:rPr>
      </w:pPr>
    </w:p>
    <w:p>
      <w:pPr>
        <w:pStyle w:val="3"/>
        <w:rPr>
          <w:lang w:val="zh-CN"/>
        </w:rPr>
      </w:pPr>
      <w:bookmarkStart w:id="27" w:name="_Toc17811153"/>
      <w:bookmarkStart w:id="28" w:name="_Toc16776643"/>
      <w:r>
        <w:rPr>
          <w:rFonts w:ascii="Times New Roman" w:hAnsi="Times New Roman" w:cs="Times New Roman"/>
          <w:lang w:val="zh-CN"/>
        </w:rPr>
        <w:t xml:space="preserve">5.2 </w:t>
      </w:r>
      <w:r>
        <w:rPr>
          <w:lang w:val="zh-CN"/>
        </w:rPr>
        <w:t xml:space="preserve"> </w:t>
      </w:r>
      <w:r>
        <w:rPr>
          <w:rFonts w:hint="eastAsia"/>
          <w:lang w:val="zh-CN"/>
        </w:rPr>
        <w:t>室内噪声检测</w:t>
      </w:r>
      <w:bookmarkEnd w:id="27"/>
      <w:bookmarkEnd w:id="28"/>
    </w:p>
    <w:p>
      <w:pPr>
        <w:spacing w:line="360" w:lineRule="auto"/>
        <w:rPr>
          <w:color w:val="000000" w:themeColor="text1"/>
          <w:sz w:val="24"/>
          <w14:textFill>
            <w14:solidFill>
              <w14:schemeClr w14:val="tx1"/>
            </w14:solidFill>
          </w14:textFill>
        </w:rPr>
      </w:pPr>
      <w:r>
        <w:rPr>
          <w:b/>
          <w:sz w:val="24"/>
        </w:rPr>
        <w:t>5</w:t>
      </w:r>
      <w:r>
        <w:rPr>
          <w:rFonts w:hint="eastAsia"/>
          <w:b/>
          <w:sz w:val="24"/>
        </w:rPr>
        <w:t xml:space="preserve">.2.1 </w:t>
      </w:r>
      <w:r>
        <w:rPr>
          <w:rFonts w:hint="eastAsia"/>
          <w:color w:val="000000" w:themeColor="text1"/>
          <w:sz w:val="24"/>
          <w14:textFill>
            <w14:solidFill>
              <w14:schemeClr w14:val="tx1"/>
            </w14:solidFill>
          </w14:textFill>
        </w:rPr>
        <w:t xml:space="preserve"> 主要功能房间每功能区抽检不少于1处。</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根据</w:t>
      </w:r>
      <w:r>
        <w:rPr>
          <w:rFonts w:eastAsia="楷体"/>
          <w:color w:val="3016EE"/>
        </w:rPr>
        <w:t>《</w:t>
      </w:r>
      <w:r>
        <w:rPr>
          <w:rFonts w:hint="eastAsia" w:eastAsia="楷体"/>
          <w:color w:val="3016EE"/>
        </w:rPr>
        <w:t>广东省绿色建筑（建筑节能）工程验收规范</w:t>
      </w:r>
      <w:r>
        <w:rPr>
          <w:rFonts w:eastAsia="楷体"/>
          <w:color w:val="3016EE"/>
        </w:rPr>
        <w:t>》</w:t>
      </w:r>
      <w:r>
        <w:rPr>
          <w:rFonts w:hint="eastAsia" w:eastAsia="楷体"/>
          <w:color w:val="3016EE"/>
        </w:rPr>
        <w:t>的要求确定室内噪声的</w:t>
      </w:r>
      <w:r>
        <w:rPr>
          <w:rFonts w:eastAsia="楷体"/>
          <w:color w:val="3016EE"/>
        </w:rPr>
        <w:t>检测数量</w:t>
      </w:r>
      <w:r>
        <w:rPr>
          <w:rFonts w:hint="eastAsia" w:eastAsia="楷体"/>
          <w:color w:val="3016EE"/>
        </w:rPr>
        <w:t>。</w:t>
      </w:r>
    </w:p>
    <w:p>
      <w:pPr>
        <w:spacing w:line="360" w:lineRule="auto"/>
        <w:rPr>
          <w:color w:val="000000" w:themeColor="text1"/>
          <w:sz w:val="24"/>
          <w14:textFill>
            <w14:solidFill>
              <w14:schemeClr w14:val="tx1"/>
            </w14:solidFill>
          </w14:textFill>
        </w:rPr>
      </w:pPr>
      <w:r>
        <w:rPr>
          <w:b/>
          <w:sz w:val="24"/>
        </w:rPr>
        <w:t xml:space="preserve">5.2.2 </w:t>
      </w:r>
      <w:r>
        <w:rPr>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室内噪声的检测方法</w:t>
      </w:r>
      <w:r>
        <w:rPr>
          <w:color w:val="000000" w:themeColor="text1"/>
          <w:sz w:val="24"/>
          <w14:textFill>
            <w14:solidFill>
              <w14:schemeClr w14:val="tx1"/>
            </w14:solidFill>
          </w14:textFill>
        </w:rPr>
        <w:t>应符合</w:t>
      </w:r>
      <w:r>
        <w:rPr>
          <w:rFonts w:hint="eastAsia"/>
          <w:color w:val="000000" w:themeColor="text1"/>
          <w:sz w:val="24"/>
          <w14:textFill>
            <w14:solidFill>
              <w14:schemeClr w14:val="tx1"/>
            </w14:solidFill>
          </w14:textFill>
        </w:rPr>
        <w:t>现行国家标准</w:t>
      </w:r>
      <w:r>
        <w:rPr>
          <w:color w:val="000000" w:themeColor="text1"/>
          <w:sz w:val="24"/>
          <w14:textFill>
            <w14:solidFill>
              <w14:schemeClr w14:val="tx1"/>
            </w14:solidFill>
          </w14:textFill>
        </w:rPr>
        <w:t>《民用建筑隔声设计规范》GB 50118</w:t>
      </w:r>
      <w:r>
        <w:rPr>
          <w:rFonts w:hint="eastAsia"/>
          <w:color w:val="000000" w:themeColor="text1"/>
          <w:sz w:val="24"/>
          <w14:textFill>
            <w14:solidFill>
              <w14:schemeClr w14:val="tx1"/>
            </w14:solidFill>
          </w14:textFill>
        </w:rPr>
        <w:t>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根据现行国家标准《民用建筑隔声设计规范》GB50118-2010 附录 A 提供的室内噪声级测量方法对室内噪声进行</w:t>
      </w:r>
      <w:r>
        <w:rPr>
          <w:rFonts w:eastAsia="楷体"/>
          <w:color w:val="3016EE"/>
        </w:rPr>
        <w:t>检测</w:t>
      </w:r>
      <w:r>
        <w:rPr>
          <w:rFonts w:hint="eastAsia" w:eastAsia="楷体"/>
          <w:color w:val="3016EE"/>
        </w:rPr>
        <w:t>。</w:t>
      </w:r>
    </w:p>
    <w:p>
      <w:pPr>
        <w:spacing w:line="360" w:lineRule="auto"/>
        <w:rPr>
          <w:color w:val="000000" w:themeColor="text1"/>
          <w:sz w:val="24"/>
          <w14:textFill>
            <w14:solidFill>
              <w14:schemeClr w14:val="tx1"/>
            </w14:solidFill>
          </w14:textFill>
        </w:rPr>
      </w:pPr>
      <w:r>
        <w:rPr>
          <w:b/>
          <w:sz w:val="24"/>
        </w:rPr>
        <w:t>5.2.3</w:t>
      </w:r>
      <w:r>
        <w:rPr>
          <w:rFonts w:hint="eastAsia"/>
          <w:b/>
          <w:sz w:val="24"/>
        </w:rPr>
        <w:t xml:space="preserve"> </w:t>
      </w:r>
      <w:r>
        <w:rPr>
          <w:rFonts w:hint="eastAsia"/>
          <w:color w:val="000000" w:themeColor="text1"/>
          <w:sz w:val="24"/>
          <w14:textFill>
            <w14:solidFill>
              <w14:schemeClr w14:val="tx1"/>
            </w14:solidFill>
          </w14:textFill>
        </w:rPr>
        <w:t xml:space="preserve"> 室内噪声的合格指标与判定方法应符合下列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sz w:val="24"/>
        </w:rPr>
      </w:pPr>
      <w:r>
        <w:rPr>
          <w:sz w:val="24"/>
        </w:rPr>
        <w:t>1</w:t>
      </w:r>
      <w:r>
        <w:rPr>
          <w:rFonts w:hint="eastAsia"/>
          <w:sz w:val="24"/>
        </w:rPr>
        <w:t>室内</w:t>
      </w:r>
      <w:r>
        <w:rPr>
          <w:sz w:val="24"/>
        </w:rPr>
        <w:t>噪声的</w:t>
      </w:r>
      <w:r>
        <w:rPr>
          <w:rFonts w:hint="eastAsia"/>
          <w:sz w:val="24"/>
        </w:rPr>
        <w:t>现场检测值应满足设计要求，当设计无明确规定时，应符合现行国家标准《民用建筑隔声设计规范》</w:t>
      </w:r>
      <w:r>
        <w:rPr>
          <w:sz w:val="24"/>
        </w:rPr>
        <w:t>GB 50118</w:t>
      </w:r>
      <w:r>
        <w:rPr>
          <w:rFonts w:hint="eastAsia"/>
          <w:sz w:val="24"/>
        </w:rPr>
        <w:t>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室内</w:t>
      </w:r>
      <w:r>
        <w:rPr>
          <w:rFonts w:eastAsia="楷体"/>
          <w:color w:val="3016EE"/>
        </w:rPr>
        <w:t>噪声检测结果首先应满足设计要求</w:t>
      </w:r>
      <w:r>
        <w:rPr>
          <w:rFonts w:hint="eastAsia" w:eastAsia="楷体"/>
          <w:color w:val="3016EE"/>
        </w:rPr>
        <w:t>，</w:t>
      </w:r>
      <w:r>
        <w:rPr>
          <w:rFonts w:eastAsia="楷体"/>
          <w:color w:val="3016EE"/>
        </w:rPr>
        <w:t>当设计无明确要求时</w:t>
      </w:r>
      <w:r>
        <w:rPr>
          <w:rFonts w:hint="eastAsia" w:eastAsia="楷体"/>
          <w:color w:val="3016EE"/>
        </w:rPr>
        <w:t>，</w:t>
      </w:r>
      <w:r>
        <w:rPr>
          <w:rFonts w:eastAsia="楷体"/>
          <w:color w:val="3016EE"/>
        </w:rPr>
        <w:t>则应满足</w:t>
      </w:r>
      <w:r>
        <w:rPr>
          <w:rFonts w:hint="eastAsia" w:eastAsia="楷体"/>
          <w:color w:val="3016EE"/>
        </w:rPr>
        <w:t>现行国家标准《民用建筑隔声设计规范》GB50118-2010中</w:t>
      </w:r>
      <w:r>
        <w:rPr>
          <w:rFonts w:eastAsia="楷体"/>
          <w:color w:val="3016EE"/>
        </w:rPr>
        <w:t>的相关规定。</w:t>
      </w:r>
    </w:p>
    <w:p>
      <w:pPr>
        <w:spacing w:line="360" w:lineRule="auto"/>
        <w:ind w:firstLine="420" w:firstLineChars="200"/>
        <w:rPr>
          <w:rFonts w:eastAsia="楷体"/>
          <w:color w:val="3016EE"/>
        </w:rPr>
      </w:pPr>
    </w:p>
    <w:p>
      <w:pPr>
        <w:pStyle w:val="3"/>
        <w:rPr>
          <w:lang w:val="zh-CN"/>
        </w:rPr>
      </w:pPr>
      <w:bookmarkStart w:id="29" w:name="_Toc17811154"/>
      <w:bookmarkStart w:id="30" w:name="_Toc16776644"/>
      <w:r>
        <w:rPr>
          <w:rFonts w:ascii="Times New Roman" w:hAnsi="Times New Roman" w:cs="Times New Roman"/>
          <w:lang w:val="zh-CN"/>
        </w:rPr>
        <w:t xml:space="preserve">5.3 </w:t>
      </w:r>
      <w:r>
        <w:rPr>
          <w:lang w:val="zh-CN"/>
        </w:rPr>
        <w:t xml:space="preserve"> </w:t>
      </w:r>
      <w:r>
        <w:rPr>
          <w:rFonts w:hint="eastAsia"/>
          <w:lang w:val="zh-CN"/>
        </w:rPr>
        <w:t>楼板和隔墙空气声隔</w:t>
      </w:r>
      <w:r>
        <w:rPr>
          <w:rFonts w:hint="eastAsia"/>
          <w:color w:val="000000" w:themeColor="text1"/>
          <w:sz w:val="24"/>
          <w14:textFill>
            <w14:solidFill>
              <w14:schemeClr w14:val="tx1"/>
            </w14:solidFill>
          </w14:textFill>
        </w:rPr>
        <w:t>声</w:t>
      </w:r>
      <w:r>
        <w:rPr>
          <w:rFonts w:hint="eastAsia"/>
          <w:lang w:val="zh-CN"/>
        </w:rPr>
        <w:t>性能检测</w:t>
      </w:r>
      <w:bookmarkEnd w:id="29"/>
      <w:bookmarkEnd w:id="30"/>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3</w:t>
      </w:r>
      <w:r>
        <w:rPr>
          <w:rFonts w:hint="eastAsia"/>
          <w:b/>
          <w:sz w:val="24"/>
        </w:rPr>
        <w:t>.</w:t>
      </w:r>
      <w:r>
        <w:rPr>
          <w:b/>
          <w:sz w:val="24"/>
        </w:rPr>
        <w:t>1</w:t>
      </w:r>
      <w:r>
        <w:rPr>
          <w:color w:val="000000" w:themeColor="text1"/>
          <w:sz w:val="24"/>
          <w14:textFill>
            <w14:solidFill>
              <w14:schemeClr w14:val="tx1"/>
            </w14:solidFill>
          </w14:textFill>
        </w:rPr>
        <w:t>同一构造</w:t>
      </w:r>
      <w:r>
        <w:rPr>
          <w:rFonts w:hint="eastAsia"/>
          <w:color w:val="000000" w:themeColor="text1"/>
          <w:sz w:val="24"/>
          <w14:textFill>
            <w14:solidFill>
              <w14:schemeClr w14:val="tx1"/>
            </w14:solidFill>
          </w14:textFill>
        </w:rPr>
        <w:t>的楼板或隔墙抽检</w:t>
      </w:r>
      <w:r>
        <w:rPr>
          <w:color w:val="000000" w:themeColor="text1"/>
          <w:sz w:val="24"/>
          <w14:textFill>
            <w14:solidFill>
              <w14:schemeClr w14:val="tx1"/>
            </w14:solidFill>
          </w14:textFill>
        </w:rPr>
        <w:t>不少于1组</w:t>
      </w:r>
      <w:r>
        <w:rPr>
          <w:rFonts w:hint="eastAsia"/>
          <w:color w:val="000000" w:themeColor="text1"/>
          <w:sz w:val="24"/>
          <w14:textFill>
            <w14:solidFill>
              <w14:schemeClr w14:val="tx1"/>
            </w14:solidFill>
          </w14:textFill>
        </w:rPr>
        <w:t>。</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根据</w:t>
      </w:r>
      <w:r>
        <w:rPr>
          <w:rFonts w:eastAsia="楷体"/>
          <w:color w:val="3016EE"/>
        </w:rPr>
        <w:t>《</w:t>
      </w:r>
      <w:r>
        <w:rPr>
          <w:rFonts w:hint="eastAsia" w:eastAsia="楷体"/>
          <w:color w:val="3016EE"/>
        </w:rPr>
        <w:t>广东省绿色建筑（建筑节能）工程验收规范</w:t>
      </w:r>
      <w:r>
        <w:rPr>
          <w:rFonts w:eastAsia="楷体"/>
          <w:color w:val="3016EE"/>
        </w:rPr>
        <w:t>》</w:t>
      </w:r>
      <w:r>
        <w:rPr>
          <w:rFonts w:hint="eastAsia" w:eastAsia="楷体"/>
          <w:color w:val="3016EE"/>
        </w:rPr>
        <w:t>的要求确定楼板和隔墙空气声隔声性能的检测数量。</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3</w:t>
      </w:r>
      <w:r>
        <w:rPr>
          <w:rFonts w:hint="eastAsia"/>
          <w:b/>
          <w:sz w:val="24"/>
        </w:rPr>
        <w:t>.</w:t>
      </w:r>
      <w:r>
        <w:rPr>
          <w:b/>
          <w:sz w:val="24"/>
        </w:rPr>
        <w:t>2</w:t>
      </w:r>
      <w:r>
        <w:rPr>
          <w:rFonts w:hint="eastAsia"/>
          <w:color w:val="000000" w:themeColor="text1"/>
          <w:sz w:val="24"/>
          <w14:textFill>
            <w14:solidFill>
              <w14:schemeClr w14:val="tx1"/>
            </w14:solidFill>
          </w14:textFill>
        </w:rPr>
        <w:t xml:space="preserve"> 楼板和隔墙空气声隔声性能的检测方法应符合现行国家标准《声学 建筑和建筑构件隔声测量 第4部分：房间之间空气声隔声的现场测量》GB/T 19889.4的规定。</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3</w:t>
      </w:r>
      <w:r>
        <w:rPr>
          <w:rFonts w:hint="eastAsia"/>
          <w:b/>
          <w:sz w:val="24"/>
        </w:rPr>
        <w:t>.</w:t>
      </w:r>
      <w:r>
        <w:rPr>
          <w:b/>
          <w:sz w:val="24"/>
        </w:rPr>
        <w:t xml:space="preserve">3 </w:t>
      </w:r>
      <w:r>
        <w:rPr>
          <w:rFonts w:hint="eastAsia"/>
          <w:color w:val="000000" w:themeColor="text1"/>
          <w:sz w:val="24"/>
          <w14:textFill>
            <w14:solidFill>
              <w14:schemeClr w14:val="tx1"/>
            </w14:solidFill>
          </w14:textFill>
        </w:rPr>
        <w:t>楼板和隔墙空气声隔声性能的合格指标与判定方法应符合下列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sz w:val="24"/>
        </w:rPr>
      </w:pPr>
      <w:r>
        <w:rPr>
          <w:sz w:val="24"/>
        </w:rPr>
        <w:t xml:space="preserve">1 </w:t>
      </w:r>
      <w:r>
        <w:rPr>
          <w:rFonts w:hint="eastAsia"/>
          <w:sz w:val="24"/>
        </w:rPr>
        <w:t>空气声隔声性能的</w:t>
      </w:r>
      <w:r>
        <w:rPr>
          <w:sz w:val="24"/>
        </w:rPr>
        <w:t>现场</w:t>
      </w:r>
      <w:r>
        <w:rPr>
          <w:rFonts w:hint="eastAsia"/>
          <w:sz w:val="24"/>
        </w:rPr>
        <w:t>检测值应满足设计</w:t>
      </w:r>
      <w:r>
        <w:rPr>
          <w:sz w:val="24"/>
        </w:rPr>
        <w:t>要求</w:t>
      </w:r>
      <w:r>
        <w:rPr>
          <w:rFonts w:hint="eastAsia"/>
          <w:sz w:val="24"/>
        </w:rPr>
        <w:t>，</w:t>
      </w:r>
      <w:r>
        <w:rPr>
          <w:sz w:val="24"/>
        </w:rPr>
        <w:t>当设计无明确规定时</w:t>
      </w:r>
      <w:r>
        <w:rPr>
          <w:rFonts w:hint="eastAsia"/>
          <w:sz w:val="24"/>
        </w:rPr>
        <w:t>，</w:t>
      </w:r>
      <w:r>
        <w:rPr>
          <w:sz w:val="24"/>
        </w:rPr>
        <w:t>应符合</w:t>
      </w:r>
      <w:r>
        <w:rPr>
          <w:rFonts w:hint="eastAsia"/>
          <w:sz w:val="24"/>
        </w:rPr>
        <w:t>现行国家标准《民用建筑隔声设计规范》</w:t>
      </w:r>
      <w:r>
        <w:rPr>
          <w:sz w:val="24"/>
        </w:rPr>
        <w:t>GB 50118</w:t>
      </w:r>
      <w:r>
        <w:rPr>
          <w:rFonts w:hint="eastAsia"/>
          <w:sz w:val="24"/>
        </w:rPr>
        <w:t>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630" w:firstLineChars="300"/>
        <w:rPr>
          <w:rFonts w:eastAsia="楷体"/>
          <w:color w:val="3016EE"/>
        </w:rPr>
      </w:pPr>
      <w:r>
        <w:rPr>
          <w:rFonts w:hint="eastAsia" w:eastAsia="楷体"/>
          <w:color w:val="3016EE"/>
        </w:rPr>
        <w:t>楼板和隔墙（房间之间）空气声隔声性能的现场检测值首先应满足设计要求，当设计无明确规定时，应</w:t>
      </w:r>
      <w:r>
        <w:rPr>
          <w:rFonts w:eastAsia="楷体"/>
          <w:color w:val="3016EE"/>
        </w:rPr>
        <w:t>满足</w:t>
      </w:r>
      <w:r>
        <w:rPr>
          <w:rFonts w:hint="eastAsia" w:eastAsia="楷体"/>
          <w:color w:val="3016EE"/>
        </w:rPr>
        <w:t>现行国家标准《民用建筑隔声设计规范》GB50118-2010中</w:t>
      </w:r>
      <w:r>
        <w:rPr>
          <w:rFonts w:eastAsia="楷体"/>
          <w:color w:val="3016EE"/>
        </w:rPr>
        <w:t>的相关规定。该</w:t>
      </w:r>
      <w:r>
        <w:rPr>
          <w:rFonts w:hint="eastAsia" w:eastAsia="楷体"/>
          <w:color w:val="3016EE"/>
        </w:rPr>
        <w:t>检测结果为</w:t>
      </w:r>
      <w:r>
        <w:rPr>
          <w:rFonts w:eastAsia="楷体"/>
          <w:color w:val="3016EE"/>
        </w:rPr>
        <w:t>现场检测</w:t>
      </w:r>
      <w:r>
        <w:rPr>
          <w:rFonts w:hint="eastAsia" w:eastAsia="楷体"/>
          <w:color w:val="3016EE"/>
        </w:rPr>
        <w:t>值，要注意</w:t>
      </w:r>
      <w:r>
        <w:rPr>
          <w:rFonts w:eastAsia="楷体"/>
          <w:color w:val="3016EE"/>
        </w:rPr>
        <w:t>区别于实验室检测</w:t>
      </w:r>
      <w:r>
        <w:rPr>
          <w:rFonts w:hint="eastAsia" w:eastAsia="楷体"/>
          <w:color w:val="3016EE"/>
        </w:rPr>
        <w:t>，</w:t>
      </w:r>
      <w:r>
        <w:rPr>
          <w:rFonts w:eastAsia="楷体"/>
          <w:color w:val="3016EE"/>
        </w:rPr>
        <w:t>避免判定错误</w:t>
      </w:r>
      <w:r>
        <w:rPr>
          <w:rFonts w:hint="eastAsia" w:eastAsia="楷体"/>
          <w:color w:val="3016EE"/>
        </w:rPr>
        <w:t>。</w:t>
      </w:r>
    </w:p>
    <w:p>
      <w:pPr>
        <w:spacing w:line="360" w:lineRule="auto"/>
        <w:ind w:firstLine="630" w:firstLineChars="300"/>
        <w:rPr>
          <w:rFonts w:eastAsia="楷体"/>
          <w:color w:val="3016EE"/>
        </w:rPr>
      </w:pPr>
    </w:p>
    <w:p>
      <w:pPr>
        <w:pStyle w:val="3"/>
        <w:rPr>
          <w:lang w:val="zh-CN"/>
        </w:rPr>
      </w:pPr>
      <w:bookmarkStart w:id="31" w:name="_Toc16776645"/>
      <w:bookmarkStart w:id="32" w:name="_Toc17811155"/>
      <w:r>
        <w:rPr>
          <w:rFonts w:ascii="Times New Roman" w:hAnsi="Times New Roman" w:cs="Times New Roman"/>
          <w:lang w:val="zh-CN"/>
        </w:rPr>
        <w:t xml:space="preserve">5.4 </w:t>
      </w:r>
      <w:r>
        <w:rPr>
          <w:lang w:val="zh-CN"/>
        </w:rPr>
        <w:t xml:space="preserve"> 外窗和</w:t>
      </w:r>
      <w:r>
        <w:rPr>
          <w:rFonts w:hint="eastAsia"/>
          <w:lang w:val="zh-CN"/>
        </w:rPr>
        <w:t>门空气声隔声性能检测</w:t>
      </w:r>
      <w:bookmarkEnd w:id="31"/>
      <w:bookmarkEnd w:id="32"/>
    </w:p>
    <w:p>
      <w:pPr>
        <w:spacing w:line="360" w:lineRule="auto"/>
        <w:rPr>
          <w:sz w:val="24"/>
        </w:rPr>
      </w:pPr>
      <w:r>
        <w:rPr>
          <w:b/>
          <w:sz w:val="24"/>
        </w:rPr>
        <w:t>5</w:t>
      </w:r>
      <w:r>
        <w:rPr>
          <w:rFonts w:hint="eastAsia"/>
          <w:b/>
          <w:sz w:val="24"/>
        </w:rPr>
        <w:t>.</w:t>
      </w:r>
      <w:r>
        <w:rPr>
          <w:b/>
          <w:sz w:val="24"/>
        </w:rPr>
        <w:t>4</w:t>
      </w:r>
      <w:r>
        <w:rPr>
          <w:rFonts w:hint="eastAsia"/>
          <w:b/>
          <w:sz w:val="24"/>
        </w:rPr>
        <w:t>.</w:t>
      </w:r>
      <w:r>
        <w:rPr>
          <w:b/>
          <w:sz w:val="24"/>
        </w:rPr>
        <w:t>1</w:t>
      </w:r>
      <w:r>
        <w:rPr>
          <w:rFonts w:hint="eastAsia"/>
          <w:color w:val="000000" w:themeColor="text1"/>
          <w:sz w:val="24"/>
          <w14:textFill>
            <w14:solidFill>
              <w14:schemeClr w14:val="tx1"/>
            </w14:solidFill>
          </w14:textFill>
        </w:rPr>
        <w:t xml:space="preserve"> </w:t>
      </w:r>
      <w:r>
        <w:rPr>
          <w:sz w:val="24"/>
        </w:rPr>
        <w:t>外窗和</w:t>
      </w:r>
      <w:r>
        <w:rPr>
          <w:rFonts w:hint="eastAsia"/>
          <w:sz w:val="24"/>
        </w:rPr>
        <w:t>门</w:t>
      </w:r>
      <w:r>
        <w:rPr>
          <w:rFonts w:hint="eastAsia"/>
          <w:color w:val="000000" w:themeColor="text1"/>
          <w:sz w:val="24"/>
          <w14:textFill>
            <w14:solidFill>
              <w14:schemeClr w14:val="tx1"/>
            </w14:solidFill>
          </w14:textFill>
        </w:rPr>
        <w:t>空气声隔声性能</w:t>
      </w:r>
      <w:r>
        <w:rPr>
          <w:rFonts w:hint="eastAsia"/>
          <w:sz w:val="24"/>
        </w:rPr>
        <w:t>的检测应以门窗数量为受检样本数量基数，最小抽样检测数量按本标准表3.0.3规定执行，且</w:t>
      </w:r>
      <w:r>
        <w:rPr>
          <w:rFonts w:hint="eastAsia"/>
          <w:color w:val="000000" w:themeColor="text1"/>
          <w:sz w:val="24"/>
          <w14:textFill>
            <w14:solidFill>
              <w14:schemeClr w14:val="tx1"/>
            </w14:solidFill>
          </w14:textFill>
        </w:rPr>
        <w:t>同一厂家</w:t>
      </w:r>
      <w:r>
        <w:rPr>
          <w:color w:val="000000" w:themeColor="text1"/>
          <w:sz w:val="24"/>
          <w14:textFill>
            <w14:solidFill>
              <w14:schemeClr w14:val="tx1"/>
            </w14:solidFill>
          </w14:textFill>
        </w:rPr>
        <w:t>同一品种或</w:t>
      </w:r>
      <w:r>
        <w:rPr>
          <w:rFonts w:hint="eastAsia"/>
          <w:color w:val="000000" w:themeColor="text1"/>
          <w:sz w:val="24"/>
          <w14:textFill>
            <w14:solidFill>
              <w14:schemeClr w14:val="tx1"/>
            </w14:solidFill>
          </w14:textFill>
        </w:rPr>
        <w:t>同一类型</w:t>
      </w:r>
      <w:r>
        <w:rPr>
          <w:color w:val="000000" w:themeColor="text1"/>
          <w:sz w:val="24"/>
          <w14:textFill>
            <w14:solidFill>
              <w14:schemeClr w14:val="tx1"/>
            </w14:solidFill>
          </w14:textFill>
        </w:rPr>
        <w:t>的门窗不应少于</w:t>
      </w:r>
      <w:r>
        <w:rPr>
          <w:rFonts w:hint="eastAsia"/>
          <w:color w:val="000000" w:themeColor="text1"/>
          <w:sz w:val="24"/>
          <w14:textFill>
            <w14:solidFill>
              <w14:schemeClr w14:val="tx1"/>
            </w14:solidFill>
          </w14:textFill>
        </w:rPr>
        <w:t>1组</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3樘</w:t>
      </w:r>
      <w:r>
        <w:rPr>
          <w:color w:val="000000" w:themeColor="text1"/>
          <w:sz w:val="24"/>
          <w14:textFill>
            <w14:solidFill>
              <w14:schemeClr w14:val="tx1"/>
            </w14:solidFill>
          </w14:textFill>
        </w:rPr>
        <w:t>）</w:t>
      </w:r>
      <w:r>
        <w:rPr>
          <w:rFonts w:hint="eastAsia"/>
          <w:sz w:val="24"/>
        </w:rPr>
        <w:t>。</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eastAsia="楷体"/>
          <w:color w:val="3016EE"/>
        </w:rPr>
        <w:t>外窗和</w:t>
      </w:r>
      <w:r>
        <w:rPr>
          <w:rFonts w:hint="eastAsia" w:eastAsia="楷体"/>
          <w:color w:val="3016EE"/>
        </w:rPr>
        <w:t>门空气声隔声性能应按计数方法检测，最小抽样检测数量应满足本标准表3.0.3的规定，且同一厂家</w:t>
      </w:r>
      <w:r>
        <w:rPr>
          <w:rFonts w:eastAsia="楷体"/>
          <w:color w:val="3016EE"/>
        </w:rPr>
        <w:t>同一品种或</w:t>
      </w:r>
      <w:r>
        <w:rPr>
          <w:rFonts w:hint="eastAsia" w:eastAsia="楷体"/>
          <w:color w:val="3016EE"/>
        </w:rPr>
        <w:t>同一类型</w:t>
      </w:r>
      <w:r>
        <w:rPr>
          <w:rFonts w:eastAsia="楷体"/>
          <w:color w:val="3016EE"/>
        </w:rPr>
        <w:t>的门窗不应少于</w:t>
      </w:r>
      <w:r>
        <w:rPr>
          <w:rFonts w:hint="eastAsia" w:eastAsia="楷体"/>
          <w:color w:val="3016EE"/>
        </w:rPr>
        <w:t>1组</w:t>
      </w:r>
      <w:r>
        <w:rPr>
          <w:rFonts w:eastAsia="楷体"/>
          <w:color w:val="3016EE"/>
        </w:rPr>
        <w:t>（</w:t>
      </w:r>
      <w:r>
        <w:rPr>
          <w:rFonts w:hint="eastAsia" w:eastAsia="楷体"/>
          <w:color w:val="3016EE"/>
        </w:rPr>
        <w:t>3樘</w:t>
      </w:r>
      <w:r>
        <w:rPr>
          <w:rFonts w:eastAsia="楷体"/>
          <w:color w:val="3016EE"/>
        </w:rPr>
        <w:t>）</w:t>
      </w:r>
      <w:r>
        <w:rPr>
          <w:rFonts w:hint="eastAsia" w:eastAsia="楷体"/>
          <w:color w:val="3016EE"/>
        </w:rPr>
        <w:t>。</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4</w:t>
      </w:r>
      <w:r>
        <w:rPr>
          <w:rFonts w:hint="eastAsia"/>
          <w:b/>
          <w:sz w:val="24"/>
        </w:rPr>
        <w:t>.</w:t>
      </w:r>
      <w:r>
        <w:rPr>
          <w:b/>
          <w:sz w:val="24"/>
        </w:rPr>
        <w:t>2</w:t>
      </w:r>
      <w:r>
        <w:rPr>
          <w:rFonts w:hint="eastAsia"/>
          <w:color w:val="000000" w:themeColor="text1"/>
          <w:sz w:val="24"/>
          <w14:textFill>
            <w14:solidFill>
              <w14:schemeClr w14:val="tx1"/>
            </w14:solidFill>
          </w14:textFill>
        </w:rPr>
        <w:t xml:space="preserve"> </w:t>
      </w:r>
      <w:r>
        <w:rPr>
          <w:color w:val="000000" w:themeColor="text1"/>
          <w:sz w:val="24"/>
          <w14:textFill>
            <w14:solidFill>
              <w14:schemeClr w14:val="tx1"/>
            </w14:solidFill>
          </w14:textFill>
        </w:rPr>
        <w:t>外窗和</w:t>
      </w:r>
      <w:r>
        <w:rPr>
          <w:rFonts w:hint="eastAsia"/>
          <w:color w:val="000000" w:themeColor="text1"/>
          <w:sz w:val="24"/>
          <w14:textFill>
            <w14:solidFill>
              <w14:schemeClr w14:val="tx1"/>
            </w14:solidFill>
          </w14:textFill>
        </w:rPr>
        <w:t>门空气声隔声性能的检测方法应符合现行国家标准《建筑门窗空气声隔声性能分级及检测方法》GB/T 8485-2008的规定。</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4</w:t>
      </w:r>
      <w:r>
        <w:rPr>
          <w:rFonts w:hint="eastAsia"/>
          <w:b/>
          <w:sz w:val="24"/>
        </w:rPr>
        <w:t>.</w:t>
      </w:r>
      <w:r>
        <w:rPr>
          <w:b/>
          <w:sz w:val="24"/>
        </w:rPr>
        <w:t xml:space="preserve">3 </w:t>
      </w:r>
      <w:r>
        <w:rPr>
          <w:color w:val="000000" w:themeColor="text1"/>
          <w:sz w:val="24"/>
          <w14:textFill>
            <w14:solidFill>
              <w14:schemeClr w14:val="tx1"/>
            </w14:solidFill>
          </w14:textFill>
        </w:rPr>
        <w:t>外窗和</w:t>
      </w:r>
      <w:r>
        <w:rPr>
          <w:rFonts w:hint="eastAsia"/>
          <w:color w:val="000000" w:themeColor="text1"/>
          <w:sz w:val="24"/>
          <w14:textFill>
            <w14:solidFill>
              <w14:schemeClr w14:val="tx1"/>
            </w14:solidFill>
          </w14:textFill>
        </w:rPr>
        <w:t>门空气声隔声性能的合格指标与判定方法应符合下列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sz w:val="24"/>
        </w:rPr>
      </w:pPr>
      <w:r>
        <w:rPr>
          <w:sz w:val="24"/>
        </w:rPr>
        <w:t xml:space="preserve">1 </w:t>
      </w:r>
      <w:r>
        <w:rPr>
          <w:rFonts w:hint="eastAsia"/>
          <w:sz w:val="24"/>
        </w:rPr>
        <w:t>空气声隔声性能的现场检测值应满足设计要求，当设计无明确规定时，应符合现行国家标准《民用建筑隔声设计规范》</w:t>
      </w:r>
      <w:r>
        <w:rPr>
          <w:sz w:val="24"/>
        </w:rPr>
        <w:t>GB 50118</w:t>
      </w:r>
      <w:r>
        <w:rPr>
          <w:rFonts w:hint="eastAsia"/>
          <w:sz w:val="24"/>
        </w:rPr>
        <w:t>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630" w:firstLineChars="300"/>
        <w:rPr>
          <w:rFonts w:eastAsia="楷体"/>
          <w:color w:val="3016EE"/>
        </w:rPr>
      </w:pPr>
      <w:r>
        <w:rPr>
          <w:rFonts w:eastAsia="楷体"/>
          <w:color w:val="3016EE"/>
        </w:rPr>
        <w:t>外窗和</w:t>
      </w:r>
      <w:r>
        <w:rPr>
          <w:rFonts w:hint="eastAsia" w:eastAsia="楷体"/>
          <w:color w:val="3016EE"/>
        </w:rPr>
        <w:t>门空气声隔声性能的实验室</w:t>
      </w:r>
      <w:r>
        <w:rPr>
          <w:rFonts w:eastAsia="楷体"/>
          <w:color w:val="3016EE"/>
        </w:rPr>
        <w:t>检测结果</w:t>
      </w:r>
      <w:r>
        <w:rPr>
          <w:rFonts w:hint="eastAsia" w:eastAsia="楷体"/>
          <w:color w:val="3016EE"/>
        </w:rPr>
        <w:t>首先应满足设计要求，当设计无明确规定时，应符合现行国家标准《民用建筑隔声设计规范》GB50118-2010中</w:t>
      </w:r>
      <w:r>
        <w:rPr>
          <w:rFonts w:eastAsia="楷体"/>
          <w:color w:val="3016EE"/>
        </w:rPr>
        <w:t>的相关规定。</w:t>
      </w:r>
    </w:p>
    <w:p>
      <w:pPr>
        <w:spacing w:line="360" w:lineRule="auto"/>
        <w:rPr>
          <w:color w:val="000000" w:themeColor="text1"/>
          <w:sz w:val="24"/>
          <w14:textFill>
            <w14:solidFill>
              <w14:schemeClr w14:val="tx1"/>
            </w14:solidFill>
          </w14:textFill>
        </w:rPr>
      </w:pPr>
    </w:p>
    <w:p>
      <w:pPr>
        <w:pStyle w:val="3"/>
        <w:rPr>
          <w:lang w:val="zh-CN"/>
        </w:rPr>
      </w:pPr>
      <w:bookmarkStart w:id="33" w:name="_Toc17811156"/>
      <w:bookmarkStart w:id="34" w:name="_Toc16776646"/>
      <w:r>
        <w:rPr>
          <w:rFonts w:ascii="Times New Roman" w:hAnsi="Times New Roman" w:cs="Times New Roman"/>
          <w:lang w:val="zh-CN"/>
        </w:rPr>
        <w:t xml:space="preserve">5.5 </w:t>
      </w:r>
      <w:r>
        <w:rPr>
          <w:lang w:val="zh-CN"/>
        </w:rPr>
        <w:t xml:space="preserve"> </w:t>
      </w:r>
      <w:r>
        <w:rPr>
          <w:rFonts w:hint="eastAsia"/>
          <w:lang w:val="zh-CN"/>
        </w:rPr>
        <w:t>楼板撞击声隔声性能检测</w:t>
      </w:r>
      <w:bookmarkEnd w:id="33"/>
      <w:bookmarkEnd w:id="34"/>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5</w:t>
      </w:r>
      <w:r>
        <w:rPr>
          <w:rFonts w:hint="eastAsia"/>
          <w:b/>
          <w:sz w:val="24"/>
        </w:rPr>
        <w:t>.</w:t>
      </w:r>
      <w:r>
        <w:rPr>
          <w:b/>
          <w:sz w:val="24"/>
        </w:rPr>
        <w:t>1</w:t>
      </w:r>
      <w:r>
        <w:rPr>
          <w:rFonts w:hint="eastAsia"/>
          <w:b/>
          <w:sz w:val="24"/>
        </w:rPr>
        <w:t xml:space="preserve"> </w:t>
      </w:r>
      <w:r>
        <w:rPr>
          <w:color w:val="000000" w:themeColor="text1"/>
          <w:sz w:val="24"/>
          <w14:textFill>
            <w14:solidFill>
              <w14:schemeClr w14:val="tx1"/>
            </w14:solidFill>
          </w14:textFill>
        </w:rPr>
        <w:t>同一构造的</w:t>
      </w:r>
      <w:r>
        <w:rPr>
          <w:rFonts w:hint="eastAsia"/>
          <w:color w:val="000000" w:themeColor="text1"/>
          <w:sz w:val="24"/>
          <w14:textFill>
            <w14:solidFill>
              <w14:schemeClr w14:val="tx1"/>
            </w14:solidFill>
          </w14:textFill>
        </w:rPr>
        <w:t>楼板抽检</w:t>
      </w:r>
      <w:r>
        <w:rPr>
          <w:color w:val="000000" w:themeColor="text1"/>
          <w:sz w:val="24"/>
          <w14:textFill>
            <w14:solidFill>
              <w14:schemeClr w14:val="tx1"/>
            </w14:solidFill>
          </w14:textFill>
        </w:rPr>
        <w:t>不少于1组</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根据</w:t>
      </w:r>
      <w:r>
        <w:rPr>
          <w:rFonts w:eastAsia="楷体"/>
          <w:color w:val="3016EE"/>
        </w:rPr>
        <w:t>《</w:t>
      </w:r>
      <w:r>
        <w:rPr>
          <w:rFonts w:hint="eastAsia" w:eastAsia="楷体"/>
          <w:color w:val="3016EE"/>
        </w:rPr>
        <w:t>广东省绿色建筑（建筑节能）工程验收规范</w:t>
      </w:r>
      <w:r>
        <w:rPr>
          <w:rFonts w:eastAsia="楷体"/>
          <w:color w:val="3016EE"/>
        </w:rPr>
        <w:t>》</w:t>
      </w:r>
      <w:r>
        <w:rPr>
          <w:rFonts w:hint="eastAsia" w:eastAsia="楷体"/>
          <w:color w:val="3016EE"/>
        </w:rPr>
        <w:t>的要求确定楼板撞击声隔声性能的检测数量。</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5</w:t>
      </w:r>
      <w:r>
        <w:rPr>
          <w:rFonts w:hint="eastAsia"/>
          <w:b/>
          <w:sz w:val="24"/>
        </w:rPr>
        <w:t>.</w:t>
      </w:r>
      <w:r>
        <w:rPr>
          <w:b/>
          <w:sz w:val="24"/>
        </w:rPr>
        <w:t>2</w:t>
      </w:r>
      <w:r>
        <w:rPr>
          <w:rFonts w:hint="eastAsia"/>
          <w:color w:val="000000" w:themeColor="text1"/>
          <w:sz w:val="24"/>
          <w14:textFill>
            <w14:solidFill>
              <w14:schemeClr w14:val="tx1"/>
            </w14:solidFill>
          </w14:textFill>
        </w:rPr>
        <w:t xml:space="preserve"> 楼板撞击声隔声性能的检测方法应符合现行国家标准《声学 建筑和建筑构件隔声测量 第7部分：楼板撞击声隔声的现场测量》GB/T</w:t>
      </w:r>
      <w:r>
        <w:rPr>
          <w:color w:val="000000" w:themeColor="text1"/>
          <w:sz w:val="24"/>
          <w14:textFill>
            <w14:solidFill>
              <w14:schemeClr w14:val="tx1"/>
            </w14:solidFill>
          </w14:textFill>
        </w:rPr>
        <w:t>19889.7</w:t>
      </w:r>
      <w:r>
        <w:rPr>
          <w:rFonts w:hint="eastAsia"/>
          <w:color w:val="000000" w:themeColor="text1"/>
          <w:sz w:val="24"/>
          <w14:textFill>
            <w14:solidFill>
              <w14:schemeClr w14:val="tx1"/>
            </w14:solidFill>
          </w14:textFill>
        </w:rPr>
        <w:t>的规定。</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5</w:t>
      </w:r>
      <w:r>
        <w:rPr>
          <w:rFonts w:hint="eastAsia"/>
          <w:b/>
          <w:sz w:val="24"/>
        </w:rPr>
        <w:t>.</w:t>
      </w:r>
      <w:r>
        <w:rPr>
          <w:b/>
          <w:sz w:val="24"/>
        </w:rPr>
        <w:t xml:space="preserve">3 </w:t>
      </w:r>
      <w:r>
        <w:rPr>
          <w:rFonts w:hint="eastAsia"/>
          <w:color w:val="000000" w:themeColor="text1"/>
          <w:sz w:val="24"/>
          <w14:textFill>
            <w14:solidFill>
              <w14:schemeClr w14:val="tx1"/>
            </w14:solidFill>
          </w14:textFill>
        </w:rPr>
        <w:t>楼板撞击声隔声性能的合格指标与判定方法应符合下列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sz w:val="24"/>
        </w:rPr>
      </w:pPr>
      <w:r>
        <w:rPr>
          <w:sz w:val="24"/>
        </w:rPr>
        <w:t>1</w:t>
      </w:r>
      <w:r>
        <w:rPr>
          <w:rFonts w:hint="eastAsia"/>
          <w:color w:val="000000" w:themeColor="text1"/>
          <w:sz w:val="24"/>
          <w14:textFill>
            <w14:solidFill>
              <w14:schemeClr w14:val="tx1"/>
            </w14:solidFill>
          </w14:textFill>
        </w:rPr>
        <w:t>撞击声隔声性能的现场检测值应满足设计要求，当设计无明确规定时，应符合</w:t>
      </w:r>
      <w:r>
        <w:rPr>
          <w:rFonts w:hint="eastAsia"/>
          <w:sz w:val="24"/>
        </w:rPr>
        <w:t>现行国家标准《民用建筑隔声设计规范》</w:t>
      </w:r>
      <w:r>
        <w:rPr>
          <w:sz w:val="24"/>
        </w:rPr>
        <w:t>GB 50118</w:t>
      </w:r>
      <w:r>
        <w:rPr>
          <w:rFonts w:hint="eastAsia"/>
          <w:sz w:val="24"/>
        </w:rPr>
        <w:t>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630" w:firstLineChars="300"/>
        <w:rPr>
          <w:rFonts w:eastAsia="楷体"/>
          <w:color w:val="3016EE"/>
        </w:rPr>
      </w:pPr>
      <w:r>
        <w:rPr>
          <w:rFonts w:hint="eastAsia" w:eastAsia="楷体"/>
          <w:color w:val="3016EE"/>
        </w:rPr>
        <w:t>楼板撞击声隔声性能的现场检测值首先应满足设计要求，当设计无明确规定时，应符合现行国家标准《民用建筑隔声设计规范》GB50118-2010中</w:t>
      </w:r>
      <w:r>
        <w:rPr>
          <w:rFonts w:eastAsia="楷体"/>
          <w:color w:val="3016EE"/>
        </w:rPr>
        <w:t>的相关规定。</w:t>
      </w:r>
      <w:r>
        <w:rPr>
          <w:rFonts w:hint="eastAsia" w:eastAsia="楷体"/>
          <w:color w:val="3016EE"/>
        </w:rPr>
        <w:t>该检测结果为现场检测值，要注意区别于实验室检测，避免判定错误。</w:t>
      </w:r>
    </w:p>
    <w:p>
      <w:pPr>
        <w:spacing w:line="360" w:lineRule="auto"/>
        <w:rPr>
          <w:b/>
          <w:sz w:val="24"/>
        </w:rPr>
      </w:pPr>
    </w:p>
    <w:p>
      <w:pPr>
        <w:pStyle w:val="3"/>
        <w:rPr>
          <w:lang w:val="zh-CN"/>
        </w:rPr>
      </w:pPr>
      <w:bookmarkStart w:id="35" w:name="_Toc17811157"/>
      <w:bookmarkStart w:id="36" w:name="_Toc16776647"/>
      <w:r>
        <w:rPr>
          <w:rFonts w:ascii="Times New Roman" w:hAnsi="Times New Roman" w:cs="Times New Roman"/>
          <w:lang w:val="zh-CN"/>
        </w:rPr>
        <w:t xml:space="preserve">5.6 </w:t>
      </w:r>
      <w:r>
        <w:rPr>
          <w:lang w:val="zh-CN"/>
        </w:rPr>
        <w:t xml:space="preserve"> </w:t>
      </w:r>
      <w:r>
        <w:rPr>
          <w:rFonts w:hint="eastAsia"/>
          <w:lang w:val="zh-CN"/>
        </w:rPr>
        <w:t>室内声学</w:t>
      </w:r>
      <w:r>
        <w:rPr>
          <w:lang w:val="zh-CN"/>
        </w:rPr>
        <w:t>特性</w:t>
      </w:r>
      <w:r>
        <w:rPr>
          <w:rFonts w:hint="eastAsia"/>
          <w:lang w:val="zh-CN"/>
        </w:rPr>
        <w:t>检测</w:t>
      </w:r>
      <w:bookmarkEnd w:id="35"/>
      <w:bookmarkEnd w:id="36"/>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6</w:t>
      </w:r>
      <w:r>
        <w:rPr>
          <w:rFonts w:hint="eastAsia"/>
          <w:b/>
          <w:sz w:val="24"/>
        </w:rPr>
        <w:t>.</w:t>
      </w:r>
      <w:r>
        <w:rPr>
          <w:b/>
          <w:sz w:val="24"/>
        </w:rPr>
        <w:t>1</w:t>
      </w:r>
      <w:r>
        <w:rPr>
          <w:rFonts w:hint="eastAsia"/>
          <w:color w:val="000000" w:themeColor="text1"/>
          <w:sz w:val="24"/>
          <w14:textFill>
            <w14:solidFill>
              <w14:schemeClr w14:val="tx1"/>
            </w14:solidFill>
          </w14:textFill>
        </w:rPr>
        <w:t xml:space="preserve"> 具有</w:t>
      </w:r>
      <w:r>
        <w:rPr>
          <w:color w:val="000000" w:themeColor="text1"/>
          <w:sz w:val="24"/>
          <w14:textFill>
            <w14:solidFill>
              <w14:schemeClr w14:val="tx1"/>
            </w14:solidFill>
          </w14:textFill>
        </w:rPr>
        <w:t>声学特性设计要求</w:t>
      </w:r>
      <w:r>
        <w:rPr>
          <w:rFonts w:hint="eastAsia"/>
          <w:color w:val="000000" w:themeColor="text1"/>
          <w:sz w:val="24"/>
          <w14:textFill>
            <w14:solidFill>
              <w14:schemeClr w14:val="tx1"/>
            </w14:solidFill>
          </w14:textFill>
        </w:rPr>
        <w:t>的</w:t>
      </w:r>
      <w:r>
        <w:rPr>
          <w:color w:val="000000" w:themeColor="text1"/>
          <w:sz w:val="24"/>
          <w14:textFill>
            <w14:solidFill>
              <w14:schemeClr w14:val="tx1"/>
            </w14:solidFill>
          </w14:textFill>
        </w:rPr>
        <w:t>房间</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应对其</w:t>
      </w:r>
      <w:r>
        <w:rPr>
          <w:rFonts w:hint="eastAsia"/>
          <w:color w:val="000000" w:themeColor="text1"/>
          <w:sz w:val="24"/>
          <w14:textFill>
            <w14:solidFill>
              <w14:schemeClr w14:val="tx1"/>
            </w14:solidFill>
          </w14:textFill>
        </w:rPr>
        <w:t>室内</w:t>
      </w:r>
      <w:r>
        <w:rPr>
          <w:color w:val="000000" w:themeColor="text1"/>
          <w:sz w:val="24"/>
          <w14:textFill>
            <w14:solidFill>
              <w14:schemeClr w14:val="tx1"/>
            </w14:solidFill>
          </w14:textFill>
        </w:rPr>
        <w:t>声学特性</w:t>
      </w:r>
      <w:r>
        <w:rPr>
          <w:rFonts w:hint="eastAsia"/>
          <w:color w:val="000000" w:themeColor="text1"/>
          <w:sz w:val="24"/>
          <w14:textFill>
            <w14:solidFill>
              <w14:schemeClr w14:val="tx1"/>
            </w14:solidFill>
          </w14:textFill>
        </w:rPr>
        <w:t>进行</w:t>
      </w:r>
      <w:r>
        <w:rPr>
          <w:color w:val="000000" w:themeColor="text1"/>
          <w:sz w:val="24"/>
          <w14:textFill>
            <w14:solidFill>
              <w14:schemeClr w14:val="tx1"/>
            </w14:solidFill>
          </w14:textFill>
        </w:rPr>
        <w:t>现场检测。声学特性</w:t>
      </w:r>
      <w:r>
        <w:rPr>
          <w:rFonts w:hint="eastAsia"/>
          <w:color w:val="000000" w:themeColor="text1"/>
          <w:sz w:val="24"/>
          <w14:textFill>
            <w14:solidFill>
              <w14:schemeClr w14:val="tx1"/>
            </w14:solidFill>
          </w14:textFill>
        </w:rPr>
        <w:t>检测</w:t>
      </w:r>
      <w:r>
        <w:rPr>
          <w:color w:val="000000" w:themeColor="text1"/>
          <w:sz w:val="24"/>
          <w14:textFill>
            <w14:solidFill>
              <w14:schemeClr w14:val="tx1"/>
            </w14:solidFill>
          </w14:textFill>
        </w:rPr>
        <w:t>项目</w:t>
      </w:r>
      <w:r>
        <w:rPr>
          <w:rFonts w:hint="eastAsia"/>
          <w:color w:val="000000" w:themeColor="text1"/>
          <w:sz w:val="24"/>
          <w14:textFill>
            <w14:solidFill>
              <w14:schemeClr w14:val="tx1"/>
            </w14:solidFill>
          </w14:textFill>
        </w:rPr>
        <w:t>包括</w:t>
      </w:r>
      <w:r>
        <w:rPr>
          <w:color w:val="000000" w:themeColor="text1"/>
          <w:sz w:val="24"/>
          <w14:textFill>
            <w14:solidFill>
              <w14:schemeClr w14:val="tx1"/>
            </w14:solidFill>
          </w14:textFill>
        </w:rPr>
        <w:t>传输频率特性、传声增益、声场不均匀度、最大声</w:t>
      </w:r>
      <w:r>
        <w:rPr>
          <w:rFonts w:hint="eastAsia"/>
          <w:color w:val="000000" w:themeColor="text1"/>
          <w:sz w:val="24"/>
          <w14:textFill>
            <w14:solidFill>
              <w14:schemeClr w14:val="tx1"/>
            </w14:solidFill>
          </w14:textFill>
        </w:rPr>
        <w:t>压</w:t>
      </w:r>
      <w:r>
        <w:rPr>
          <w:color w:val="000000" w:themeColor="text1"/>
          <w:sz w:val="24"/>
          <w14:textFill>
            <w14:solidFill>
              <w14:schemeClr w14:val="tx1"/>
            </w14:solidFill>
          </w14:textFill>
        </w:rPr>
        <w:t>级、</w:t>
      </w:r>
      <w:r>
        <w:rPr>
          <w:rFonts w:hint="eastAsia"/>
          <w:color w:val="000000" w:themeColor="text1"/>
          <w:sz w:val="24"/>
          <w14:textFill>
            <w14:solidFill>
              <w14:schemeClr w14:val="tx1"/>
            </w14:solidFill>
          </w14:textFill>
        </w:rPr>
        <w:t>系统</w:t>
      </w:r>
      <w:r>
        <w:rPr>
          <w:color w:val="000000" w:themeColor="text1"/>
          <w:sz w:val="24"/>
          <w14:textFill>
            <w14:solidFill>
              <w14:schemeClr w14:val="tx1"/>
            </w14:solidFill>
          </w14:textFill>
        </w:rPr>
        <w:t>总噪声级、混响时间、语言传输指数等</w:t>
      </w:r>
      <w:r>
        <w:rPr>
          <w:rFonts w:hint="eastAsia"/>
          <w:color w:val="000000" w:themeColor="text1"/>
          <w:sz w:val="24"/>
          <w14:textFill>
            <w14:solidFill>
              <w14:schemeClr w14:val="tx1"/>
            </w14:solidFill>
          </w14:textFill>
        </w:rPr>
        <w:t>。</w:t>
      </w:r>
    </w:p>
    <w:p>
      <w:pPr>
        <w:spacing w:line="360" w:lineRule="auto"/>
        <w:rPr>
          <w:color w:val="000000" w:themeColor="text1"/>
          <w:sz w:val="24"/>
          <w14:textFill>
            <w14:solidFill>
              <w14:schemeClr w14:val="tx1"/>
            </w14:solidFill>
          </w14:textFill>
        </w:rPr>
      </w:pPr>
    </w:p>
    <w:p>
      <w:pPr>
        <w:spacing w:line="360" w:lineRule="auto"/>
        <w:rPr>
          <w:rFonts w:eastAsia="楷体"/>
          <w:color w:val="3016EE"/>
        </w:rPr>
      </w:pPr>
      <w:r>
        <w:rPr>
          <w:rFonts w:hint="eastAsia" w:eastAsia="楷体"/>
          <w:color w:val="3016EE"/>
        </w:rPr>
        <w:t>【条文说明】</w:t>
      </w:r>
    </w:p>
    <w:p>
      <w:pPr>
        <w:spacing w:line="360" w:lineRule="auto"/>
        <w:ind w:firstLine="525" w:firstLineChars="250"/>
        <w:rPr>
          <w:rFonts w:eastAsia="楷体"/>
          <w:color w:val="3016EE"/>
        </w:rPr>
      </w:pPr>
      <w:r>
        <w:rPr>
          <w:rFonts w:hint="eastAsia" w:eastAsia="楷体"/>
          <w:color w:val="3016EE"/>
        </w:rPr>
        <w:t>一般体育场馆、</w:t>
      </w:r>
      <w:r>
        <w:rPr>
          <w:rFonts w:eastAsia="楷体"/>
          <w:color w:val="3016EE"/>
        </w:rPr>
        <w:t>多功能厅、接待大厅、大型会议室和剧场等其他有声学特性设计要求房间，在施工完成后，应对声学特性进行检测。</w:t>
      </w:r>
      <w:r>
        <w:rPr>
          <w:rFonts w:hint="eastAsia" w:eastAsia="楷体"/>
          <w:color w:val="3016EE"/>
        </w:rPr>
        <w:t>一般</w:t>
      </w:r>
      <w:r>
        <w:rPr>
          <w:rFonts w:eastAsia="楷体"/>
          <w:color w:val="3016EE"/>
        </w:rPr>
        <w:t>情况下，声学特性</w:t>
      </w:r>
      <w:r>
        <w:rPr>
          <w:rFonts w:hint="eastAsia" w:eastAsia="楷体"/>
          <w:color w:val="3016EE"/>
        </w:rPr>
        <w:t>检测</w:t>
      </w:r>
      <w:r>
        <w:rPr>
          <w:rFonts w:eastAsia="楷体"/>
          <w:color w:val="3016EE"/>
        </w:rPr>
        <w:t>项目</w:t>
      </w:r>
      <w:r>
        <w:rPr>
          <w:rFonts w:hint="eastAsia" w:eastAsia="楷体"/>
          <w:color w:val="3016EE"/>
        </w:rPr>
        <w:t>包括（1）扩声</w:t>
      </w:r>
      <w:r>
        <w:rPr>
          <w:rFonts w:eastAsia="楷体"/>
          <w:color w:val="3016EE"/>
        </w:rPr>
        <w:t>特性指标：传输频率特性、传声增益、声场不均匀度、最大声</w:t>
      </w:r>
      <w:r>
        <w:rPr>
          <w:rFonts w:hint="eastAsia" w:eastAsia="楷体"/>
          <w:color w:val="3016EE"/>
        </w:rPr>
        <w:t>压</w:t>
      </w:r>
      <w:r>
        <w:rPr>
          <w:rFonts w:eastAsia="楷体"/>
          <w:color w:val="3016EE"/>
        </w:rPr>
        <w:t>级、</w:t>
      </w:r>
      <w:r>
        <w:rPr>
          <w:rFonts w:hint="eastAsia" w:eastAsia="楷体"/>
          <w:color w:val="3016EE"/>
        </w:rPr>
        <w:t>系统</w:t>
      </w:r>
      <w:r>
        <w:rPr>
          <w:rFonts w:eastAsia="楷体"/>
          <w:color w:val="3016EE"/>
        </w:rPr>
        <w:t>总噪声级</w:t>
      </w:r>
      <w:r>
        <w:rPr>
          <w:rFonts w:hint="eastAsia" w:eastAsia="楷体"/>
          <w:color w:val="3016EE"/>
        </w:rPr>
        <w:t>等，（2）其他</w:t>
      </w:r>
      <w:r>
        <w:rPr>
          <w:rFonts w:eastAsia="楷体"/>
          <w:color w:val="3016EE"/>
        </w:rPr>
        <w:t>声学特性指标：混响时间、语言传输指数等</w:t>
      </w:r>
      <w:r>
        <w:rPr>
          <w:rFonts w:hint="eastAsia" w:eastAsia="楷体"/>
          <w:color w:val="3016EE"/>
        </w:rPr>
        <w:t>。可根据房间</w:t>
      </w:r>
      <w:r>
        <w:rPr>
          <w:rFonts w:eastAsia="楷体"/>
          <w:color w:val="3016EE"/>
        </w:rPr>
        <w:t>的</w:t>
      </w:r>
      <w:r>
        <w:rPr>
          <w:rFonts w:hint="eastAsia" w:eastAsia="楷体"/>
          <w:color w:val="3016EE"/>
        </w:rPr>
        <w:t>具体</w:t>
      </w:r>
      <w:r>
        <w:rPr>
          <w:rFonts w:eastAsia="楷体"/>
          <w:color w:val="3016EE"/>
        </w:rPr>
        <w:t>声学特性</w:t>
      </w:r>
      <w:r>
        <w:rPr>
          <w:rFonts w:hint="eastAsia" w:eastAsia="楷体"/>
          <w:color w:val="3016EE"/>
        </w:rPr>
        <w:t>设计</w:t>
      </w:r>
      <w:r>
        <w:rPr>
          <w:rFonts w:eastAsia="楷体"/>
          <w:color w:val="3016EE"/>
        </w:rPr>
        <w:t>要求，对</w:t>
      </w:r>
      <w:r>
        <w:rPr>
          <w:rFonts w:hint="eastAsia" w:eastAsia="楷体"/>
          <w:color w:val="3016EE"/>
        </w:rPr>
        <w:t>相关</w:t>
      </w:r>
      <w:r>
        <w:rPr>
          <w:rFonts w:eastAsia="楷体"/>
          <w:color w:val="3016EE"/>
        </w:rPr>
        <w:t>检测</w:t>
      </w:r>
      <w:r>
        <w:rPr>
          <w:rFonts w:hint="eastAsia" w:eastAsia="楷体"/>
          <w:color w:val="3016EE"/>
        </w:rPr>
        <w:t>项目</w:t>
      </w:r>
      <w:r>
        <w:rPr>
          <w:rFonts w:eastAsia="楷体"/>
          <w:color w:val="3016EE"/>
        </w:rPr>
        <w:t>进行现场检测。</w:t>
      </w:r>
    </w:p>
    <w:p>
      <w:pPr>
        <w:spacing w:line="360" w:lineRule="auto"/>
        <w:rPr>
          <w:sz w:val="24"/>
        </w:rPr>
      </w:pPr>
      <w:r>
        <w:rPr>
          <w:b/>
          <w:sz w:val="24"/>
        </w:rPr>
        <w:t xml:space="preserve">5.6.2 </w:t>
      </w:r>
      <w:r>
        <w:rPr>
          <w:rFonts w:hint="eastAsia"/>
          <w:color w:val="000000" w:themeColor="text1"/>
          <w:sz w:val="24"/>
          <w14:textFill>
            <w14:solidFill>
              <w14:schemeClr w14:val="tx1"/>
            </w14:solidFill>
          </w14:textFill>
        </w:rPr>
        <w:t>室内</w:t>
      </w:r>
      <w:r>
        <w:rPr>
          <w:color w:val="000000" w:themeColor="text1"/>
          <w:sz w:val="24"/>
          <w14:textFill>
            <w14:solidFill>
              <w14:schemeClr w14:val="tx1"/>
            </w14:solidFill>
          </w14:textFill>
        </w:rPr>
        <w:t>声学特性</w:t>
      </w:r>
      <w:r>
        <w:rPr>
          <w:rFonts w:hint="eastAsia"/>
          <w:color w:val="000000" w:themeColor="text1"/>
          <w:sz w:val="24"/>
          <w14:textFill>
            <w14:solidFill>
              <w14:schemeClr w14:val="tx1"/>
            </w14:solidFill>
          </w14:textFill>
        </w:rPr>
        <w:t>的检测应以有</w:t>
      </w:r>
      <w:r>
        <w:rPr>
          <w:color w:val="000000" w:themeColor="text1"/>
          <w:sz w:val="24"/>
          <w14:textFill>
            <w14:solidFill>
              <w14:schemeClr w14:val="tx1"/>
            </w14:solidFill>
          </w14:textFill>
        </w:rPr>
        <w:t>声学特性设计要求</w:t>
      </w:r>
      <w:r>
        <w:rPr>
          <w:rFonts w:hint="eastAsia"/>
          <w:color w:val="000000" w:themeColor="text1"/>
          <w:sz w:val="24"/>
          <w14:textFill>
            <w14:solidFill>
              <w14:schemeClr w14:val="tx1"/>
            </w14:solidFill>
          </w14:textFill>
        </w:rPr>
        <w:t>的</w:t>
      </w:r>
      <w:r>
        <w:rPr>
          <w:color w:val="000000" w:themeColor="text1"/>
          <w:sz w:val="24"/>
          <w14:textFill>
            <w14:solidFill>
              <w14:schemeClr w14:val="tx1"/>
            </w14:solidFill>
          </w14:textFill>
        </w:rPr>
        <w:t>房间数量</w:t>
      </w:r>
      <w:r>
        <w:rPr>
          <w:rFonts w:hint="eastAsia"/>
          <w:color w:val="000000" w:themeColor="text1"/>
          <w:sz w:val="24"/>
          <w14:textFill>
            <w14:solidFill>
              <w14:schemeClr w14:val="tx1"/>
            </w14:solidFill>
          </w14:textFill>
        </w:rPr>
        <w:t>为受检样本数量基数，最小抽</w:t>
      </w:r>
      <w:r>
        <w:rPr>
          <w:rFonts w:hint="eastAsia"/>
          <w:sz w:val="24"/>
        </w:rPr>
        <w:t>样检测数量按本标准表3.0.3规定执行。</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具有</w:t>
      </w:r>
      <w:r>
        <w:rPr>
          <w:rFonts w:eastAsia="楷体"/>
          <w:color w:val="3016EE"/>
        </w:rPr>
        <w:t>声学特性设计要求房间</w:t>
      </w:r>
      <w:r>
        <w:rPr>
          <w:rFonts w:hint="eastAsia" w:eastAsia="楷体"/>
          <w:color w:val="3016EE"/>
        </w:rPr>
        <w:t>的室内</w:t>
      </w:r>
      <w:r>
        <w:rPr>
          <w:rFonts w:eastAsia="楷体"/>
          <w:color w:val="3016EE"/>
        </w:rPr>
        <w:t>声学特性</w:t>
      </w:r>
      <w:r>
        <w:rPr>
          <w:rFonts w:hint="eastAsia" w:eastAsia="楷体"/>
          <w:color w:val="3016EE"/>
        </w:rPr>
        <w:t>应按计数方法检测，最小抽样检测数量应满足本标准表3.0.3的规定。</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6</w:t>
      </w:r>
      <w:r>
        <w:rPr>
          <w:rFonts w:hint="eastAsia"/>
          <w:b/>
          <w:sz w:val="24"/>
        </w:rPr>
        <w:t>.</w:t>
      </w:r>
      <w:r>
        <w:rPr>
          <w:b/>
          <w:sz w:val="24"/>
        </w:rPr>
        <w:t>3</w:t>
      </w:r>
      <w:r>
        <w:rPr>
          <w:rFonts w:hint="eastAsia"/>
          <w:b/>
          <w:sz w:val="24"/>
        </w:rPr>
        <w:t xml:space="preserve"> </w:t>
      </w:r>
      <w:r>
        <w:rPr>
          <w:rFonts w:hint="eastAsia"/>
          <w:color w:val="000000" w:themeColor="text1"/>
          <w:sz w:val="24"/>
          <w14:textFill>
            <w14:solidFill>
              <w14:schemeClr w14:val="tx1"/>
            </w14:solidFill>
          </w14:textFill>
        </w:rPr>
        <w:t xml:space="preserve"> 室内</w:t>
      </w:r>
      <w:r>
        <w:rPr>
          <w:color w:val="000000" w:themeColor="text1"/>
          <w:sz w:val="24"/>
          <w14:textFill>
            <w14:solidFill>
              <w14:schemeClr w14:val="tx1"/>
            </w14:solidFill>
          </w14:textFill>
        </w:rPr>
        <w:t>声学特性</w:t>
      </w:r>
      <w:r>
        <w:rPr>
          <w:rFonts w:hint="eastAsia"/>
          <w:color w:val="000000" w:themeColor="text1"/>
          <w:sz w:val="24"/>
          <w14:textFill>
            <w14:solidFill>
              <w14:schemeClr w14:val="tx1"/>
            </w14:solidFill>
          </w14:textFill>
        </w:rPr>
        <w:t>的检测</w:t>
      </w:r>
      <w:r>
        <w:rPr>
          <w:color w:val="000000" w:themeColor="text1"/>
          <w:sz w:val="24"/>
          <w14:textFill>
            <w14:solidFill>
              <w14:schemeClr w14:val="tx1"/>
            </w14:solidFill>
          </w14:textFill>
        </w:rPr>
        <w:t>方法</w:t>
      </w:r>
      <w:r>
        <w:rPr>
          <w:rFonts w:hint="eastAsia"/>
          <w:color w:val="000000" w:themeColor="text1"/>
          <w:sz w:val="24"/>
          <w14:textFill>
            <w14:solidFill>
              <w14:schemeClr w14:val="tx1"/>
            </w14:solidFill>
          </w14:textFill>
        </w:rPr>
        <w:t>应符合现行国家标准《厅堂扩声特性测量方法》GB/T 4959的规定。</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6</w:t>
      </w:r>
      <w:r>
        <w:rPr>
          <w:rFonts w:hint="eastAsia"/>
          <w:b/>
          <w:sz w:val="24"/>
        </w:rPr>
        <w:t>.</w:t>
      </w:r>
      <w:r>
        <w:rPr>
          <w:b/>
          <w:sz w:val="24"/>
        </w:rPr>
        <w:t xml:space="preserve">4  </w:t>
      </w:r>
      <w:r>
        <w:rPr>
          <w:rFonts w:hint="eastAsia"/>
          <w:color w:val="000000" w:themeColor="text1"/>
          <w:sz w:val="24"/>
          <w14:textFill>
            <w14:solidFill>
              <w14:schemeClr w14:val="tx1"/>
            </w14:solidFill>
          </w14:textFill>
        </w:rPr>
        <w:t>室内</w:t>
      </w:r>
      <w:r>
        <w:rPr>
          <w:color w:val="000000" w:themeColor="text1"/>
          <w:sz w:val="24"/>
          <w14:textFill>
            <w14:solidFill>
              <w14:schemeClr w14:val="tx1"/>
            </w14:solidFill>
          </w14:textFill>
        </w:rPr>
        <w:t>声学特性</w:t>
      </w:r>
      <w:r>
        <w:rPr>
          <w:rFonts w:hint="eastAsia"/>
          <w:color w:val="000000" w:themeColor="text1"/>
          <w:sz w:val="24"/>
          <w14:textFill>
            <w14:solidFill>
              <w14:schemeClr w14:val="tx1"/>
            </w14:solidFill>
          </w14:textFill>
        </w:rPr>
        <w:t>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 xml:space="preserve"> </w:t>
      </w:r>
      <w:r>
        <w:rPr>
          <w:color w:val="000000" w:themeColor="text1"/>
          <w:sz w:val="24"/>
          <w14:textFill>
            <w14:solidFill>
              <w14:schemeClr w14:val="tx1"/>
            </w14:solidFill>
          </w14:textFill>
        </w:rPr>
        <w:t>声学特性</w:t>
      </w:r>
      <w:r>
        <w:rPr>
          <w:rFonts w:hint="eastAsia"/>
          <w:color w:val="000000" w:themeColor="text1"/>
          <w:sz w:val="24"/>
          <w14:textFill>
            <w14:solidFill>
              <w14:schemeClr w14:val="tx1"/>
            </w14:solidFill>
          </w14:textFill>
        </w:rPr>
        <w:t>的现场检测值应满足设计要求，当设计无明确规定时，应符合</w:t>
      </w:r>
      <w:r>
        <w:rPr>
          <w:rFonts w:hint="eastAsia"/>
          <w:sz w:val="24"/>
        </w:rPr>
        <w:t>现行国家标准</w:t>
      </w:r>
      <w:r>
        <w:rPr>
          <w:rFonts w:hint="eastAsia"/>
          <w:color w:val="000000" w:themeColor="text1"/>
          <w:sz w:val="24"/>
          <w14:textFill>
            <w14:solidFill>
              <w14:schemeClr w14:val="tx1"/>
            </w14:solidFill>
          </w14:textFill>
        </w:rPr>
        <w:t>《厅堂扩声系统设计规范》GB 50371的规定。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ind w:firstLine="720" w:firstLineChars="300"/>
        <w:rPr>
          <w:color w:val="000000" w:themeColor="text1"/>
          <w:sz w:val="24"/>
          <w14:textFill>
            <w14:solidFill>
              <w14:schemeClr w14:val="tx1"/>
            </w14:solidFill>
          </w14:textFill>
        </w:rPr>
      </w:pPr>
    </w:p>
    <w:p>
      <w:pPr>
        <w:pStyle w:val="3"/>
        <w:rPr>
          <w:lang w:val="zh-CN"/>
        </w:rPr>
      </w:pPr>
      <w:bookmarkStart w:id="37" w:name="_Toc16776648"/>
      <w:bookmarkStart w:id="38" w:name="_Toc17811158"/>
      <w:r>
        <w:rPr>
          <w:rFonts w:ascii="Times New Roman" w:hAnsi="Times New Roman" w:cs="Times New Roman"/>
          <w:lang w:val="zh-CN"/>
        </w:rPr>
        <w:t xml:space="preserve">5.7 </w:t>
      </w:r>
      <w:r>
        <w:rPr>
          <w:lang w:val="zh-CN"/>
        </w:rPr>
        <w:t xml:space="preserve"> </w:t>
      </w:r>
      <w:r>
        <w:rPr>
          <w:rFonts w:hint="eastAsia"/>
          <w:lang w:val="zh-CN"/>
        </w:rPr>
        <w:t>室内电梯噪声检测</w:t>
      </w:r>
      <w:bookmarkEnd w:id="37"/>
      <w:bookmarkEnd w:id="38"/>
    </w:p>
    <w:p>
      <w:pPr>
        <w:spacing w:line="360" w:lineRule="auto"/>
        <w:rPr>
          <w:sz w:val="24"/>
        </w:rPr>
      </w:pPr>
      <w:r>
        <w:rPr>
          <w:b/>
          <w:sz w:val="24"/>
        </w:rPr>
        <w:t xml:space="preserve">5.7.1 </w:t>
      </w:r>
      <w:r>
        <w:rPr>
          <w:rFonts w:hint="eastAsia"/>
          <w:sz w:val="24"/>
        </w:rPr>
        <w:t>室内电梯噪声的检测应以电梯数量为受检样本数量基数，最小抽样检测数量按本标准表3.0.3规定执行，且同一厂家</w:t>
      </w:r>
      <w:r>
        <w:rPr>
          <w:sz w:val="24"/>
        </w:rPr>
        <w:t>同一</w:t>
      </w:r>
      <w:r>
        <w:rPr>
          <w:rFonts w:hint="eastAsia"/>
          <w:sz w:val="24"/>
        </w:rPr>
        <w:t>型号</w:t>
      </w:r>
      <w:r>
        <w:rPr>
          <w:sz w:val="24"/>
        </w:rPr>
        <w:t>的</w:t>
      </w:r>
      <w:r>
        <w:rPr>
          <w:rFonts w:hint="eastAsia"/>
          <w:sz w:val="24"/>
        </w:rPr>
        <w:t>电梯</w:t>
      </w:r>
      <w:r>
        <w:rPr>
          <w:sz w:val="24"/>
        </w:rPr>
        <w:t>不应少于</w:t>
      </w:r>
      <w:r>
        <w:rPr>
          <w:rFonts w:hint="eastAsia"/>
          <w:sz w:val="24"/>
        </w:rPr>
        <w:t>1台。</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室内电梯噪声</w:t>
      </w:r>
      <w:r>
        <w:rPr>
          <w:rFonts w:eastAsia="楷体"/>
          <w:color w:val="3016EE"/>
        </w:rPr>
        <w:t>检测</w:t>
      </w:r>
      <w:r>
        <w:rPr>
          <w:rFonts w:hint="eastAsia" w:eastAsia="楷体"/>
          <w:color w:val="3016EE"/>
        </w:rPr>
        <w:t>时，最小抽样检测数量应满足本标准表3.0.3的规定，而且同一厂家</w:t>
      </w:r>
      <w:r>
        <w:rPr>
          <w:rFonts w:eastAsia="楷体"/>
          <w:color w:val="3016EE"/>
        </w:rPr>
        <w:t>同一</w:t>
      </w:r>
      <w:r>
        <w:rPr>
          <w:rFonts w:hint="eastAsia" w:eastAsia="楷体"/>
          <w:color w:val="3016EE"/>
        </w:rPr>
        <w:t>型号</w:t>
      </w:r>
      <w:r>
        <w:rPr>
          <w:rFonts w:eastAsia="楷体"/>
          <w:color w:val="3016EE"/>
        </w:rPr>
        <w:t>的</w:t>
      </w:r>
      <w:r>
        <w:rPr>
          <w:rFonts w:hint="eastAsia" w:eastAsia="楷体"/>
          <w:color w:val="3016EE"/>
        </w:rPr>
        <w:t>电梯</w:t>
      </w:r>
      <w:r>
        <w:rPr>
          <w:rFonts w:eastAsia="楷体"/>
          <w:color w:val="3016EE"/>
        </w:rPr>
        <w:t>不应少于</w:t>
      </w:r>
      <w:r>
        <w:rPr>
          <w:rFonts w:hint="eastAsia" w:eastAsia="楷体"/>
          <w:color w:val="3016EE"/>
        </w:rPr>
        <w:t>1台。</w:t>
      </w:r>
    </w:p>
    <w:p>
      <w:pPr>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t>5</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7</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2</w:t>
      </w:r>
      <w:r>
        <w:rPr>
          <w:rFonts w:hint="eastAsia"/>
          <w:color w:val="000000" w:themeColor="text1"/>
          <w:sz w:val="24"/>
          <w14:textFill>
            <w14:solidFill>
              <w14:schemeClr w14:val="tx1"/>
            </w14:solidFill>
          </w14:textFill>
        </w:rPr>
        <w:t xml:space="preserve">  室内</w:t>
      </w:r>
      <w:r>
        <w:rPr>
          <w:color w:val="000000" w:themeColor="text1"/>
          <w:sz w:val="24"/>
          <w14:textFill>
            <w14:solidFill>
              <w14:schemeClr w14:val="tx1"/>
            </w14:solidFill>
          </w14:textFill>
        </w:rPr>
        <w:t>电梯</w:t>
      </w:r>
      <w:r>
        <w:rPr>
          <w:rFonts w:hint="eastAsia"/>
          <w:color w:val="000000" w:themeColor="text1"/>
          <w:sz w:val="24"/>
          <w14:textFill>
            <w14:solidFill>
              <w14:schemeClr w14:val="tx1"/>
            </w14:solidFill>
          </w14:textFill>
        </w:rPr>
        <w:t>噪声的检测方法应符合现行国家标准《电梯试验方法》 GB/T 10059的规定。</w:t>
      </w:r>
    </w:p>
    <w:p>
      <w:pPr>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t>5</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7</w:t>
      </w:r>
      <w:r>
        <w:rPr>
          <w:rFonts w:hint="eastAsia"/>
          <w:color w:val="000000" w:themeColor="text1"/>
          <w:sz w:val="24"/>
          <w14:textFill>
            <w14:solidFill>
              <w14:schemeClr w14:val="tx1"/>
            </w14:solidFill>
          </w14:textFill>
        </w:rPr>
        <w:t xml:space="preserve">.3  </w:t>
      </w:r>
      <w:r>
        <w:rPr>
          <w:color w:val="000000" w:themeColor="text1"/>
          <w:sz w:val="24"/>
          <w14:textFill>
            <w14:solidFill>
              <w14:schemeClr w14:val="tx1"/>
            </w14:solidFill>
          </w14:textFill>
        </w:rPr>
        <w:t>电梯</w:t>
      </w:r>
      <w:r>
        <w:rPr>
          <w:rFonts w:hint="eastAsia"/>
          <w:color w:val="000000" w:themeColor="text1"/>
          <w:sz w:val="24"/>
          <w14:textFill>
            <w14:solidFill>
              <w14:schemeClr w14:val="tx1"/>
            </w14:solidFill>
          </w14:textFill>
        </w:rPr>
        <w:t>噪声的合格指标与判定方法应符合下列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1 电梯</w:t>
      </w:r>
      <w:r>
        <w:rPr>
          <w:rFonts w:hint="eastAsia"/>
          <w:color w:val="000000" w:themeColor="text1"/>
          <w:sz w:val="24"/>
          <w14:textFill>
            <w14:solidFill>
              <w14:schemeClr w14:val="tx1"/>
            </w14:solidFill>
          </w14:textFill>
        </w:rPr>
        <w:t>噪声</w:t>
      </w:r>
      <w:r>
        <w:rPr>
          <w:color w:val="000000" w:themeColor="text1"/>
          <w:sz w:val="24"/>
          <w14:textFill>
            <w14:solidFill>
              <w14:schemeClr w14:val="tx1"/>
            </w14:solidFill>
          </w14:textFill>
        </w:rPr>
        <w:t>应符合</w:t>
      </w:r>
      <w:r>
        <w:rPr>
          <w:rFonts w:hint="eastAsia"/>
          <w:color w:val="000000" w:themeColor="text1"/>
          <w:sz w:val="24"/>
          <w14:textFill>
            <w14:solidFill>
              <w14:schemeClr w14:val="tx1"/>
            </w14:solidFill>
          </w14:textFill>
        </w:rPr>
        <w:t>现行国家标准</w:t>
      </w:r>
      <w:r>
        <w:rPr>
          <w:color w:val="000000" w:themeColor="text1"/>
          <w:sz w:val="24"/>
          <w14:textFill>
            <w14:solidFill>
              <w14:schemeClr w14:val="tx1"/>
            </w14:solidFill>
          </w14:textFill>
        </w:rPr>
        <w:t>《</w:t>
      </w:r>
      <w:r>
        <w:fldChar w:fldCharType="begin"/>
      </w:r>
      <w:r>
        <w:instrText xml:space="preserve"> HYPERLINK "http://192.168.0.42:9090/zbooklib/book/detail/show?SiteID=1&amp;bookID=57611" \t "http://192.168.0.42:9090/zbooklib/_blank" </w:instrText>
      </w:r>
      <w:r>
        <w:fldChar w:fldCharType="separate"/>
      </w:r>
      <w:r>
        <w:rPr>
          <w:color w:val="000000" w:themeColor="text1"/>
          <w:sz w:val="24"/>
          <w14:textFill>
            <w14:solidFill>
              <w14:schemeClr w14:val="tx1"/>
            </w14:solidFill>
          </w14:textFill>
        </w:rPr>
        <w:t>电梯工程施工质量验收规范</w:t>
      </w:r>
      <w:r>
        <w:rPr>
          <w:color w:val="000000" w:themeColor="text1"/>
          <w:sz w:val="24"/>
          <w14:textFill>
            <w14:solidFill>
              <w14:schemeClr w14:val="tx1"/>
            </w14:solidFill>
          </w14:textFill>
        </w:rPr>
        <w:fldChar w:fldCharType="end"/>
      </w:r>
      <w:r>
        <w:rPr>
          <w:color w:val="000000" w:themeColor="text1"/>
          <w:sz w:val="24"/>
          <w14:textFill>
            <w14:solidFill>
              <w14:schemeClr w14:val="tx1"/>
            </w14:solidFill>
          </w14:textFill>
        </w:rPr>
        <w:t>》GB50310</w:t>
      </w:r>
      <w:r>
        <w:rPr>
          <w:rFonts w:hint="eastAsia"/>
          <w:color w:val="000000" w:themeColor="text1"/>
          <w:sz w:val="24"/>
          <w14:textFill>
            <w14:solidFill>
              <w14:schemeClr w14:val="tx1"/>
            </w14:solidFill>
          </w14:textFill>
        </w:rPr>
        <w:t>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ind w:firstLine="480" w:firstLineChars="200"/>
        <w:rPr>
          <w:color w:val="000000" w:themeColor="text1"/>
          <w:sz w:val="24"/>
          <w14:textFill>
            <w14:solidFill>
              <w14:schemeClr w14:val="tx1"/>
            </w14:solidFill>
          </w14:textFill>
        </w:rPr>
      </w:pPr>
    </w:p>
    <w:p>
      <w:pPr>
        <w:pStyle w:val="3"/>
        <w:rPr>
          <w:rFonts w:ascii="Times New Roman" w:hAnsi="Times New Roman" w:cs="Times New Roman"/>
          <w:color w:val="000000" w:themeColor="text1"/>
          <w:sz w:val="24"/>
          <w14:textFill>
            <w14:solidFill>
              <w14:schemeClr w14:val="tx1"/>
            </w14:solidFill>
          </w14:textFill>
        </w:rPr>
      </w:pPr>
      <w:bookmarkStart w:id="39" w:name="_Toc16776649"/>
      <w:bookmarkStart w:id="40" w:name="_Toc17811159"/>
      <w:r>
        <w:rPr>
          <w:rFonts w:ascii="Times New Roman" w:hAnsi="Times New Roman" w:cs="Times New Roman"/>
          <w:color w:val="000000" w:themeColor="text1"/>
          <w:lang w:val="zh-CN"/>
          <w14:textFill>
            <w14:solidFill>
              <w14:schemeClr w14:val="tx1"/>
            </w14:solidFill>
          </w14:textFill>
        </w:rPr>
        <w:t xml:space="preserve">5.8  </w:t>
      </w:r>
      <w:r>
        <w:rPr>
          <w:rFonts w:hint="eastAsia" w:ascii="Times New Roman" w:hAnsi="Times New Roman" w:cs="Times New Roman"/>
          <w:color w:val="000000" w:themeColor="text1"/>
          <w:lang w:val="zh-CN"/>
          <w14:textFill>
            <w14:solidFill>
              <w14:schemeClr w14:val="tx1"/>
            </w14:solidFill>
          </w14:textFill>
        </w:rPr>
        <w:t>室内采光系数和天然光</w:t>
      </w:r>
      <w:r>
        <w:rPr>
          <w:rFonts w:ascii="Times New Roman" w:hAnsi="Times New Roman" w:cs="Times New Roman"/>
          <w:color w:val="000000" w:themeColor="text1"/>
          <w:lang w:val="zh-CN"/>
          <w14:textFill>
            <w14:solidFill>
              <w14:schemeClr w14:val="tx1"/>
            </w14:solidFill>
          </w14:textFill>
        </w:rPr>
        <w:t>照度检测</w:t>
      </w:r>
      <w:bookmarkEnd w:id="39"/>
      <w:bookmarkEnd w:id="40"/>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8</w:t>
      </w:r>
      <w:r>
        <w:rPr>
          <w:rFonts w:hint="eastAsia"/>
          <w:b/>
          <w:sz w:val="24"/>
        </w:rPr>
        <w:t xml:space="preserve">.1 </w:t>
      </w:r>
      <w:r>
        <w:rPr>
          <w:rFonts w:hint="eastAsia"/>
          <w:color w:val="000000" w:themeColor="text1"/>
          <w:sz w:val="24"/>
          <w14:textFill>
            <w14:solidFill>
              <w14:schemeClr w14:val="tx1"/>
            </w14:solidFill>
          </w14:textFill>
        </w:rPr>
        <w:t xml:space="preserve"> 主要功能房间每功能区抽检不少于1处。</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根据</w:t>
      </w:r>
      <w:r>
        <w:rPr>
          <w:rFonts w:eastAsia="楷体"/>
          <w:color w:val="3016EE"/>
        </w:rPr>
        <w:t>《</w:t>
      </w:r>
      <w:r>
        <w:rPr>
          <w:rFonts w:hint="eastAsia" w:eastAsia="楷体"/>
          <w:color w:val="3016EE"/>
        </w:rPr>
        <w:t>广东省绿色建筑（建筑节能）工程验收规范</w:t>
      </w:r>
      <w:r>
        <w:rPr>
          <w:rFonts w:eastAsia="楷体"/>
          <w:color w:val="3016EE"/>
        </w:rPr>
        <w:t>》</w:t>
      </w:r>
      <w:r>
        <w:rPr>
          <w:rFonts w:hint="eastAsia" w:eastAsia="楷体"/>
          <w:color w:val="3016EE"/>
        </w:rPr>
        <w:t>的要求确定采光系数和天然光</w:t>
      </w:r>
      <w:r>
        <w:rPr>
          <w:rFonts w:eastAsia="楷体"/>
          <w:color w:val="3016EE"/>
        </w:rPr>
        <w:t>照度</w:t>
      </w:r>
      <w:r>
        <w:rPr>
          <w:rFonts w:hint="eastAsia" w:eastAsia="楷体"/>
          <w:color w:val="3016EE"/>
        </w:rPr>
        <w:t>的检测数量。</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8</w:t>
      </w:r>
      <w:r>
        <w:rPr>
          <w:rFonts w:hint="eastAsia"/>
          <w:b/>
          <w:sz w:val="24"/>
        </w:rPr>
        <w:t>.</w:t>
      </w:r>
      <w:r>
        <w:rPr>
          <w:b/>
          <w:sz w:val="24"/>
        </w:rPr>
        <w:t>2</w:t>
      </w:r>
      <w:r>
        <w:rPr>
          <w:rFonts w:hint="eastAsia"/>
          <w:b/>
          <w:sz w:val="24"/>
        </w:rPr>
        <w:t xml:space="preserve"> </w:t>
      </w:r>
      <w:r>
        <w:rPr>
          <w:rFonts w:hint="eastAsia"/>
          <w:color w:val="000000" w:themeColor="text1"/>
          <w:sz w:val="24"/>
          <w14:textFill>
            <w14:solidFill>
              <w14:schemeClr w14:val="tx1"/>
            </w14:solidFill>
          </w14:textFill>
        </w:rPr>
        <w:t xml:space="preserve"> 室内采光系数和天然光</w:t>
      </w:r>
      <w:r>
        <w:rPr>
          <w:color w:val="000000" w:themeColor="text1"/>
          <w:sz w:val="24"/>
          <w14:textFill>
            <w14:solidFill>
              <w14:schemeClr w14:val="tx1"/>
            </w14:solidFill>
          </w14:textFill>
        </w:rPr>
        <w:t>照度</w:t>
      </w:r>
      <w:r>
        <w:rPr>
          <w:rFonts w:hint="eastAsia"/>
          <w:color w:val="000000" w:themeColor="text1"/>
          <w:sz w:val="24"/>
          <w14:textFill>
            <w14:solidFill>
              <w14:schemeClr w14:val="tx1"/>
            </w14:solidFill>
          </w14:textFill>
        </w:rPr>
        <w:t>的检测方法应符合现行国家标准</w:t>
      </w:r>
      <w:r>
        <w:rPr>
          <w:color w:val="000000" w:themeColor="text1"/>
          <w:sz w:val="24"/>
          <w14:textFill>
            <w14:solidFill>
              <w14:schemeClr w14:val="tx1"/>
            </w14:solidFill>
          </w14:textFill>
        </w:rPr>
        <w:t>《采光测量方法》 GB/T 5699</w:t>
      </w:r>
      <w:r>
        <w:rPr>
          <w:rFonts w:hint="eastAsia"/>
          <w:color w:val="000000" w:themeColor="text1"/>
          <w:sz w:val="24"/>
          <w14:textFill>
            <w14:solidFill>
              <w14:schemeClr w14:val="tx1"/>
            </w14:solidFill>
          </w14:textFill>
        </w:rPr>
        <w:t>的规定。</w:t>
      </w:r>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8</w:t>
      </w:r>
      <w:r>
        <w:rPr>
          <w:rFonts w:hint="eastAsia"/>
          <w:b/>
          <w:sz w:val="24"/>
        </w:rPr>
        <w:t>.</w:t>
      </w:r>
      <w:r>
        <w:rPr>
          <w:b/>
          <w:sz w:val="24"/>
        </w:rPr>
        <w:t>3</w:t>
      </w:r>
      <w:r>
        <w:rPr>
          <w:rFonts w:hint="eastAsia"/>
          <w:b/>
          <w:sz w:val="24"/>
        </w:rPr>
        <w:t xml:space="preserve"> </w:t>
      </w:r>
      <w:r>
        <w:rPr>
          <w:rFonts w:hint="eastAsia"/>
          <w:color w:val="000000" w:themeColor="text1"/>
          <w:sz w:val="24"/>
          <w14:textFill>
            <w14:solidFill>
              <w14:schemeClr w14:val="tx1"/>
            </w14:solidFill>
          </w14:textFill>
        </w:rPr>
        <w:t xml:space="preserve"> 室内采光系数和天然光</w:t>
      </w:r>
      <w:r>
        <w:rPr>
          <w:color w:val="000000" w:themeColor="text1"/>
          <w:sz w:val="24"/>
          <w14:textFill>
            <w14:solidFill>
              <w14:schemeClr w14:val="tx1"/>
            </w14:solidFill>
          </w14:textFill>
        </w:rPr>
        <w:t>照度</w:t>
      </w:r>
      <w:r>
        <w:rPr>
          <w:rFonts w:hint="eastAsia"/>
          <w:color w:val="000000" w:themeColor="text1"/>
          <w:sz w:val="24"/>
          <w14:textFill>
            <w14:solidFill>
              <w14:schemeClr w14:val="tx1"/>
            </w14:solidFill>
          </w14:textFill>
        </w:rPr>
        <w:t>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室内采光系数和天然光</w:t>
      </w:r>
      <w:r>
        <w:rPr>
          <w:color w:val="000000" w:themeColor="text1"/>
          <w:sz w:val="24"/>
          <w14:textFill>
            <w14:solidFill>
              <w14:schemeClr w14:val="tx1"/>
            </w14:solidFill>
          </w14:textFill>
        </w:rPr>
        <w:t>照度应符合</w:t>
      </w:r>
      <w:r>
        <w:rPr>
          <w:rFonts w:hint="eastAsia"/>
          <w:color w:val="000000" w:themeColor="text1"/>
          <w:sz w:val="24"/>
          <w14:textFill>
            <w14:solidFill>
              <w14:schemeClr w14:val="tx1"/>
            </w14:solidFill>
          </w14:textFill>
        </w:rPr>
        <w:t>现行国家标准</w:t>
      </w:r>
      <w:r>
        <w:rPr>
          <w:color w:val="000000" w:themeColor="text1"/>
          <w:sz w:val="24"/>
          <w14:textFill>
            <w14:solidFill>
              <w14:schemeClr w14:val="tx1"/>
            </w14:solidFill>
          </w14:textFill>
        </w:rPr>
        <w:t>《建筑采光设计标准》GB 50033</w:t>
      </w:r>
      <w:r>
        <w:rPr>
          <w:rFonts w:hint="eastAsia"/>
          <w:color w:val="000000" w:themeColor="text1"/>
          <w:sz w:val="24"/>
          <w14:textFill>
            <w14:solidFill>
              <w14:schemeClr w14:val="tx1"/>
            </w14:solidFill>
          </w14:textFill>
        </w:rPr>
        <w:t>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ind w:firstLine="849" w:firstLineChars="354"/>
        <w:rPr>
          <w:color w:val="000000" w:themeColor="text1"/>
          <w:sz w:val="24"/>
          <w14:textFill>
            <w14:solidFill>
              <w14:schemeClr w14:val="tx1"/>
            </w14:solidFill>
          </w14:textFill>
        </w:rPr>
      </w:pPr>
    </w:p>
    <w:p>
      <w:pPr>
        <w:pStyle w:val="3"/>
        <w:rPr>
          <w:rFonts w:ascii="Times New Roman" w:hAnsi="Times New Roman" w:cs="Times New Roman"/>
          <w:color w:val="000000" w:themeColor="text1"/>
          <w:sz w:val="24"/>
          <w14:textFill>
            <w14:solidFill>
              <w14:schemeClr w14:val="tx1"/>
            </w14:solidFill>
          </w14:textFill>
        </w:rPr>
      </w:pPr>
      <w:bookmarkStart w:id="41" w:name="_Toc16776650"/>
      <w:bookmarkStart w:id="42" w:name="_Toc17811160"/>
      <w:r>
        <w:rPr>
          <w:rFonts w:ascii="Times New Roman" w:hAnsi="Times New Roman" w:cs="Times New Roman"/>
          <w:color w:val="000000" w:themeColor="text1"/>
          <w:lang w:val="zh-CN"/>
          <w14:textFill>
            <w14:solidFill>
              <w14:schemeClr w14:val="tx1"/>
            </w14:solidFill>
          </w14:textFill>
        </w:rPr>
        <w:t>5.9  室内</w:t>
      </w:r>
      <w:r>
        <w:rPr>
          <w:rFonts w:hint="eastAsia" w:ascii="Times New Roman" w:hAnsi="Times New Roman" w:cs="Times New Roman"/>
          <w:color w:val="000000" w:themeColor="text1"/>
          <w:lang w:val="zh-CN"/>
          <w14:textFill>
            <w14:solidFill>
              <w14:schemeClr w14:val="tx1"/>
            </w14:solidFill>
          </w14:textFill>
        </w:rPr>
        <w:t>新风量检测</w:t>
      </w:r>
      <w:bookmarkEnd w:id="41"/>
      <w:bookmarkEnd w:id="42"/>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9.</w:t>
      </w:r>
      <w:r>
        <w:rPr>
          <w:rFonts w:hint="eastAsia"/>
          <w:b/>
          <w:sz w:val="24"/>
        </w:rPr>
        <w:t xml:space="preserve">1 </w:t>
      </w:r>
      <w:r>
        <w:rPr>
          <w:rFonts w:hint="eastAsia"/>
          <w:color w:val="000000" w:themeColor="text1"/>
          <w:sz w:val="24"/>
          <w14:textFill>
            <w14:solidFill>
              <w14:schemeClr w14:val="tx1"/>
            </w14:solidFill>
          </w14:textFill>
        </w:rPr>
        <w:t xml:space="preserve"> 室内新风量的检测应以</w:t>
      </w:r>
      <w:r>
        <w:rPr>
          <w:color w:val="000000" w:themeColor="text1"/>
          <w:sz w:val="24"/>
          <w14:textFill>
            <w14:solidFill>
              <w14:schemeClr w14:val="tx1"/>
            </w14:solidFill>
          </w14:textFill>
        </w:rPr>
        <w:t>房间数量为受检样本数量基数，</w:t>
      </w:r>
      <w:r>
        <w:rPr>
          <w:rFonts w:hint="eastAsia"/>
          <w:color w:val="000000" w:themeColor="text1"/>
          <w:sz w:val="24"/>
          <w14:textFill>
            <w14:solidFill>
              <w14:schemeClr w14:val="tx1"/>
            </w14:solidFill>
          </w14:textFill>
        </w:rPr>
        <w:t>最小抽样检测数量按本标准表3.0.3规定执行，</w:t>
      </w:r>
      <w:r>
        <w:rPr>
          <w:rFonts w:hint="eastAsia"/>
          <w:sz w:val="24"/>
        </w:rPr>
        <w:t>且不同功能房间不应少于1个。</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室内新风量应按计数方法检测，最小抽样检测数量应满足本标准表3.0.3的规定，且不同功能房间不应少于1个。</w:t>
      </w:r>
    </w:p>
    <w:p>
      <w:pPr>
        <w:spacing w:line="360" w:lineRule="auto"/>
        <w:rPr>
          <w:color w:val="000000" w:themeColor="text1"/>
          <w:sz w:val="24"/>
          <w14:textFill>
            <w14:solidFill>
              <w14:schemeClr w14:val="tx1"/>
            </w14:solidFill>
          </w14:textFill>
        </w:rPr>
      </w:pPr>
      <w:r>
        <w:rPr>
          <w:b/>
          <w:color w:val="000000" w:themeColor="text1"/>
          <w:sz w:val="24"/>
          <w14:textFill>
            <w14:solidFill>
              <w14:schemeClr w14:val="tx1"/>
            </w14:solidFill>
          </w14:textFill>
        </w:rPr>
        <w:t>5</w:t>
      </w:r>
      <w:r>
        <w:rPr>
          <w:rFonts w:hint="eastAsia"/>
          <w:b/>
          <w:color w:val="000000" w:themeColor="text1"/>
          <w:sz w:val="24"/>
          <w14:textFill>
            <w14:solidFill>
              <w14:schemeClr w14:val="tx1"/>
            </w14:solidFill>
          </w14:textFill>
        </w:rPr>
        <w:t>.</w:t>
      </w:r>
      <w:r>
        <w:rPr>
          <w:b/>
          <w:color w:val="000000" w:themeColor="text1"/>
          <w:sz w:val="24"/>
          <w14:textFill>
            <w14:solidFill>
              <w14:schemeClr w14:val="tx1"/>
            </w14:solidFill>
          </w14:textFill>
        </w:rPr>
        <w:t>9</w:t>
      </w:r>
      <w:r>
        <w:rPr>
          <w:rFonts w:hint="eastAsia"/>
          <w:b/>
          <w:color w:val="000000" w:themeColor="text1"/>
          <w:sz w:val="24"/>
          <w14:textFill>
            <w14:solidFill>
              <w14:schemeClr w14:val="tx1"/>
            </w14:solidFill>
          </w14:textFill>
        </w:rPr>
        <w:t>.</w:t>
      </w:r>
      <w:r>
        <w:rPr>
          <w:b/>
          <w:color w:val="000000" w:themeColor="text1"/>
          <w:sz w:val="24"/>
          <w14:textFill>
            <w14:solidFill>
              <w14:schemeClr w14:val="tx1"/>
            </w14:solidFill>
          </w14:textFill>
        </w:rPr>
        <w:t>2</w:t>
      </w:r>
      <w:r>
        <w:rPr>
          <w:rFonts w:hint="eastAsia"/>
          <w:color w:val="000000" w:themeColor="text1"/>
          <w:sz w:val="24"/>
          <w14:textFill>
            <w14:solidFill>
              <w14:schemeClr w14:val="tx1"/>
            </w14:solidFill>
          </w14:textFill>
        </w:rPr>
        <w:t xml:space="preserve">  室内新风量的检测方法和判定方法应符合现行行业标准《建筑通风效果测试与评价标准》JGJ</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T 309的规定。</w:t>
      </w:r>
    </w:p>
    <w:p>
      <w:pPr>
        <w:spacing w:line="360" w:lineRule="auto"/>
        <w:rPr>
          <w:rFonts w:eastAsia="楷体"/>
          <w:color w:val="3016EE"/>
        </w:rPr>
      </w:pPr>
      <w:r>
        <w:rPr>
          <w:rFonts w:hint="eastAsia" w:eastAsia="楷体"/>
          <w:color w:val="3016EE"/>
        </w:rPr>
        <w:t>【条文说明】</w:t>
      </w:r>
    </w:p>
    <w:p>
      <w:pPr>
        <w:spacing w:line="360" w:lineRule="auto"/>
        <w:ind w:firstLine="525" w:firstLineChars="250"/>
        <w:rPr>
          <w:rFonts w:eastAsia="楷体"/>
          <w:color w:val="3016EE"/>
        </w:rPr>
      </w:pPr>
      <w:r>
        <w:rPr>
          <w:rFonts w:hint="eastAsia" w:eastAsia="楷体"/>
          <w:color w:val="3016EE"/>
        </w:rPr>
        <w:t>未设置集中新风系统的房间，室内新风量宜通过换气次数与室内容积的乘积计算得到。设置集中新风系统的房间，室内新风量宜通过测量风管风速计算风量的方法或采用风量罩的方法得到。</w:t>
      </w:r>
    </w:p>
    <w:p>
      <w:pPr>
        <w:spacing w:line="360" w:lineRule="auto"/>
        <w:ind w:firstLine="525" w:firstLineChars="250"/>
        <w:rPr>
          <w:rFonts w:eastAsia="楷体"/>
          <w:color w:val="3016EE"/>
        </w:rPr>
      </w:pPr>
      <w:r>
        <w:rPr>
          <w:rFonts w:hint="eastAsia" w:eastAsia="楷体"/>
          <w:color w:val="3016EE"/>
        </w:rPr>
        <w:t>当房间新风量满足《建筑通风效果测试与评价标准》JGJ</w:t>
      </w:r>
      <w:r>
        <w:rPr>
          <w:rFonts w:eastAsia="楷体"/>
          <w:color w:val="3016EE"/>
        </w:rPr>
        <w:t>/</w:t>
      </w:r>
      <w:r>
        <w:rPr>
          <w:rFonts w:hint="eastAsia" w:eastAsia="楷体"/>
          <w:color w:val="3016EE"/>
        </w:rPr>
        <w:t>T 309</w:t>
      </w:r>
      <w:r>
        <w:rPr>
          <w:rFonts w:eastAsia="楷体"/>
          <w:color w:val="3016EE"/>
        </w:rPr>
        <w:t>-2013</w:t>
      </w:r>
      <w:r>
        <w:rPr>
          <w:rFonts w:hint="eastAsia" w:eastAsia="楷体"/>
          <w:color w:val="3016EE"/>
        </w:rPr>
        <w:t>中第3.2.2条的要求时，则评定该房间新风量指标合格。</w:t>
      </w:r>
    </w:p>
    <w:p>
      <w:pPr>
        <w:spacing w:line="360" w:lineRule="auto"/>
        <w:ind w:firstLine="525" w:firstLineChars="250"/>
        <w:rPr>
          <w:rFonts w:eastAsia="楷体"/>
          <w:color w:val="3016EE"/>
        </w:rPr>
      </w:pPr>
    </w:p>
    <w:p>
      <w:pPr>
        <w:pStyle w:val="3"/>
      </w:pPr>
      <w:bookmarkStart w:id="43" w:name="_Toc16776651"/>
      <w:bookmarkStart w:id="44" w:name="_Toc17811161"/>
      <w:r>
        <w:rPr>
          <w:rFonts w:ascii="Times New Roman" w:hAnsi="Times New Roman" w:cs="Times New Roman"/>
          <w:color w:val="000000"/>
          <w:lang w:val="zh-CN"/>
        </w:rPr>
        <w:t>5.10 室内</w:t>
      </w:r>
      <w:r>
        <w:rPr>
          <w:rFonts w:hint="eastAsia" w:ascii="Times New Roman" w:hAnsi="Times New Roman" w:cs="Times New Roman"/>
          <w:color w:val="000000"/>
          <w:lang w:val="zh-CN"/>
        </w:rPr>
        <w:t>空气流速</w:t>
      </w:r>
      <w:r>
        <w:t>检测</w:t>
      </w:r>
      <w:bookmarkEnd w:id="43"/>
      <w:bookmarkEnd w:id="44"/>
    </w:p>
    <w:p>
      <w:pPr>
        <w:spacing w:line="360" w:lineRule="auto"/>
        <w:rPr>
          <w:color w:val="000000" w:themeColor="text1"/>
          <w:sz w:val="24"/>
          <w14:textFill>
            <w14:solidFill>
              <w14:schemeClr w14:val="tx1"/>
            </w14:solidFill>
          </w14:textFill>
        </w:rPr>
      </w:pPr>
      <w:r>
        <w:rPr>
          <w:b/>
          <w:sz w:val="24"/>
        </w:rPr>
        <w:t>5</w:t>
      </w:r>
      <w:r>
        <w:rPr>
          <w:rFonts w:hint="eastAsia"/>
          <w:b/>
          <w:sz w:val="24"/>
        </w:rPr>
        <w:t>.</w:t>
      </w:r>
      <w:r>
        <w:rPr>
          <w:b/>
          <w:sz w:val="24"/>
        </w:rPr>
        <w:t>10.</w:t>
      </w:r>
      <w:r>
        <w:rPr>
          <w:rFonts w:hint="eastAsia"/>
          <w:b/>
          <w:sz w:val="24"/>
        </w:rPr>
        <w:t xml:space="preserve">1 </w:t>
      </w:r>
      <w:r>
        <w:rPr>
          <w:rFonts w:hint="eastAsia"/>
          <w:color w:val="000000" w:themeColor="text1"/>
          <w:sz w:val="24"/>
          <w14:textFill>
            <w14:solidFill>
              <w14:schemeClr w14:val="tx1"/>
            </w14:solidFill>
          </w14:textFill>
        </w:rPr>
        <w:t xml:space="preserve"> 室内空气流速的检测应以</w:t>
      </w:r>
      <w:r>
        <w:rPr>
          <w:color w:val="000000" w:themeColor="text1"/>
          <w:sz w:val="24"/>
          <w14:textFill>
            <w14:solidFill>
              <w14:schemeClr w14:val="tx1"/>
            </w14:solidFill>
          </w14:textFill>
        </w:rPr>
        <w:t>房间数量为受检样本数量基数，</w:t>
      </w:r>
      <w:r>
        <w:rPr>
          <w:rFonts w:hint="eastAsia"/>
          <w:color w:val="000000" w:themeColor="text1"/>
          <w:sz w:val="24"/>
          <w14:textFill>
            <w14:solidFill>
              <w14:schemeClr w14:val="tx1"/>
            </w14:solidFill>
          </w14:textFill>
        </w:rPr>
        <w:t>最小抽样检测数量按本标准表3.0.3规定执行，</w:t>
      </w:r>
      <w:r>
        <w:rPr>
          <w:rFonts w:hint="eastAsia"/>
          <w:sz w:val="24"/>
        </w:rPr>
        <w:t>且不同功能房间不应少于1个。</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室内空气流速按计数方法检测，最小抽样检测数量应满足本标准表3.0.3的规定，且不同功能房间不应少于1个。</w:t>
      </w:r>
    </w:p>
    <w:p>
      <w:pPr>
        <w:spacing w:line="360" w:lineRule="auto"/>
        <w:rPr>
          <w:color w:val="000000" w:themeColor="text1"/>
          <w:sz w:val="24"/>
          <w14:textFill>
            <w14:solidFill>
              <w14:schemeClr w14:val="tx1"/>
            </w14:solidFill>
          </w14:textFill>
        </w:rPr>
      </w:pPr>
      <w:r>
        <w:rPr>
          <w:b/>
          <w:color w:val="000000" w:themeColor="text1"/>
          <w:sz w:val="24"/>
          <w14:textFill>
            <w14:solidFill>
              <w14:schemeClr w14:val="tx1"/>
            </w14:solidFill>
          </w14:textFill>
        </w:rPr>
        <w:t>5</w:t>
      </w:r>
      <w:r>
        <w:rPr>
          <w:rFonts w:hint="eastAsia"/>
          <w:b/>
          <w:color w:val="000000" w:themeColor="text1"/>
          <w:sz w:val="24"/>
          <w14:textFill>
            <w14:solidFill>
              <w14:schemeClr w14:val="tx1"/>
            </w14:solidFill>
          </w14:textFill>
        </w:rPr>
        <w:t>.</w:t>
      </w:r>
      <w:r>
        <w:rPr>
          <w:b/>
          <w:color w:val="000000" w:themeColor="text1"/>
          <w:sz w:val="24"/>
          <w14:textFill>
            <w14:solidFill>
              <w14:schemeClr w14:val="tx1"/>
            </w14:solidFill>
          </w14:textFill>
        </w:rPr>
        <w:t>10</w:t>
      </w:r>
      <w:r>
        <w:rPr>
          <w:rFonts w:hint="eastAsia"/>
          <w:b/>
          <w:color w:val="000000" w:themeColor="text1"/>
          <w:sz w:val="24"/>
          <w14:textFill>
            <w14:solidFill>
              <w14:schemeClr w14:val="tx1"/>
            </w14:solidFill>
          </w14:textFill>
        </w:rPr>
        <w:t>.</w:t>
      </w:r>
      <w:r>
        <w:rPr>
          <w:b/>
          <w:color w:val="000000" w:themeColor="text1"/>
          <w:sz w:val="24"/>
          <w14:textFill>
            <w14:solidFill>
              <w14:schemeClr w14:val="tx1"/>
            </w14:solidFill>
          </w14:textFill>
        </w:rPr>
        <w:t>2</w:t>
      </w:r>
      <w:r>
        <w:rPr>
          <w:rFonts w:hint="eastAsia"/>
          <w:color w:val="000000" w:themeColor="text1"/>
          <w:sz w:val="24"/>
          <w14:textFill>
            <w14:solidFill>
              <w14:schemeClr w14:val="tx1"/>
            </w14:solidFill>
          </w14:textFill>
        </w:rPr>
        <w:t xml:space="preserve">  室内空气流速的检测方法和判定方法应符合现行行业标准《建筑通风效果测试与评价标准》JGJ</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T 309的规定。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color w:val="000000" w:themeColor="text1"/>
          <w:sz w:val="24"/>
          <w14:textFill>
            <w14:solidFill>
              <w14:schemeClr w14:val="tx1"/>
            </w14:solidFill>
          </w14:textFill>
        </w:rPr>
      </w:pPr>
      <w:r>
        <w:rPr>
          <w:rFonts w:hint="eastAsia" w:eastAsia="楷体"/>
          <w:color w:val="3016EE"/>
        </w:rPr>
        <w:t>应按现行行业标准《建筑通风效果测试与评价标准》JGJ/T 309的规定执行。</w:t>
      </w:r>
    </w:p>
    <w:p>
      <w:pPr>
        <w:spacing w:line="360" w:lineRule="auto"/>
        <w:rPr>
          <w:color w:val="000000" w:themeColor="text1"/>
          <w:sz w:val="24"/>
          <w14:textFill>
            <w14:solidFill>
              <w14:schemeClr w14:val="tx1"/>
            </w14:solidFill>
          </w14:textFill>
        </w:rPr>
      </w:pPr>
    </w:p>
    <w:p>
      <w:pPr>
        <w:keepNext/>
        <w:keepLines/>
        <w:spacing w:before="150" w:after="150" w:line="360" w:lineRule="auto"/>
        <w:jc w:val="center"/>
        <w:outlineLvl w:val="1"/>
        <w:rPr>
          <w:b/>
          <w:bCs/>
          <w:color w:val="000000"/>
          <w:sz w:val="28"/>
          <w:szCs w:val="32"/>
          <w:lang w:val="zh-CN"/>
        </w:rPr>
      </w:pPr>
      <w:bookmarkStart w:id="45" w:name="_Toc16776652"/>
      <w:bookmarkStart w:id="46" w:name="_Toc17811162"/>
      <w:r>
        <w:rPr>
          <w:b/>
          <w:bCs/>
          <w:color w:val="000000"/>
          <w:sz w:val="28"/>
          <w:szCs w:val="32"/>
          <w:lang w:val="zh-CN"/>
        </w:rPr>
        <w:t>5.11</w:t>
      </w:r>
      <w:r>
        <w:rPr>
          <w:rFonts w:hint="eastAsia"/>
          <w:b/>
          <w:bCs/>
          <w:color w:val="000000"/>
          <w:sz w:val="28"/>
          <w:szCs w:val="32"/>
          <w:lang w:val="zh-CN"/>
        </w:rPr>
        <w:t xml:space="preserve"> </w:t>
      </w:r>
      <w:r>
        <w:rPr>
          <w:b/>
          <w:bCs/>
          <w:color w:val="000000"/>
          <w:sz w:val="28"/>
          <w:szCs w:val="32"/>
          <w:lang w:val="zh-CN"/>
        </w:rPr>
        <w:t>室内平均温度</w:t>
      </w:r>
      <w:r>
        <w:rPr>
          <w:rFonts w:hint="eastAsia"/>
          <w:b/>
          <w:bCs/>
          <w:color w:val="000000"/>
          <w:sz w:val="28"/>
          <w:szCs w:val="32"/>
          <w:lang w:val="zh-CN"/>
        </w:rPr>
        <w:t>、</w:t>
      </w:r>
      <w:r>
        <w:rPr>
          <w:b/>
          <w:bCs/>
          <w:color w:val="000000"/>
          <w:sz w:val="28"/>
          <w:szCs w:val="32"/>
          <w:lang w:val="zh-CN"/>
        </w:rPr>
        <w:t>湿度检测</w:t>
      </w:r>
      <w:bookmarkEnd w:id="45"/>
      <w:bookmarkEnd w:id="46"/>
    </w:p>
    <w:p>
      <w:pPr>
        <w:spacing w:line="360" w:lineRule="auto"/>
        <w:rPr>
          <w:sz w:val="24"/>
        </w:rPr>
      </w:pPr>
      <w:r>
        <w:rPr>
          <w:b/>
          <w:sz w:val="24"/>
        </w:rPr>
        <w:t>5</w:t>
      </w:r>
      <w:r>
        <w:rPr>
          <w:rFonts w:hint="eastAsia"/>
          <w:b/>
          <w:sz w:val="24"/>
        </w:rPr>
        <w:t>.</w:t>
      </w:r>
      <w:r>
        <w:rPr>
          <w:b/>
          <w:sz w:val="24"/>
        </w:rPr>
        <w:t>11</w:t>
      </w:r>
      <w:r>
        <w:rPr>
          <w:rFonts w:hint="eastAsia"/>
          <w:b/>
          <w:sz w:val="24"/>
        </w:rPr>
        <w:t>.1</w:t>
      </w:r>
      <w:r>
        <w:rPr>
          <w:rFonts w:hint="eastAsia"/>
          <w:sz w:val="24"/>
        </w:rPr>
        <w:t xml:space="preserve">  室内平均温度、湿度的检测应以房间数量为受检样本数量基数，最小抽样检测数量按本标准表3.0.3规定执行，且均匀分布，并具有代表性；对面积大于100㎡的房间或空间，可按每100㎡划分为多个受检样本。公共建筑的不同典型功能区域检测部位不少于2处。</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室内平均温度、湿度按计数方法检测，最小抽样检测数量应满足本标准表3.0.3的规定，且均匀分布，并具有代表性。</w:t>
      </w:r>
      <w:r>
        <w:rPr>
          <w:rFonts w:eastAsia="楷体"/>
          <w:color w:val="3016EE"/>
        </w:rPr>
        <w:t xml:space="preserve"> 对于超过</w:t>
      </w:r>
      <w:r>
        <w:rPr>
          <w:rFonts w:hint="eastAsia" w:eastAsia="楷体"/>
          <w:color w:val="3016EE"/>
        </w:rPr>
        <w:t>100m</w:t>
      </w:r>
      <w:r>
        <w:rPr>
          <w:rFonts w:hint="eastAsia" w:eastAsia="楷体"/>
          <w:color w:val="3016EE"/>
          <w:vertAlign w:val="superscript"/>
        </w:rPr>
        <w:t>2</w:t>
      </w:r>
      <w:r>
        <w:rPr>
          <w:rFonts w:hint="eastAsia" w:eastAsia="楷体"/>
          <w:color w:val="3016EE"/>
        </w:rPr>
        <w:t>的房间或空间，可按每100m</w:t>
      </w:r>
      <w:r>
        <w:rPr>
          <w:rFonts w:hint="eastAsia" w:eastAsia="楷体"/>
          <w:color w:val="3016EE"/>
          <w:vertAlign w:val="superscript"/>
        </w:rPr>
        <w:t>2</w:t>
      </w:r>
      <w:r>
        <w:rPr>
          <w:rFonts w:hint="eastAsia" w:eastAsia="楷体"/>
          <w:color w:val="3016EE"/>
        </w:rPr>
        <w:t>为一个样本基数，即用房间或空间面积除以100m</w:t>
      </w:r>
      <w:r>
        <w:rPr>
          <w:rFonts w:hint="eastAsia" w:eastAsia="楷体"/>
          <w:color w:val="3016EE"/>
          <w:vertAlign w:val="superscript"/>
        </w:rPr>
        <w:t>2</w:t>
      </w:r>
      <w:r>
        <w:rPr>
          <w:rFonts w:hint="eastAsia" w:eastAsia="楷体"/>
          <w:color w:val="3016EE"/>
        </w:rPr>
        <w:t>，得到的数值小数位四舍五入，划分为多个受检样本，例如：某个房间或空间面积为340m</w:t>
      </w:r>
      <w:r>
        <w:rPr>
          <w:rFonts w:hint="eastAsia" w:eastAsia="楷体"/>
          <w:color w:val="3016EE"/>
          <w:vertAlign w:val="superscript"/>
        </w:rPr>
        <w:t>2</w:t>
      </w:r>
      <w:r>
        <w:rPr>
          <w:rFonts w:hint="eastAsia" w:eastAsia="楷体"/>
          <w:color w:val="3016EE"/>
        </w:rPr>
        <w:t>，则划分为3个受检样本；某个房间或空间面积为360m</w:t>
      </w:r>
      <w:r>
        <w:rPr>
          <w:rFonts w:hint="eastAsia" w:eastAsia="楷体"/>
          <w:color w:val="3016EE"/>
          <w:vertAlign w:val="superscript"/>
        </w:rPr>
        <w:t>2</w:t>
      </w:r>
      <w:r>
        <w:rPr>
          <w:rFonts w:hint="eastAsia" w:eastAsia="楷体"/>
          <w:color w:val="3016EE"/>
        </w:rPr>
        <w:t>，则划分为4个受检样本。对于公共建筑，不同典型功能的房间或空间，抽检数量不少于2个房间或空间，例如：设置办公室、会议室的公共建筑，办公室抽检不少于2个房间，会议室抽检不少于2个房间。</w:t>
      </w:r>
    </w:p>
    <w:p>
      <w:pPr>
        <w:spacing w:line="360" w:lineRule="auto"/>
        <w:rPr>
          <w:color w:val="000000"/>
          <w:sz w:val="24"/>
        </w:rPr>
      </w:pPr>
      <w:r>
        <w:rPr>
          <w:rFonts w:hint="eastAsia"/>
          <w:b/>
          <w:color w:val="000000"/>
          <w:sz w:val="24"/>
        </w:rPr>
        <w:t>5.</w:t>
      </w:r>
      <w:r>
        <w:rPr>
          <w:b/>
          <w:color w:val="000000"/>
          <w:sz w:val="24"/>
        </w:rPr>
        <w:t>11</w:t>
      </w:r>
      <w:r>
        <w:rPr>
          <w:rFonts w:hint="eastAsia"/>
          <w:b/>
          <w:color w:val="000000"/>
          <w:sz w:val="24"/>
        </w:rPr>
        <w:t>.2</w:t>
      </w:r>
      <w:r>
        <w:rPr>
          <w:rFonts w:hint="eastAsia"/>
          <w:color w:val="000000"/>
          <w:sz w:val="24"/>
        </w:rPr>
        <w:t xml:space="preserve">  室内平均温度、湿度的</w:t>
      </w:r>
      <w:r>
        <w:rPr>
          <w:rFonts w:hint="eastAsia"/>
          <w:color w:val="000000" w:themeColor="text1"/>
          <w:sz w:val="24"/>
          <w14:textFill>
            <w14:solidFill>
              <w14:schemeClr w14:val="tx1"/>
            </w14:solidFill>
          </w14:textFill>
        </w:rPr>
        <w:t>检测方法</w:t>
      </w:r>
      <w:r>
        <w:rPr>
          <w:rFonts w:hint="eastAsia"/>
          <w:color w:val="000000"/>
          <w:sz w:val="24"/>
        </w:rPr>
        <w:t>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color w:val="000000" w:themeColor="text1"/>
          <w:sz w:val="24"/>
          <w14:textFill>
            <w14:solidFill>
              <w14:schemeClr w14:val="tx1"/>
            </w14:solidFill>
          </w14:textFill>
        </w:rPr>
      </w:pPr>
      <w:r>
        <w:rPr>
          <w:rFonts w:hint="eastAsia"/>
          <w:b/>
          <w:color w:val="000000"/>
          <w:sz w:val="24"/>
        </w:rPr>
        <w:t>5.</w:t>
      </w:r>
      <w:r>
        <w:rPr>
          <w:b/>
          <w:color w:val="000000"/>
          <w:sz w:val="24"/>
        </w:rPr>
        <w:t>11</w:t>
      </w:r>
      <w:r>
        <w:rPr>
          <w:rFonts w:hint="eastAsia"/>
          <w:b/>
          <w:color w:val="000000"/>
          <w:sz w:val="24"/>
        </w:rPr>
        <w:t>.2</w:t>
      </w:r>
      <w:r>
        <w:rPr>
          <w:rFonts w:hint="eastAsia"/>
          <w:color w:val="000000"/>
          <w:sz w:val="24"/>
        </w:rPr>
        <w:t xml:space="preserve">  室内平均温度、湿度的</w:t>
      </w:r>
      <w:r>
        <w:rPr>
          <w:rFonts w:hint="eastAsia"/>
          <w:color w:val="000000" w:themeColor="text1"/>
          <w:sz w:val="24"/>
          <w14:textFill>
            <w14:solidFill>
              <w14:schemeClr w14:val="tx1"/>
            </w14:solidFill>
          </w14:textFill>
        </w:rPr>
        <w:t>合格指标与判定方法应符合下列规定：</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 </w:t>
      </w:r>
      <w:r>
        <w:rPr>
          <w:rFonts w:hint="eastAsia"/>
          <w:color w:val="000000"/>
          <w:sz w:val="24"/>
        </w:rPr>
        <w:t>室内平均温度、湿度的检测值应符合设计文件要求，当设计文件无具体要求时，</w:t>
      </w:r>
      <w:r>
        <w:rPr>
          <w:rFonts w:hint="eastAsia"/>
          <w:color w:val="000000" w:themeColor="text1"/>
          <w:sz w:val="24"/>
          <w14:textFill>
            <w14:solidFill>
              <w14:schemeClr w14:val="tx1"/>
            </w14:solidFill>
          </w14:textFill>
        </w:rPr>
        <w:t>冬季室内平均温度不得低于设计计算温度2℃，且不应高于1℃；夏季室内平均温度不得高于设计计算温度2℃，且不应低于1℃。</w:t>
      </w:r>
    </w:p>
    <w:p>
      <w:pPr>
        <w:spacing w:line="360" w:lineRule="auto"/>
        <w:ind w:firstLine="480" w:firstLineChars="200"/>
        <w:rPr>
          <w:color w:val="000000"/>
          <w:sz w:val="24"/>
        </w:rPr>
      </w:pPr>
      <w:r>
        <w:rPr>
          <w:rFonts w:hint="eastAsia"/>
          <w:color w:val="000000" w:themeColor="text1"/>
          <w:sz w:val="24"/>
          <w14:textFill>
            <w14:solidFill>
              <w14:schemeClr w14:val="tx1"/>
            </w14:solidFill>
          </w14:textFill>
        </w:rPr>
        <w:t>2  当检测结果符合本条第1款的规定时，应判定为合格。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室内平均温度、湿度是指同一区域所有测点的平均温、湿度。</w:t>
      </w:r>
    </w:p>
    <w:p>
      <w:pPr>
        <w:spacing w:line="360" w:lineRule="auto"/>
        <w:rPr>
          <w:color w:val="000000"/>
          <w:sz w:val="24"/>
        </w:rPr>
      </w:pPr>
    </w:p>
    <w:p>
      <w:pPr>
        <w:keepNext/>
        <w:keepLines/>
        <w:spacing w:before="150" w:after="150" w:line="360" w:lineRule="auto"/>
        <w:jc w:val="center"/>
        <w:outlineLvl w:val="1"/>
        <w:rPr>
          <w:b/>
          <w:bCs/>
          <w:color w:val="000000"/>
          <w:sz w:val="28"/>
          <w:szCs w:val="32"/>
          <w:lang w:val="zh-CN"/>
        </w:rPr>
      </w:pPr>
      <w:bookmarkStart w:id="47" w:name="_Toc17811163"/>
      <w:bookmarkStart w:id="48" w:name="_Toc16776653"/>
      <w:r>
        <w:rPr>
          <w:b/>
          <w:bCs/>
          <w:color w:val="000000"/>
          <w:sz w:val="28"/>
          <w:szCs w:val="32"/>
          <w:lang w:val="zh-CN"/>
        </w:rPr>
        <w:t>5.12 室内</w:t>
      </w:r>
      <w:r>
        <w:rPr>
          <w:rFonts w:hint="eastAsia"/>
          <w:b/>
          <w:bCs/>
          <w:color w:val="000000"/>
          <w:sz w:val="28"/>
          <w:szCs w:val="32"/>
          <w:lang w:val="zh-CN"/>
        </w:rPr>
        <w:t>空气污染物浓度</w:t>
      </w:r>
      <w:r>
        <w:rPr>
          <w:b/>
          <w:bCs/>
          <w:color w:val="000000"/>
          <w:sz w:val="28"/>
          <w:szCs w:val="32"/>
          <w:lang w:val="zh-CN"/>
        </w:rPr>
        <w:t>检测</w:t>
      </w:r>
      <w:bookmarkEnd w:id="47"/>
      <w:bookmarkEnd w:id="48"/>
    </w:p>
    <w:p>
      <w:pPr>
        <w:spacing w:line="360" w:lineRule="auto"/>
        <w:rPr>
          <w:sz w:val="24"/>
        </w:rPr>
      </w:pPr>
      <w:r>
        <w:rPr>
          <w:sz w:val="24"/>
        </w:rPr>
        <w:t>5</w:t>
      </w:r>
      <w:r>
        <w:rPr>
          <w:rFonts w:hint="eastAsia"/>
          <w:sz w:val="24"/>
        </w:rPr>
        <w:t>.</w:t>
      </w:r>
      <w:r>
        <w:rPr>
          <w:sz w:val="24"/>
        </w:rPr>
        <w:t>12</w:t>
      </w:r>
      <w:r>
        <w:rPr>
          <w:rFonts w:hint="eastAsia"/>
          <w:sz w:val="24"/>
        </w:rPr>
        <w:t>.1  室内空气污染物浓度的检测应以</w:t>
      </w:r>
      <w:r>
        <w:rPr>
          <w:sz w:val="24"/>
        </w:rPr>
        <w:t>房间数量</w:t>
      </w:r>
      <w:r>
        <w:rPr>
          <w:rFonts w:hint="eastAsia"/>
          <w:sz w:val="24"/>
        </w:rPr>
        <w:t>为受检样本数量基数，最小抽样检测数量按本标准表3.0.3规定执行，且均匀分布，并具有代表性。</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室内空气污染物浓度检测包括甲醛、苯、氨、氡和TVOC等参数。室内空气污染物浓度按计数方法检测，最小抽样检测数量应满足本标准表3.0.3的规定。</w:t>
      </w:r>
    </w:p>
    <w:p>
      <w:pPr>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t>5</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12</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2</w:t>
      </w:r>
      <w:r>
        <w:rPr>
          <w:rFonts w:hint="eastAsia"/>
          <w:color w:val="000000" w:themeColor="text1"/>
          <w:sz w:val="24"/>
          <w14:textFill>
            <w14:solidFill>
              <w14:schemeClr w14:val="tx1"/>
            </w14:solidFill>
          </w14:textFill>
        </w:rPr>
        <w:t xml:space="preserve">  室内空气污染物浓度的检测方法应符合现行国家标准《民用建筑工程室内环境污染控制规范》GB50325的规定。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应按现行国家标准《民用建筑工程室内环境污染控制规范》GB50325的规定执行。</w:t>
      </w:r>
    </w:p>
    <w:p>
      <w:pPr>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t>5</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12</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3</w:t>
      </w:r>
      <w:r>
        <w:rPr>
          <w:rFonts w:hint="eastAsia"/>
          <w:color w:val="000000" w:themeColor="text1"/>
          <w:sz w:val="24"/>
          <w14:textFill>
            <w14:solidFill>
              <w14:schemeClr w14:val="tx1"/>
            </w14:solidFill>
          </w14:textFill>
        </w:rPr>
        <w:t xml:space="preserve">  室内空气污染物浓度的合格指标与判定方法应符合下列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室内空气污染物浓度</w:t>
      </w:r>
      <w:r>
        <w:rPr>
          <w:color w:val="000000" w:themeColor="text1"/>
          <w:sz w:val="24"/>
          <w14:textFill>
            <w14:solidFill>
              <w14:schemeClr w14:val="tx1"/>
            </w14:solidFill>
          </w14:textFill>
        </w:rPr>
        <w:t>应符合</w:t>
      </w:r>
      <w:r>
        <w:rPr>
          <w:rFonts w:hint="eastAsia"/>
          <w:color w:val="000000" w:themeColor="text1"/>
          <w:sz w:val="24"/>
          <w14:textFill>
            <w14:solidFill>
              <w14:schemeClr w14:val="tx1"/>
            </w14:solidFill>
          </w14:textFill>
        </w:rPr>
        <w:t>现行国家标准《民用建筑工程室内环境污染控制规范》GB50325的规定。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rPr>
          <w:color w:val="FF0000"/>
          <w:sz w:val="24"/>
        </w:rPr>
      </w:pPr>
    </w:p>
    <w:p>
      <w:pPr>
        <w:keepNext/>
        <w:keepLines/>
        <w:spacing w:before="150" w:after="150" w:line="360" w:lineRule="auto"/>
        <w:jc w:val="center"/>
        <w:outlineLvl w:val="1"/>
        <w:rPr>
          <w:b/>
          <w:bCs/>
          <w:color w:val="000000"/>
          <w:sz w:val="28"/>
          <w:szCs w:val="32"/>
          <w:lang w:val="zh-CN"/>
        </w:rPr>
      </w:pPr>
      <w:bookmarkStart w:id="49" w:name="_Toc16776654"/>
      <w:bookmarkStart w:id="50" w:name="_Toc17811164"/>
      <w:r>
        <w:rPr>
          <w:b/>
          <w:bCs/>
          <w:color w:val="000000"/>
          <w:sz w:val="28"/>
          <w:szCs w:val="32"/>
          <w:lang w:val="zh-CN"/>
        </w:rPr>
        <w:t>5.13 室内</w:t>
      </w:r>
      <w:r>
        <w:rPr>
          <w:rFonts w:hint="eastAsia"/>
          <w:b/>
          <w:bCs/>
          <w:color w:val="000000"/>
          <w:sz w:val="28"/>
          <w:szCs w:val="32"/>
          <w:lang w:val="zh-CN"/>
        </w:rPr>
        <w:t>CO</w:t>
      </w:r>
      <w:r>
        <w:rPr>
          <w:rFonts w:hint="eastAsia"/>
          <w:b/>
          <w:bCs/>
          <w:color w:val="000000"/>
          <w:sz w:val="28"/>
          <w:szCs w:val="32"/>
          <w:vertAlign w:val="subscript"/>
          <w:lang w:val="zh-CN"/>
        </w:rPr>
        <w:t>2</w:t>
      </w:r>
      <w:r>
        <w:rPr>
          <w:rFonts w:hint="eastAsia"/>
          <w:b/>
          <w:bCs/>
          <w:color w:val="000000"/>
          <w:sz w:val="28"/>
          <w:szCs w:val="32"/>
          <w:lang w:val="zh-CN"/>
        </w:rPr>
        <w:t>浓度</w:t>
      </w:r>
      <w:r>
        <w:rPr>
          <w:b/>
          <w:bCs/>
          <w:color w:val="000000"/>
          <w:sz w:val="28"/>
          <w:szCs w:val="32"/>
          <w:lang w:val="zh-CN"/>
        </w:rPr>
        <w:t>检测</w:t>
      </w:r>
      <w:bookmarkEnd w:id="49"/>
      <w:bookmarkEnd w:id="50"/>
    </w:p>
    <w:p>
      <w:pPr>
        <w:spacing w:line="360" w:lineRule="auto"/>
        <w:rPr>
          <w:sz w:val="24"/>
        </w:rPr>
      </w:pPr>
      <w:r>
        <w:rPr>
          <w:sz w:val="24"/>
        </w:rPr>
        <w:t>5</w:t>
      </w:r>
      <w:r>
        <w:rPr>
          <w:rFonts w:hint="eastAsia"/>
          <w:sz w:val="24"/>
        </w:rPr>
        <w:t>.</w:t>
      </w:r>
      <w:r>
        <w:rPr>
          <w:sz w:val="24"/>
        </w:rPr>
        <w:t>12</w:t>
      </w:r>
      <w:r>
        <w:rPr>
          <w:rFonts w:hint="eastAsia"/>
          <w:sz w:val="24"/>
        </w:rPr>
        <w:t xml:space="preserve">.1  </w:t>
      </w:r>
      <w:r>
        <w:rPr>
          <w:sz w:val="24"/>
        </w:rPr>
        <w:t>室内</w:t>
      </w:r>
      <w:r>
        <w:rPr>
          <w:rFonts w:hint="eastAsia"/>
          <w:sz w:val="24"/>
        </w:rPr>
        <w:t>CO</w:t>
      </w:r>
      <w:r>
        <w:rPr>
          <w:rFonts w:hint="eastAsia"/>
          <w:sz w:val="24"/>
          <w:vertAlign w:val="subscript"/>
        </w:rPr>
        <w:t>2</w:t>
      </w:r>
      <w:r>
        <w:rPr>
          <w:rFonts w:hint="eastAsia"/>
          <w:sz w:val="24"/>
        </w:rPr>
        <w:t>浓度的检测应以</w:t>
      </w:r>
      <w:r>
        <w:rPr>
          <w:sz w:val="24"/>
        </w:rPr>
        <w:t>房间数量</w:t>
      </w:r>
      <w:r>
        <w:rPr>
          <w:rFonts w:hint="eastAsia"/>
          <w:sz w:val="24"/>
        </w:rPr>
        <w:t>为受检样本数量基数，最小抽样检测数量按本标准表3.0.3规定执行，且均匀分布，并具有代表性。</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eastAsia="楷体"/>
          <w:color w:val="3016EE"/>
        </w:rPr>
        <w:t>室内</w:t>
      </w:r>
      <w:r>
        <w:rPr>
          <w:rFonts w:hint="eastAsia" w:eastAsia="楷体"/>
          <w:color w:val="3016EE"/>
        </w:rPr>
        <w:t>CO</w:t>
      </w:r>
      <w:r>
        <w:rPr>
          <w:rFonts w:hint="eastAsia" w:eastAsia="楷体"/>
          <w:color w:val="3016EE"/>
          <w:vertAlign w:val="subscript"/>
        </w:rPr>
        <w:t>2</w:t>
      </w:r>
      <w:r>
        <w:rPr>
          <w:rFonts w:hint="eastAsia" w:eastAsia="楷体"/>
          <w:color w:val="3016EE"/>
        </w:rPr>
        <w:t>浓度按计数方法检测，最小抽样检测数量应满足本标准表3.0.3的规定。</w:t>
      </w:r>
    </w:p>
    <w:p>
      <w:pPr>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t>5</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12</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2</w:t>
      </w:r>
      <w:r>
        <w:rPr>
          <w:rFonts w:hint="eastAsia"/>
          <w:color w:val="000000" w:themeColor="text1"/>
          <w:sz w:val="24"/>
          <w14:textFill>
            <w14:solidFill>
              <w14:schemeClr w14:val="tx1"/>
            </w14:solidFill>
          </w14:textFill>
        </w:rPr>
        <w:t xml:space="preserve">  </w:t>
      </w:r>
      <w:r>
        <w:rPr>
          <w:sz w:val="24"/>
        </w:rPr>
        <w:t>室内</w:t>
      </w:r>
      <w:r>
        <w:rPr>
          <w:rFonts w:hint="eastAsia"/>
          <w:sz w:val="24"/>
        </w:rPr>
        <w:t>CO</w:t>
      </w:r>
      <w:r>
        <w:rPr>
          <w:rFonts w:hint="eastAsia"/>
          <w:sz w:val="24"/>
          <w:vertAlign w:val="subscript"/>
        </w:rPr>
        <w:t>2</w:t>
      </w:r>
      <w:r>
        <w:rPr>
          <w:rFonts w:hint="eastAsia"/>
          <w:sz w:val="24"/>
        </w:rPr>
        <w:t>浓度</w:t>
      </w:r>
      <w:r>
        <w:rPr>
          <w:rFonts w:hint="eastAsia"/>
          <w:color w:val="000000" w:themeColor="text1"/>
          <w:sz w:val="24"/>
          <w14:textFill>
            <w14:solidFill>
              <w14:schemeClr w14:val="tx1"/>
            </w14:solidFill>
          </w14:textFill>
        </w:rPr>
        <w:t>的检测方法应符合现行国家标准《室内空气质量标准》GB/T 18883的规定。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color w:val="000000" w:themeColor="text1"/>
          <w:sz w:val="24"/>
          <w14:textFill>
            <w14:solidFill>
              <w14:schemeClr w14:val="tx1"/>
            </w14:solidFill>
          </w14:textFill>
        </w:rPr>
      </w:pPr>
      <w:r>
        <w:rPr>
          <w:rFonts w:hint="eastAsia" w:eastAsia="楷体"/>
          <w:color w:val="3016EE"/>
        </w:rPr>
        <w:t>应按现行国家标准《室内空气质量标准》GB/T 18883的规定执行。</w:t>
      </w:r>
    </w:p>
    <w:p>
      <w:pPr>
        <w:spacing w:line="360" w:lineRule="auto"/>
        <w:rPr>
          <w:color w:val="000000" w:themeColor="text1"/>
          <w:sz w:val="24"/>
          <w14:textFill>
            <w14:solidFill>
              <w14:schemeClr w14:val="tx1"/>
            </w14:solidFill>
          </w14:textFill>
        </w:rPr>
      </w:pPr>
      <w:r>
        <w:rPr>
          <w:color w:val="000000" w:themeColor="text1"/>
          <w:sz w:val="24"/>
          <w14:textFill>
            <w14:solidFill>
              <w14:schemeClr w14:val="tx1"/>
            </w14:solidFill>
          </w14:textFill>
        </w:rPr>
        <w:t>5</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12</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3</w:t>
      </w:r>
      <w:r>
        <w:rPr>
          <w:rFonts w:hint="eastAsia"/>
          <w:color w:val="000000" w:themeColor="text1"/>
          <w:sz w:val="24"/>
          <w14:textFill>
            <w14:solidFill>
              <w14:schemeClr w14:val="tx1"/>
            </w14:solidFill>
          </w14:textFill>
        </w:rPr>
        <w:t xml:space="preserve">  </w:t>
      </w:r>
      <w:r>
        <w:rPr>
          <w:sz w:val="24"/>
        </w:rPr>
        <w:t>室内</w:t>
      </w:r>
      <w:r>
        <w:rPr>
          <w:rFonts w:hint="eastAsia"/>
          <w:sz w:val="24"/>
        </w:rPr>
        <w:t>二氧化碳浓度</w:t>
      </w:r>
      <w:r>
        <w:rPr>
          <w:rFonts w:hint="eastAsia"/>
          <w:color w:val="000000" w:themeColor="text1"/>
          <w:sz w:val="24"/>
          <w14:textFill>
            <w14:solidFill>
              <w14:schemeClr w14:val="tx1"/>
            </w14:solidFill>
          </w14:textFill>
        </w:rPr>
        <w:t>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1</w:t>
      </w:r>
      <w:r>
        <w:rPr>
          <w:sz w:val="24"/>
        </w:rPr>
        <w:t>室内</w:t>
      </w:r>
      <w:r>
        <w:rPr>
          <w:rFonts w:hint="eastAsia"/>
          <w:sz w:val="24"/>
        </w:rPr>
        <w:t>CO</w:t>
      </w:r>
      <w:r>
        <w:rPr>
          <w:rFonts w:hint="eastAsia"/>
          <w:sz w:val="24"/>
          <w:vertAlign w:val="subscript"/>
        </w:rPr>
        <w:t>2</w:t>
      </w:r>
      <w:r>
        <w:rPr>
          <w:rFonts w:hint="eastAsia"/>
          <w:sz w:val="24"/>
        </w:rPr>
        <w:t>浓度</w:t>
      </w:r>
      <w:r>
        <w:rPr>
          <w:color w:val="000000" w:themeColor="text1"/>
          <w:sz w:val="24"/>
          <w14:textFill>
            <w14:solidFill>
              <w14:schemeClr w14:val="tx1"/>
            </w14:solidFill>
          </w14:textFill>
        </w:rPr>
        <w:t>应符合</w:t>
      </w:r>
      <w:r>
        <w:rPr>
          <w:rFonts w:hint="eastAsia"/>
          <w:color w:val="000000" w:themeColor="text1"/>
          <w:sz w:val="24"/>
          <w14:textFill>
            <w14:solidFill>
              <w14:schemeClr w14:val="tx1"/>
            </w14:solidFill>
          </w14:textFill>
        </w:rPr>
        <w:t>现行国家标准《室内空气质量标准》GB/T 18883的规定。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
      <w:pPr>
        <w:pStyle w:val="3"/>
      </w:pPr>
      <w:bookmarkStart w:id="51" w:name="_Toc16776655"/>
      <w:bookmarkStart w:id="52" w:name="_Toc17811165"/>
      <w:r>
        <w:rPr>
          <w:rFonts w:ascii="Times New Roman" w:hAnsi="Times New Roman" w:cs="Times New Roman"/>
          <w:color w:val="000000"/>
          <w:lang w:val="zh-CN"/>
        </w:rPr>
        <w:t>5.14 室内</w:t>
      </w:r>
      <w:r>
        <w:rPr>
          <w:rFonts w:hint="eastAsia"/>
        </w:rPr>
        <w:t>可吸入颗粒物</w:t>
      </w:r>
      <w:r>
        <w:t>检测</w:t>
      </w:r>
      <w:bookmarkEnd w:id="51"/>
      <w:bookmarkEnd w:id="52"/>
    </w:p>
    <w:p>
      <w:pPr>
        <w:spacing w:line="360" w:lineRule="auto"/>
        <w:rPr>
          <w:sz w:val="24"/>
        </w:rPr>
      </w:pPr>
      <w:r>
        <w:rPr>
          <w:b/>
          <w:sz w:val="24"/>
        </w:rPr>
        <w:t>5</w:t>
      </w:r>
      <w:r>
        <w:rPr>
          <w:rFonts w:hint="eastAsia"/>
          <w:b/>
          <w:sz w:val="24"/>
        </w:rPr>
        <w:t>.</w:t>
      </w:r>
      <w:r>
        <w:rPr>
          <w:b/>
          <w:sz w:val="24"/>
        </w:rPr>
        <w:t>14.</w:t>
      </w:r>
      <w:r>
        <w:rPr>
          <w:rFonts w:hint="eastAsia"/>
          <w:b/>
          <w:sz w:val="24"/>
        </w:rPr>
        <w:t xml:space="preserve">1 </w:t>
      </w:r>
      <w:r>
        <w:rPr>
          <w:rFonts w:hint="eastAsia"/>
          <w:sz w:val="24"/>
        </w:rPr>
        <w:t xml:space="preserve"> 室内可吸入颗粒物的检测应以</w:t>
      </w:r>
      <w:r>
        <w:rPr>
          <w:sz w:val="24"/>
        </w:rPr>
        <w:t>房间数量为受检样本数量基数，</w:t>
      </w:r>
      <w:r>
        <w:rPr>
          <w:rFonts w:hint="eastAsia"/>
          <w:sz w:val="24"/>
        </w:rPr>
        <w:t>最小抽样检测数量按本标准表3.0.3规定执行。</w:t>
      </w:r>
    </w:p>
    <w:p>
      <w:pPr>
        <w:spacing w:line="360" w:lineRule="auto"/>
        <w:rPr>
          <w:rFonts w:eastAsia="楷体"/>
          <w:color w:val="3016EE"/>
        </w:rPr>
      </w:pPr>
      <w:r>
        <w:rPr>
          <w:rFonts w:hint="eastAsia" w:eastAsia="楷体"/>
          <w:color w:val="3016EE"/>
        </w:rPr>
        <w:t>【条文说明】</w:t>
      </w:r>
    </w:p>
    <w:p>
      <w:pPr>
        <w:spacing w:line="360" w:lineRule="auto"/>
        <w:ind w:firstLine="630" w:firstLineChars="300"/>
        <w:rPr>
          <w:rFonts w:eastAsia="楷体"/>
          <w:color w:val="3016EE"/>
        </w:rPr>
      </w:pPr>
      <w:r>
        <w:rPr>
          <w:rFonts w:hint="eastAsia" w:eastAsia="楷体"/>
          <w:color w:val="3016EE"/>
        </w:rPr>
        <w:t>室内可吸入颗粒物</w:t>
      </w:r>
      <w:r>
        <w:rPr>
          <w:rFonts w:eastAsia="楷体"/>
          <w:color w:val="3016EE"/>
        </w:rPr>
        <w:t>一般包括</w:t>
      </w:r>
      <w:r>
        <w:rPr>
          <w:rFonts w:hint="eastAsia" w:eastAsia="楷体"/>
          <w:color w:val="3016EE"/>
        </w:rPr>
        <w:t>PM2.5和PM10，室内可吸入颗粒物按计数方法检测，最小抽样检测数量应满足本标准表3.0.3的规定。</w:t>
      </w:r>
    </w:p>
    <w:p>
      <w:pPr>
        <w:spacing w:line="360" w:lineRule="auto"/>
        <w:rPr>
          <w:color w:val="000000" w:themeColor="text1"/>
          <w:sz w:val="24"/>
          <w14:textFill>
            <w14:solidFill>
              <w14:schemeClr w14:val="tx1"/>
            </w14:solidFill>
          </w14:textFill>
        </w:rPr>
      </w:pPr>
      <w:r>
        <w:rPr>
          <w:b/>
          <w:color w:val="000000" w:themeColor="text1"/>
          <w:sz w:val="24"/>
          <w14:textFill>
            <w14:solidFill>
              <w14:schemeClr w14:val="tx1"/>
            </w14:solidFill>
          </w14:textFill>
        </w:rPr>
        <w:t>5</w:t>
      </w:r>
      <w:r>
        <w:rPr>
          <w:rFonts w:hint="eastAsia"/>
          <w:b/>
          <w:color w:val="000000" w:themeColor="text1"/>
          <w:sz w:val="24"/>
          <w14:textFill>
            <w14:solidFill>
              <w14:schemeClr w14:val="tx1"/>
            </w14:solidFill>
          </w14:textFill>
        </w:rPr>
        <w:t>.</w:t>
      </w:r>
      <w:r>
        <w:rPr>
          <w:b/>
          <w:color w:val="000000" w:themeColor="text1"/>
          <w:sz w:val="24"/>
          <w14:textFill>
            <w14:solidFill>
              <w14:schemeClr w14:val="tx1"/>
            </w14:solidFill>
          </w14:textFill>
        </w:rPr>
        <w:t>14</w:t>
      </w:r>
      <w:r>
        <w:rPr>
          <w:rFonts w:hint="eastAsia"/>
          <w:b/>
          <w:color w:val="000000" w:themeColor="text1"/>
          <w:sz w:val="24"/>
          <w14:textFill>
            <w14:solidFill>
              <w14:schemeClr w14:val="tx1"/>
            </w14:solidFill>
          </w14:textFill>
        </w:rPr>
        <w:t>.</w:t>
      </w:r>
      <w:r>
        <w:rPr>
          <w:b/>
          <w:color w:val="000000" w:themeColor="text1"/>
          <w:sz w:val="24"/>
          <w14:textFill>
            <w14:solidFill>
              <w14:schemeClr w14:val="tx1"/>
            </w14:solidFill>
          </w14:textFill>
        </w:rPr>
        <w:t>2</w:t>
      </w:r>
      <w:r>
        <w:rPr>
          <w:rFonts w:hint="eastAsia"/>
          <w:color w:val="000000" w:themeColor="text1"/>
          <w:sz w:val="24"/>
          <w14:textFill>
            <w14:solidFill>
              <w14:schemeClr w14:val="tx1"/>
            </w14:solidFill>
          </w14:textFill>
        </w:rPr>
        <w:t xml:space="preserve">  室内可吸入颗粒物（PM</w:t>
      </w:r>
      <w:r>
        <w:rPr>
          <w:rFonts w:hint="eastAsia"/>
          <w:color w:val="000000" w:themeColor="text1"/>
          <w:sz w:val="24"/>
          <w:vertAlign w:val="subscript"/>
          <w14:textFill>
            <w14:solidFill>
              <w14:schemeClr w14:val="tx1"/>
            </w14:solidFill>
          </w14:textFill>
        </w:rPr>
        <w:t>2.5</w:t>
      </w:r>
      <w:r>
        <w:rPr>
          <w:rFonts w:hint="eastAsia"/>
          <w:color w:val="000000" w:themeColor="text1"/>
          <w:sz w:val="24"/>
          <w14:textFill>
            <w14:solidFill>
              <w14:schemeClr w14:val="tx1"/>
            </w14:solidFill>
          </w14:textFill>
        </w:rPr>
        <w:t>、PM</w:t>
      </w:r>
      <w:r>
        <w:rPr>
          <w:rFonts w:hint="eastAsia"/>
          <w:color w:val="000000" w:themeColor="text1"/>
          <w:sz w:val="24"/>
          <w:vertAlign w:val="subscript"/>
          <w14:textFill>
            <w14:solidFill>
              <w14:schemeClr w14:val="tx1"/>
            </w14:solidFill>
          </w14:textFill>
        </w:rPr>
        <w:t>10</w:t>
      </w:r>
      <w:r>
        <w:rPr>
          <w:rFonts w:hint="eastAsia"/>
          <w:color w:val="000000" w:themeColor="text1"/>
          <w:sz w:val="24"/>
          <w14:textFill>
            <w14:solidFill>
              <w14:schemeClr w14:val="tx1"/>
            </w14:solidFill>
          </w14:textFill>
        </w:rPr>
        <w:t>）的检测方法和判定方法应符合现行行业标准《建筑通风效果测试与评价标准》JGJ</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T 309的规定。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color w:val="000000" w:themeColor="text1"/>
          <w:sz w:val="24"/>
          <w14:textFill>
            <w14:solidFill>
              <w14:schemeClr w14:val="tx1"/>
            </w14:solidFill>
          </w14:textFill>
        </w:rPr>
      </w:pPr>
      <w:r>
        <w:rPr>
          <w:rFonts w:hint="eastAsia" w:eastAsia="楷体"/>
          <w:color w:val="3016EE"/>
        </w:rPr>
        <w:t>应按现行行业标准《建筑通风效果测试与评价标准》JGJ/T 309的规定执行。</w:t>
      </w:r>
    </w:p>
    <w:p>
      <w:pPr>
        <w:spacing w:line="360" w:lineRule="auto"/>
        <w:rPr>
          <w:color w:val="000000" w:themeColor="text1"/>
          <w:sz w:val="24"/>
          <w14:textFill>
            <w14:solidFill>
              <w14:schemeClr w14:val="tx1"/>
            </w14:solidFill>
          </w14:textFill>
        </w:rPr>
      </w:pPr>
    </w:p>
    <w:p>
      <w:pPr>
        <w:spacing w:line="360" w:lineRule="auto"/>
        <w:rPr>
          <w:color w:val="000000" w:themeColor="text1"/>
          <w14:textFill>
            <w14:solidFill>
              <w14:schemeClr w14:val="tx1"/>
            </w14:solidFill>
          </w14:textFill>
        </w:rPr>
        <w:sectPr>
          <w:pgSz w:w="11906" w:h="16838"/>
          <w:pgMar w:top="1440" w:right="1800" w:bottom="1440" w:left="1800" w:header="851" w:footer="992" w:gutter="0"/>
          <w:cols w:space="425" w:num="1"/>
          <w:docGrid w:type="lines" w:linePitch="312" w:charSpace="0"/>
        </w:sectPr>
      </w:pPr>
    </w:p>
    <w:p>
      <w:pPr>
        <w:pStyle w:val="2"/>
      </w:pPr>
      <w:bookmarkStart w:id="53" w:name="_Toc17811166"/>
      <w:r>
        <w:t>6</w:t>
      </w:r>
      <w:r>
        <w:rPr>
          <w:rFonts w:hint="eastAsia"/>
        </w:rPr>
        <w:t xml:space="preserve">  外围护结构</w:t>
      </w:r>
      <w:r>
        <w:t>性能</w:t>
      </w:r>
      <w:r>
        <w:rPr>
          <w:rFonts w:hint="eastAsia"/>
        </w:rPr>
        <w:t>检测</w:t>
      </w:r>
      <w:bookmarkEnd w:id="53"/>
    </w:p>
    <w:p>
      <w:pPr>
        <w:pStyle w:val="3"/>
        <w:rPr>
          <w:rFonts w:ascii="Times New Roman" w:hAnsi="Times New Roman" w:cs="Times New Roman"/>
          <w:color w:val="000000" w:themeColor="text1"/>
          <w:lang w:val="zh-CN"/>
          <w14:textFill>
            <w14:solidFill>
              <w14:schemeClr w14:val="tx1"/>
            </w14:solidFill>
          </w14:textFill>
        </w:rPr>
      </w:pPr>
      <w:bookmarkStart w:id="54" w:name="_Toc16776657"/>
      <w:bookmarkStart w:id="55" w:name="_Toc17811167"/>
      <w:bookmarkStart w:id="56" w:name="_Toc530472480"/>
      <w:r>
        <w:rPr>
          <w:rFonts w:ascii="Times New Roman" w:hAnsi="Times New Roman" w:cs="Times New Roman"/>
          <w:color w:val="000000" w:themeColor="text1"/>
          <w:lang w:val="zh-CN"/>
          <w14:textFill>
            <w14:solidFill>
              <w14:schemeClr w14:val="tx1"/>
            </w14:solidFill>
          </w14:textFill>
        </w:rPr>
        <w:t>6.1  一般规定</w:t>
      </w:r>
      <w:bookmarkEnd w:id="54"/>
      <w:bookmarkEnd w:id="55"/>
    </w:p>
    <w:p>
      <w:pPr>
        <w:spacing w:line="360" w:lineRule="auto"/>
        <w:rPr>
          <w:color w:val="000000" w:themeColor="text1"/>
          <w:sz w:val="24"/>
          <w14:textFill>
            <w14:solidFill>
              <w14:schemeClr w14:val="tx1"/>
            </w14:solidFill>
          </w14:textFill>
        </w:rPr>
      </w:pPr>
      <w:r>
        <w:rPr>
          <w:rFonts w:hint="eastAsia"/>
          <w:b/>
          <w:sz w:val="24"/>
        </w:rPr>
        <w:t xml:space="preserve">6.1.1  </w:t>
      </w:r>
      <w:r>
        <w:rPr>
          <w:rFonts w:hint="eastAsia"/>
          <w:sz w:val="24"/>
        </w:rPr>
        <w:t>绿色建筑外</w:t>
      </w:r>
      <w:r>
        <w:rPr>
          <w:rFonts w:hint="eastAsia"/>
          <w:color w:val="000000" w:themeColor="text1"/>
          <w:sz w:val="24"/>
          <w14:textFill>
            <w14:solidFill>
              <w14:schemeClr w14:val="tx1"/>
            </w14:solidFill>
          </w14:textFill>
        </w:rPr>
        <w:t>围护结构性能检测项目包括外围护结构传热系数、外围护结构热桥部位内表面温度、外围护结构隔热性能、外围护结构热工缺陷、外围护结构遮阳性能、外窗气密性能、透明幕墙气密性能、中空玻璃密封性能、玻璃</w:t>
      </w:r>
      <w:r>
        <w:rPr>
          <w:color w:val="000000" w:themeColor="text1"/>
          <w:sz w:val="24"/>
          <w14:textFill>
            <w14:solidFill>
              <w14:schemeClr w14:val="tx1"/>
            </w14:solidFill>
          </w14:textFill>
        </w:rPr>
        <w:t>光学热工性能</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保温板粘贴面积比</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保温板与基层的拉伸粘</w:t>
      </w:r>
      <w:r>
        <w:rPr>
          <w:rFonts w:hint="eastAsia"/>
          <w:color w:val="000000" w:themeColor="text1"/>
          <w:sz w:val="24"/>
          <w14:textFill>
            <w14:solidFill>
              <w14:schemeClr w14:val="tx1"/>
            </w14:solidFill>
          </w14:textFill>
        </w:rPr>
        <w:t>结</w:t>
      </w:r>
      <w:r>
        <w:rPr>
          <w:color w:val="000000" w:themeColor="text1"/>
          <w:sz w:val="24"/>
          <w14:textFill>
            <w14:solidFill>
              <w14:schemeClr w14:val="tx1"/>
            </w14:solidFill>
          </w14:textFill>
        </w:rPr>
        <w:t>强度</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保温砂浆同条件养护</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外墙</w:t>
      </w:r>
      <w:r>
        <w:rPr>
          <w:rFonts w:hint="eastAsia"/>
          <w:color w:val="000000" w:themeColor="text1"/>
          <w:sz w:val="24"/>
          <w14:textFill>
            <w14:solidFill>
              <w14:schemeClr w14:val="tx1"/>
            </w14:solidFill>
          </w14:textFill>
        </w:rPr>
        <w:t>保温层厚度等检测。</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本条列举了绿色建筑围护结构性能检测涉及的检测项目。</w:t>
      </w:r>
    </w:p>
    <w:p>
      <w:pPr>
        <w:spacing w:line="360" w:lineRule="auto"/>
        <w:rPr>
          <w:color w:val="000000" w:themeColor="text1"/>
          <w:sz w:val="24"/>
          <w14:textFill>
            <w14:solidFill>
              <w14:schemeClr w14:val="tx1"/>
            </w14:solidFill>
          </w14:textFill>
        </w:rPr>
      </w:pPr>
      <w:r>
        <w:rPr>
          <w:rFonts w:hint="eastAsia"/>
          <w:b/>
          <w:sz w:val="24"/>
        </w:rPr>
        <w:t xml:space="preserve">6.1.2  </w:t>
      </w:r>
      <w:r>
        <w:rPr>
          <w:rFonts w:hint="eastAsia"/>
          <w:color w:val="000000" w:themeColor="text1"/>
          <w:sz w:val="24"/>
          <w14:textFill>
            <w14:solidFill>
              <w14:schemeClr w14:val="tx1"/>
            </w14:solidFill>
          </w14:textFill>
        </w:rPr>
        <w:t>当进行绿色建筑外围护结构性能检测时，委托方宜提供工程竣工相关文件和技术资料。</w:t>
      </w:r>
    </w:p>
    <w:p>
      <w:pPr>
        <w:spacing w:line="360" w:lineRule="auto"/>
        <w:ind w:firstLine="480" w:firstLineChars="200"/>
        <w:rPr>
          <w:color w:val="000000" w:themeColor="text1"/>
          <w:sz w:val="24"/>
          <w14:textFill>
            <w14:solidFill>
              <w14:schemeClr w14:val="tx1"/>
            </w14:solidFill>
          </w14:textFill>
        </w:rPr>
      </w:pPr>
    </w:p>
    <w:p>
      <w:pPr>
        <w:pStyle w:val="3"/>
        <w:rPr>
          <w:rFonts w:ascii="Times New Roman" w:hAnsi="Times New Roman" w:cs="Times New Roman"/>
          <w:color w:val="000000" w:themeColor="text1"/>
          <w:lang w:val="zh-CN"/>
          <w14:textFill>
            <w14:solidFill>
              <w14:schemeClr w14:val="tx1"/>
            </w14:solidFill>
          </w14:textFill>
        </w:rPr>
      </w:pPr>
      <w:bookmarkStart w:id="57" w:name="_Toc16776658"/>
      <w:bookmarkStart w:id="58" w:name="_Toc17811168"/>
      <w:r>
        <w:rPr>
          <w:rFonts w:ascii="Times New Roman" w:hAnsi="Times New Roman" w:cs="Times New Roman"/>
          <w:color w:val="000000" w:themeColor="text1"/>
          <w:lang w:val="zh-CN"/>
          <w14:textFill>
            <w14:solidFill>
              <w14:schemeClr w14:val="tx1"/>
            </w14:solidFill>
          </w14:textFill>
        </w:rPr>
        <w:t xml:space="preserve">6.2  </w:t>
      </w:r>
      <w:r>
        <w:rPr>
          <w:rFonts w:hint="eastAsia" w:ascii="Times New Roman" w:hAnsi="Times New Roman" w:cs="Times New Roman"/>
          <w:color w:val="000000" w:themeColor="text1"/>
          <w:lang w:val="zh-CN"/>
          <w14:textFill>
            <w14:solidFill>
              <w14:schemeClr w14:val="tx1"/>
            </w14:solidFill>
          </w14:textFill>
        </w:rPr>
        <w:t>外</w:t>
      </w:r>
      <w:r>
        <w:rPr>
          <w:rFonts w:ascii="Times New Roman" w:hAnsi="Times New Roman" w:cs="Times New Roman"/>
          <w:color w:val="000000" w:themeColor="text1"/>
          <w:lang w:val="zh-CN"/>
          <w14:textFill>
            <w14:solidFill>
              <w14:schemeClr w14:val="tx1"/>
            </w14:solidFill>
          </w14:textFill>
        </w:rPr>
        <w:t>围护结构传热系数检测</w:t>
      </w:r>
      <w:bookmarkEnd w:id="57"/>
      <w:bookmarkEnd w:id="58"/>
    </w:p>
    <w:p>
      <w:pPr>
        <w:spacing w:line="360" w:lineRule="auto"/>
        <w:rPr>
          <w:color w:val="000000" w:themeColor="text1"/>
          <w:sz w:val="24"/>
          <w14:textFill>
            <w14:solidFill>
              <w14:schemeClr w14:val="tx1"/>
            </w14:solidFill>
          </w14:textFill>
        </w:rPr>
      </w:pPr>
      <w:r>
        <w:rPr>
          <w:rFonts w:hint="eastAsia"/>
          <w:b/>
          <w:sz w:val="24"/>
        </w:rPr>
        <w:t xml:space="preserve">6.2.1  </w:t>
      </w:r>
      <w:r>
        <w:rPr>
          <w:rFonts w:hint="eastAsia"/>
          <w:color w:val="000000" w:themeColor="text1"/>
          <w:sz w:val="24"/>
          <w14:textFill>
            <w14:solidFill>
              <w14:schemeClr w14:val="tx1"/>
            </w14:solidFill>
          </w14:textFill>
        </w:rPr>
        <w:t>外围护结构传热系数现场检测的检测数量、检测方法和判定方法应符合现行行业标准《公共建筑节能检测标准》JGJ/T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color w:val="000000" w:themeColor="text1"/>
          <w:sz w:val="24"/>
          <w14:textFill>
            <w14:solidFill>
              <w14:schemeClr w14:val="tx1"/>
            </w14:solidFill>
          </w14:textFill>
        </w:rPr>
      </w:pPr>
    </w:p>
    <w:p>
      <w:pPr>
        <w:pStyle w:val="3"/>
        <w:rPr>
          <w:rFonts w:ascii="Times New Roman" w:hAnsi="Times New Roman" w:cs="Times New Roman"/>
          <w:color w:val="000000" w:themeColor="text1"/>
          <w:lang w:val="zh-CN"/>
          <w14:textFill>
            <w14:solidFill>
              <w14:schemeClr w14:val="tx1"/>
            </w14:solidFill>
          </w14:textFill>
        </w:rPr>
      </w:pPr>
      <w:bookmarkStart w:id="59" w:name="_Toc16776659"/>
      <w:bookmarkStart w:id="60" w:name="_Toc17811169"/>
      <w:r>
        <w:rPr>
          <w:rFonts w:ascii="Times New Roman" w:hAnsi="Times New Roman" w:cs="Times New Roman"/>
          <w:color w:val="000000" w:themeColor="text1"/>
          <w:lang w:val="zh-CN"/>
          <w14:textFill>
            <w14:solidFill>
              <w14:schemeClr w14:val="tx1"/>
            </w14:solidFill>
          </w14:textFill>
        </w:rPr>
        <w:t>6.</w:t>
      </w:r>
      <w:r>
        <w:rPr>
          <w:rFonts w:hint="eastAsia" w:ascii="Times New Roman" w:hAnsi="Times New Roman" w:cs="Times New Roman"/>
          <w:color w:val="000000" w:themeColor="text1"/>
          <w:lang w:val="zh-CN"/>
          <w14:textFill>
            <w14:solidFill>
              <w14:schemeClr w14:val="tx1"/>
            </w14:solidFill>
          </w14:textFill>
        </w:rPr>
        <w:t>3</w:t>
      </w:r>
      <w:r>
        <w:rPr>
          <w:rFonts w:ascii="Times New Roman" w:hAnsi="Times New Roman" w:cs="Times New Roman"/>
          <w:color w:val="000000" w:themeColor="text1"/>
          <w:lang w:val="zh-CN"/>
          <w14:textFill>
            <w14:solidFill>
              <w14:schemeClr w14:val="tx1"/>
            </w14:solidFill>
          </w14:textFill>
        </w:rPr>
        <w:t xml:space="preserve">  </w:t>
      </w:r>
      <w:r>
        <w:rPr>
          <w:rFonts w:hint="eastAsia" w:ascii="Times New Roman" w:hAnsi="Times New Roman" w:cs="Times New Roman"/>
          <w:color w:val="000000" w:themeColor="text1"/>
          <w:lang w:val="zh-CN"/>
          <w14:textFill>
            <w14:solidFill>
              <w14:schemeClr w14:val="tx1"/>
            </w14:solidFill>
          </w14:textFill>
        </w:rPr>
        <w:t>外</w:t>
      </w:r>
      <w:r>
        <w:rPr>
          <w:rFonts w:ascii="Times New Roman" w:hAnsi="Times New Roman" w:cs="Times New Roman"/>
          <w:color w:val="000000" w:themeColor="text1"/>
          <w:lang w:val="zh-CN"/>
          <w14:textFill>
            <w14:solidFill>
              <w14:schemeClr w14:val="tx1"/>
            </w14:solidFill>
          </w14:textFill>
        </w:rPr>
        <w:t>围护结构</w:t>
      </w:r>
      <w:r>
        <w:rPr>
          <w:rFonts w:hint="eastAsia" w:ascii="Times New Roman" w:hAnsi="Times New Roman" w:cs="Times New Roman"/>
          <w:color w:val="000000" w:themeColor="text1"/>
          <w:lang w:val="zh-CN"/>
          <w14:textFill>
            <w14:solidFill>
              <w14:schemeClr w14:val="tx1"/>
            </w14:solidFill>
          </w14:textFill>
        </w:rPr>
        <w:t>热桥部位内表面温度</w:t>
      </w:r>
      <w:r>
        <w:rPr>
          <w:rFonts w:ascii="Times New Roman" w:hAnsi="Times New Roman" w:cs="Times New Roman"/>
          <w:color w:val="000000" w:themeColor="text1"/>
          <w:lang w:val="zh-CN"/>
          <w14:textFill>
            <w14:solidFill>
              <w14:schemeClr w14:val="tx1"/>
            </w14:solidFill>
          </w14:textFill>
        </w:rPr>
        <w:t>检测</w:t>
      </w:r>
      <w:bookmarkEnd w:id="59"/>
      <w:bookmarkEnd w:id="60"/>
    </w:p>
    <w:p>
      <w:pPr>
        <w:spacing w:line="360" w:lineRule="auto"/>
        <w:rPr>
          <w:color w:val="000000" w:themeColor="text1"/>
          <w:sz w:val="24"/>
          <w14:textFill>
            <w14:solidFill>
              <w14:schemeClr w14:val="tx1"/>
            </w14:solidFill>
          </w14:textFill>
        </w:rPr>
      </w:pPr>
      <w:r>
        <w:rPr>
          <w:rFonts w:hint="eastAsia"/>
          <w:b/>
          <w:sz w:val="24"/>
        </w:rPr>
        <w:t>6.3.1</w:t>
      </w:r>
      <w:r>
        <w:rPr>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 xml:space="preserve"> 每一种</w:t>
      </w:r>
      <w:r>
        <w:rPr>
          <w:color w:val="000000" w:themeColor="text1"/>
          <w:sz w:val="24"/>
          <w14:textFill>
            <w14:solidFill>
              <w14:schemeClr w14:val="tx1"/>
            </w14:solidFill>
          </w14:textFill>
        </w:rPr>
        <w:t>构造做法抽检不应少于</w:t>
      </w:r>
      <w:r>
        <w:rPr>
          <w:rFonts w:hint="eastAsia"/>
          <w:color w:val="000000" w:themeColor="text1"/>
          <w:sz w:val="24"/>
          <w14:textFill>
            <w14:solidFill>
              <w14:schemeClr w14:val="tx1"/>
            </w14:solidFill>
          </w14:textFill>
        </w:rPr>
        <w:t>1个</w:t>
      </w:r>
      <w:r>
        <w:rPr>
          <w:color w:val="000000" w:themeColor="text1"/>
          <w:sz w:val="24"/>
          <w14:textFill>
            <w14:solidFill>
              <w14:schemeClr w14:val="tx1"/>
            </w14:solidFill>
          </w14:textFill>
        </w:rPr>
        <w:t>部位</w:t>
      </w:r>
      <w:r>
        <w:rPr>
          <w:rFonts w:hint="eastAsia"/>
          <w:color w:val="000000" w:themeColor="text1"/>
          <w:sz w:val="24"/>
          <w14:textFill>
            <w14:solidFill>
              <w14:schemeClr w14:val="tx1"/>
            </w14:solidFill>
          </w14:textFill>
        </w:rPr>
        <w:t>。</w:t>
      </w:r>
    </w:p>
    <w:p>
      <w:pPr>
        <w:spacing w:line="360" w:lineRule="auto"/>
        <w:rPr>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6.3.2</w:t>
      </w:r>
      <w:r>
        <w:rPr>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 xml:space="preserve"> 热桥部位内表面温度的检测方法和和判定方法应符合现行行业标准《居住建筑节能检测标准》JGJ/T132 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pStyle w:val="3"/>
        <w:rPr>
          <w:rFonts w:ascii="Times New Roman" w:hAnsi="Times New Roman" w:cs="Times New Roman"/>
          <w:color w:val="000000" w:themeColor="text1"/>
          <w:lang w:val="zh-CN"/>
          <w14:textFill>
            <w14:solidFill>
              <w14:schemeClr w14:val="tx1"/>
            </w14:solidFill>
          </w14:textFill>
        </w:rPr>
      </w:pPr>
      <w:bookmarkStart w:id="61" w:name="_Toc16776660"/>
      <w:bookmarkStart w:id="62" w:name="_Toc17811170"/>
      <w:r>
        <w:rPr>
          <w:rFonts w:ascii="Times New Roman" w:hAnsi="Times New Roman" w:cs="Times New Roman"/>
          <w:color w:val="000000" w:themeColor="text1"/>
          <w:lang w:val="zh-CN"/>
          <w14:textFill>
            <w14:solidFill>
              <w14:schemeClr w14:val="tx1"/>
            </w14:solidFill>
          </w14:textFill>
        </w:rPr>
        <w:t>6.</w:t>
      </w:r>
      <w:r>
        <w:rPr>
          <w:rFonts w:hint="eastAsia" w:ascii="Times New Roman" w:hAnsi="Times New Roman" w:cs="Times New Roman"/>
          <w:color w:val="000000" w:themeColor="text1"/>
          <w:lang w:val="zh-CN"/>
          <w14:textFill>
            <w14:solidFill>
              <w14:schemeClr w14:val="tx1"/>
            </w14:solidFill>
          </w14:textFill>
        </w:rPr>
        <w:t>4</w:t>
      </w:r>
      <w:r>
        <w:rPr>
          <w:rFonts w:ascii="Times New Roman" w:hAnsi="Times New Roman" w:cs="Times New Roman"/>
          <w:color w:val="000000" w:themeColor="text1"/>
          <w:lang w:val="zh-CN"/>
          <w14:textFill>
            <w14:solidFill>
              <w14:schemeClr w14:val="tx1"/>
            </w14:solidFill>
          </w14:textFill>
        </w:rPr>
        <w:t xml:space="preserve">  </w:t>
      </w:r>
      <w:r>
        <w:rPr>
          <w:rFonts w:hint="eastAsia" w:ascii="Times New Roman" w:hAnsi="Times New Roman" w:cs="Times New Roman"/>
          <w:color w:val="000000" w:themeColor="text1"/>
          <w:lang w:val="zh-CN"/>
          <w14:textFill>
            <w14:solidFill>
              <w14:schemeClr w14:val="tx1"/>
            </w14:solidFill>
          </w14:textFill>
        </w:rPr>
        <w:t>外</w:t>
      </w:r>
      <w:r>
        <w:rPr>
          <w:rFonts w:ascii="Times New Roman" w:hAnsi="Times New Roman" w:cs="Times New Roman"/>
          <w:color w:val="000000" w:themeColor="text1"/>
          <w:lang w:val="zh-CN"/>
          <w14:textFill>
            <w14:solidFill>
              <w14:schemeClr w14:val="tx1"/>
            </w14:solidFill>
          </w14:textFill>
        </w:rPr>
        <w:t>围护结构</w:t>
      </w:r>
      <w:r>
        <w:rPr>
          <w:rFonts w:hint="eastAsia" w:ascii="Times New Roman" w:hAnsi="Times New Roman" w:cs="Times New Roman"/>
          <w:color w:val="000000" w:themeColor="text1"/>
          <w:lang w:val="zh-CN"/>
          <w14:textFill>
            <w14:solidFill>
              <w14:schemeClr w14:val="tx1"/>
            </w14:solidFill>
          </w14:textFill>
        </w:rPr>
        <w:t>隔热性能</w:t>
      </w:r>
      <w:r>
        <w:rPr>
          <w:rFonts w:ascii="Times New Roman" w:hAnsi="Times New Roman" w:cs="Times New Roman"/>
          <w:color w:val="000000" w:themeColor="text1"/>
          <w:lang w:val="zh-CN"/>
          <w14:textFill>
            <w14:solidFill>
              <w14:schemeClr w14:val="tx1"/>
            </w14:solidFill>
          </w14:textFill>
        </w:rPr>
        <w:t>检测</w:t>
      </w:r>
      <w:bookmarkEnd w:id="61"/>
      <w:bookmarkEnd w:id="62"/>
    </w:p>
    <w:p>
      <w:pPr>
        <w:spacing w:line="360" w:lineRule="auto"/>
        <w:rPr>
          <w:color w:val="000000" w:themeColor="text1"/>
          <w:sz w:val="24"/>
          <w14:textFill>
            <w14:solidFill>
              <w14:schemeClr w14:val="tx1"/>
            </w14:solidFill>
          </w14:textFill>
        </w:rPr>
      </w:pPr>
      <w:r>
        <w:rPr>
          <w:rFonts w:hint="eastAsia"/>
          <w:b/>
          <w:sz w:val="24"/>
        </w:rPr>
        <w:t xml:space="preserve">6.4.1 </w:t>
      </w:r>
      <w:r>
        <w:rPr>
          <w:color w:val="000000" w:themeColor="text1"/>
          <w:sz w:val="24"/>
          <w14:textFill>
            <w14:solidFill>
              <w14:schemeClr w14:val="tx1"/>
            </w14:solidFill>
          </w14:textFill>
        </w:rPr>
        <w:t xml:space="preserve"> 东、西外墙及屋面</w:t>
      </w:r>
      <w:r>
        <w:rPr>
          <w:rFonts w:hint="eastAsia"/>
          <w:color w:val="000000" w:themeColor="text1"/>
          <w:sz w:val="24"/>
          <w14:textFill>
            <w14:solidFill>
              <w14:schemeClr w14:val="tx1"/>
            </w14:solidFill>
          </w14:textFill>
        </w:rPr>
        <w:t>的每一种</w:t>
      </w:r>
      <w:r>
        <w:rPr>
          <w:color w:val="000000" w:themeColor="text1"/>
          <w:sz w:val="24"/>
          <w14:textFill>
            <w14:solidFill>
              <w14:schemeClr w14:val="tx1"/>
            </w14:solidFill>
          </w14:textFill>
        </w:rPr>
        <w:t>构造做法抽检不应少于</w:t>
      </w:r>
      <w:r>
        <w:rPr>
          <w:rFonts w:hint="eastAsia"/>
          <w:color w:val="000000" w:themeColor="text1"/>
          <w:sz w:val="24"/>
          <w14:textFill>
            <w14:solidFill>
              <w14:schemeClr w14:val="tx1"/>
            </w14:solidFill>
          </w14:textFill>
        </w:rPr>
        <w:t>1个</w:t>
      </w:r>
      <w:r>
        <w:rPr>
          <w:color w:val="000000" w:themeColor="text1"/>
          <w:sz w:val="24"/>
          <w14:textFill>
            <w14:solidFill>
              <w14:schemeClr w14:val="tx1"/>
            </w14:solidFill>
          </w14:textFill>
        </w:rPr>
        <w:t>部位</w:t>
      </w:r>
      <w:r>
        <w:rPr>
          <w:rFonts w:hint="eastAsia"/>
          <w:color w:val="000000" w:themeColor="text1"/>
          <w:sz w:val="24"/>
          <w14:textFill>
            <w14:solidFill>
              <w14:schemeClr w14:val="tx1"/>
            </w14:solidFill>
          </w14:textFill>
        </w:rPr>
        <w:t>。</w:t>
      </w:r>
    </w:p>
    <w:p>
      <w:pPr>
        <w:spacing w:line="360" w:lineRule="auto"/>
        <w:rPr>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 xml:space="preserve">6.4.2 </w:t>
      </w:r>
      <w:r>
        <w:rPr>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隔热性能的检测方法和和判定方法应符合现行行业标准《居住建筑节能检测标准》JGJ/T132 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color w:val="000000" w:themeColor="text1"/>
          <w:sz w:val="24"/>
          <w14:textFill>
            <w14:solidFill>
              <w14:schemeClr w14:val="tx1"/>
            </w14:solidFill>
          </w14:textFill>
        </w:rPr>
      </w:pPr>
    </w:p>
    <w:p>
      <w:pPr>
        <w:pStyle w:val="3"/>
        <w:rPr>
          <w:rFonts w:ascii="Times New Roman" w:hAnsi="Times New Roman" w:cs="Times New Roman"/>
          <w:color w:val="000000" w:themeColor="text1"/>
          <w:lang w:val="zh-CN"/>
          <w14:textFill>
            <w14:solidFill>
              <w14:schemeClr w14:val="tx1"/>
            </w14:solidFill>
          </w14:textFill>
        </w:rPr>
      </w:pPr>
      <w:bookmarkStart w:id="63" w:name="_Toc16776661"/>
      <w:bookmarkStart w:id="64" w:name="_Toc17811171"/>
      <w:r>
        <w:rPr>
          <w:rFonts w:ascii="Times New Roman" w:hAnsi="Times New Roman" w:cs="Times New Roman"/>
          <w:color w:val="000000" w:themeColor="text1"/>
          <w:lang w:val="zh-CN"/>
          <w14:textFill>
            <w14:solidFill>
              <w14:schemeClr w14:val="tx1"/>
            </w14:solidFill>
          </w14:textFill>
        </w:rPr>
        <w:t>6.</w:t>
      </w:r>
      <w:r>
        <w:rPr>
          <w:rFonts w:hint="eastAsia" w:ascii="Times New Roman" w:hAnsi="Times New Roman" w:cs="Times New Roman"/>
          <w:color w:val="000000" w:themeColor="text1"/>
          <w:lang w:val="zh-CN"/>
          <w14:textFill>
            <w14:solidFill>
              <w14:schemeClr w14:val="tx1"/>
            </w14:solidFill>
          </w14:textFill>
        </w:rPr>
        <w:t>5</w:t>
      </w:r>
      <w:r>
        <w:rPr>
          <w:rFonts w:ascii="Times New Roman" w:hAnsi="Times New Roman" w:cs="Times New Roman"/>
          <w:color w:val="000000" w:themeColor="text1"/>
          <w:lang w:val="zh-CN"/>
          <w14:textFill>
            <w14:solidFill>
              <w14:schemeClr w14:val="tx1"/>
            </w14:solidFill>
          </w14:textFill>
        </w:rPr>
        <w:t xml:space="preserve">  </w:t>
      </w:r>
      <w:r>
        <w:rPr>
          <w:rFonts w:hint="eastAsia" w:ascii="Times New Roman" w:hAnsi="Times New Roman" w:cs="Times New Roman"/>
          <w:color w:val="000000" w:themeColor="text1"/>
          <w:lang w:val="zh-CN"/>
          <w14:textFill>
            <w14:solidFill>
              <w14:schemeClr w14:val="tx1"/>
            </w14:solidFill>
          </w14:textFill>
        </w:rPr>
        <w:t>外</w:t>
      </w:r>
      <w:r>
        <w:rPr>
          <w:rFonts w:ascii="Times New Roman" w:hAnsi="Times New Roman" w:cs="Times New Roman"/>
          <w:color w:val="000000" w:themeColor="text1"/>
          <w:lang w:val="zh-CN"/>
          <w14:textFill>
            <w14:solidFill>
              <w14:schemeClr w14:val="tx1"/>
            </w14:solidFill>
          </w14:textFill>
        </w:rPr>
        <w:t>围护结构</w:t>
      </w:r>
      <w:r>
        <w:rPr>
          <w:rFonts w:hint="eastAsia" w:ascii="Times New Roman" w:hAnsi="Times New Roman" w:cs="Times New Roman"/>
          <w:color w:val="000000" w:themeColor="text1"/>
          <w:lang w:val="zh-CN"/>
          <w14:textFill>
            <w14:solidFill>
              <w14:schemeClr w14:val="tx1"/>
            </w14:solidFill>
          </w14:textFill>
        </w:rPr>
        <w:t>热工缺陷</w:t>
      </w:r>
      <w:r>
        <w:rPr>
          <w:rFonts w:ascii="Times New Roman" w:hAnsi="Times New Roman" w:cs="Times New Roman"/>
          <w:color w:val="000000" w:themeColor="text1"/>
          <w:lang w:val="zh-CN"/>
          <w14:textFill>
            <w14:solidFill>
              <w14:schemeClr w14:val="tx1"/>
            </w14:solidFill>
          </w14:textFill>
        </w:rPr>
        <w:t>检测</w:t>
      </w:r>
      <w:bookmarkEnd w:id="63"/>
      <w:bookmarkEnd w:id="64"/>
    </w:p>
    <w:p>
      <w:pPr>
        <w:spacing w:line="360" w:lineRule="auto"/>
        <w:rPr>
          <w:color w:val="000000" w:themeColor="text1"/>
          <w:sz w:val="24"/>
          <w14:textFill>
            <w14:solidFill>
              <w14:schemeClr w14:val="tx1"/>
            </w14:solidFill>
          </w14:textFill>
        </w:rPr>
      </w:pPr>
      <w:r>
        <w:rPr>
          <w:rFonts w:hint="eastAsia"/>
          <w:b/>
          <w:sz w:val="24"/>
        </w:rPr>
        <w:t>6.5.1</w:t>
      </w:r>
      <w:r>
        <w:rPr>
          <w:b/>
          <w:sz w:val="24"/>
        </w:rPr>
        <w:t xml:space="preserve"> </w:t>
      </w:r>
      <w:r>
        <w:rPr>
          <w:rFonts w:hint="eastAsia"/>
          <w:b/>
          <w:sz w:val="24"/>
        </w:rPr>
        <w:t xml:space="preserve"> </w:t>
      </w:r>
      <w:r>
        <w:rPr>
          <w:rFonts w:hint="eastAsia"/>
          <w:color w:val="000000" w:themeColor="text1"/>
          <w:sz w:val="24"/>
          <w14:textFill>
            <w14:solidFill>
              <w14:schemeClr w14:val="tx1"/>
            </w14:solidFill>
          </w14:textFill>
        </w:rPr>
        <w:t>每一种</w:t>
      </w:r>
      <w:r>
        <w:rPr>
          <w:color w:val="000000" w:themeColor="text1"/>
          <w:sz w:val="24"/>
          <w14:textFill>
            <w14:solidFill>
              <w14:schemeClr w14:val="tx1"/>
            </w14:solidFill>
          </w14:textFill>
        </w:rPr>
        <w:t>构造做法抽检不应少于</w:t>
      </w:r>
      <w:r>
        <w:rPr>
          <w:rFonts w:hint="eastAsia"/>
          <w:color w:val="000000" w:themeColor="text1"/>
          <w:sz w:val="24"/>
          <w14:textFill>
            <w14:solidFill>
              <w14:schemeClr w14:val="tx1"/>
            </w14:solidFill>
          </w14:textFill>
        </w:rPr>
        <w:t>1个</w:t>
      </w:r>
      <w:r>
        <w:rPr>
          <w:color w:val="000000" w:themeColor="text1"/>
          <w:sz w:val="24"/>
          <w14:textFill>
            <w14:solidFill>
              <w14:schemeClr w14:val="tx1"/>
            </w14:solidFill>
          </w14:textFill>
        </w:rPr>
        <w:t>部位</w:t>
      </w:r>
      <w:r>
        <w:rPr>
          <w:rFonts w:hint="eastAsia"/>
          <w:color w:val="000000" w:themeColor="text1"/>
          <w:sz w:val="24"/>
          <w14:textFill>
            <w14:solidFill>
              <w14:schemeClr w14:val="tx1"/>
            </w14:solidFill>
          </w14:textFill>
        </w:rPr>
        <w:t>。</w:t>
      </w:r>
    </w:p>
    <w:p>
      <w:pPr>
        <w:spacing w:line="360" w:lineRule="auto"/>
        <w:rPr>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6.5.2</w:t>
      </w:r>
      <w:r>
        <w:rPr>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 xml:space="preserve"> 围护结构热工缺陷的检测方法和和判定方法应符合现行行业标准《居住建筑节能检测标准》JGJ/T132 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ind w:firstLine="480" w:firstLineChars="200"/>
        <w:rPr>
          <w:color w:val="000000" w:themeColor="text1"/>
          <w:sz w:val="24"/>
          <w14:textFill>
            <w14:solidFill>
              <w14:schemeClr w14:val="tx1"/>
            </w14:solidFill>
          </w14:textFill>
        </w:rPr>
      </w:pPr>
    </w:p>
    <w:p>
      <w:pPr>
        <w:pStyle w:val="3"/>
        <w:rPr>
          <w:rFonts w:ascii="Times New Roman" w:hAnsi="Times New Roman" w:cs="Times New Roman"/>
          <w:color w:val="000000" w:themeColor="text1"/>
          <w:lang w:val="zh-CN"/>
          <w14:textFill>
            <w14:solidFill>
              <w14:schemeClr w14:val="tx1"/>
            </w14:solidFill>
          </w14:textFill>
        </w:rPr>
      </w:pPr>
      <w:bookmarkStart w:id="65" w:name="_Toc16776662"/>
      <w:bookmarkStart w:id="66" w:name="_Toc17811172"/>
      <w:r>
        <w:rPr>
          <w:rFonts w:ascii="Times New Roman" w:hAnsi="Times New Roman" w:cs="Times New Roman"/>
          <w:color w:val="000000" w:themeColor="text1"/>
          <w:lang w:val="zh-CN"/>
          <w14:textFill>
            <w14:solidFill>
              <w14:schemeClr w14:val="tx1"/>
            </w14:solidFill>
          </w14:textFill>
        </w:rPr>
        <w:t>6.</w:t>
      </w:r>
      <w:r>
        <w:rPr>
          <w:rFonts w:hint="eastAsia" w:ascii="Times New Roman" w:hAnsi="Times New Roman" w:cs="Times New Roman"/>
          <w:color w:val="000000" w:themeColor="text1"/>
          <w:lang w:val="zh-CN"/>
          <w14:textFill>
            <w14:solidFill>
              <w14:schemeClr w14:val="tx1"/>
            </w14:solidFill>
          </w14:textFill>
        </w:rPr>
        <w:t>6</w:t>
      </w:r>
      <w:r>
        <w:rPr>
          <w:rFonts w:ascii="Times New Roman" w:hAnsi="Times New Roman" w:cs="Times New Roman"/>
          <w:color w:val="000000" w:themeColor="text1"/>
          <w:lang w:val="zh-CN"/>
          <w14:textFill>
            <w14:solidFill>
              <w14:schemeClr w14:val="tx1"/>
            </w14:solidFill>
          </w14:textFill>
        </w:rPr>
        <w:t xml:space="preserve">  外围护结构</w:t>
      </w:r>
      <w:r>
        <w:rPr>
          <w:rFonts w:hint="eastAsia" w:ascii="Times New Roman" w:hAnsi="Times New Roman" w:cs="Times New Roman"/>
          <w:color w:val="000000" w:themeColor="text1"/>
          <w:lang w:val="zh-CN"/>
          <w14:textFill>
            <w14:solidFill>
              <w14:schemeClr w14:val="tx1"/>
            </w14:solidFill>
          </w14:textFill>
        </w:rPr>
        <w:t>遮阳性能检测</w:t>
      </w:r>
      <w:bookmarkEnd w:id="65"/>
      <w:bookmarkEnd w:id="66"/>
    </w:p>
    <w:p>
      <w:pPr>
        <w:spacing w:line="360" w:lineRule="auto"/>
        <w:rPr>
          <w:color w:val="000000" w:themeColor="text1"/>
          <w:sz w:val="24"/>
          <w14:textFill>
            <w14:solidFill>
              <w14:schemeClr w14:val="tx1"/>
            </w14:solidFill>
          </w14:textFill>
        </w:rPr>
      </w:pPr>
      <w:r>
        <w:rPr>
          <w:rFonts w:hint="eastAsia"/>
          <w:b/>
          <w:sz w:val="24"/>
        </w:rPr>
        <w:t xml:space="preserve">6.6.1  </w:t>
      </w:r>
      <w:r>
        <w:rPr>
          <w:rFonts w:hint="eastAsia"/>
          <w:sz w:val="24"/>
        </w:rPr>
        <w:t>外</w:t>
      </w:r>
      <w:r>
        <w:rPr>
          <w:rFonts w:hint="eastAsia"/>
          <w:color w:val="000000" w:themeColor="text1"/>
          <w:sz w:val="24"/>
          <w14:textFill>
            <w14:solidFill>
              <w14:schemeClr w14:val="tx1"/>
            </w14:solidFill>
          </w14:textFill>
        </w:rPr>
        <w:t>围护结构遮阳性能的检测数量、检测方法和判定方法应符合现行行业标准《公共建筑节能检测标准》JGJ/T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ind w:firstLine="480" w:firstLineChars="200"/>
        <w:rPr>
          <w:color w:val="000000" w:themeColor="text1"/>
          <w:sz w:val="24"/>
          <w14:textFill>
            <w14:solidFill>
              <w14:schemeClr w14:val="tx1"/>
            </w14:solidFill>
          </w14:textFill>
        </w:rPr>
      </w:pPr>
    </w:p>
    <w:p>
      <w:pPr>
        <w:pStyle w:val="3"/>
        <w:rPr>
          <w:rFonts w:ascii="Times New Roman" w:hAnsi="Times New Roman" w:cs="Times New Roman"/>
          <w:color w:val="000000" w:themeColor="text1"/>
          <w:lang w:val="zh-CN"/>
          <w14:textFill>
            <w14:solidFill>
              <w14:schemeClr w14:val="tx1"/>
            </w14:solidFill>
          </w14:textFill>
        </w:rPr>
      </w:pPr>
      <w:bookmarkStart w:id="67" w:name="_Toc16776663"/>
      <w:bookmarkStart w:id="68" w:name="_Toc17811173"/>
      <w:r>
        <w:rPr>
          <w:rFonts w:ascii="Times New Roman" w:hAnsi="Times New Roman" w:cs="Times New Roman"/>
          <w:color w:val="000000" w:themeColor="text1"/>
          <w:lang w:val="zh-CN"/>
          <w14:textFill>
            <w14:solidFill>
              <w14:schemeClr w14:val="tx1"/>
            </w14:solidFill>
          </w14:textFill>
        </w:rPr>
        <w:t>6.</w:t>
      </w:r>
      <w:r>
        <w:rPr>
          <w:rFonts w:hint="eastAsia" w:ascii="Times New Roman" w:hAnsi="Times New Roman" w:cs="Times New Roman"/>
          <w:color w:val="000000" w:themeColor="text1"/>
          <w:lang w:val="zh-CN"/>
          <w14:textFill>
            <w14:solidFill>
              <w14:schemeClr w14:val="tx1"/>
            </w14:solidFill>
          </w14:textFill>
        </w:rPr>
        <w:t>7</w:t>
      </w:r>
      <w:r>
        <w:rPr>
          <w:rFonts w:ascii="Times New Roman" w:hAnsi="Times New Roman" w:cs="Times New Roman"/>
          <w:color w:val="000000" w:themeColor="text1"/>
          <w:lang w:val="zh-CN"/>
          <w14:textFill>
            <w14:solidFill>
              <w14:schemeClr w14:val="tx1"/>
            </w14:solidFill>
          </w14:textFill>
        </w:rPr>
        <w:t xml:space="preserve">  </w:t>
      </w:r>
      <w:r>
        <w:rPr>
          <w:rFonts w:hint="eastAsia" w:ascii="Times New Roman" w:hAnsi="Times New Roman" w:cs="Times New Roman"/>
          <w:color w:val="000000" w:themeColor="text1"/>
          <w:lang w:val="zh-CN"/>
          <w14:textFill>
            <w14:solidFill>
              <w14:schemeClr w14:val="tx1"/>
            </w14:solidFill>
          </w14:textFill>
        </w:rPr>
        <w:t>外窗气密性能检测</w:t>
      </w:r>
      <w:bookmarkEnd w:id="67"/>
      <w:bookmarkEnd w:id="68"/>
    </w:p>
    <w:p>
      <w:pPr>
        <w:spacing w:line="360" w:lineRule="auto"/>
        <w:rPr>
          <w:color w:val="000000" w:themeColor="text1"/>
          <w:sz w:val="24"/>
          <w14:textFill>
            <w14:solidFill>
              <w14:schemeClr w14:val="tx1"/>
            </w14:solidFill>
          </w14:textFill>
        </w:rPr>
      </w:pPr>
      <w:r>
        <w:rPr>
          <w:rFonts w:hint="eastAsia"/>
          <w:b/>
          <w:sz w:val="24"/>
        </w:rPr>
        <w:t xml:space="preserve">6.7.1  </w:t>
      </w:r>
      <w:r>
        <w:rPr>
          <w:rFonts w:hint="eastAsia"/>
          <w:color w:val="000000" w:themeColor="text1"/>
          <w:sz w:val="24"/>
          <w14:textFill>
            <w14:solidFill>
              <w14:schemeClr w14:val="tx1"/>
            </w14:solidFill>
          </w14:textFill>
        </w:rPr>
        <w:t>外窗气密性能的检测数量、检测方法和判定方法应符合现行行业标准《公共建筑节能检测标准》JGJ/T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
      <w:pPr>
        <w:pStyle w:val="3"/>
        <w:rPr>
          <w:rFonts w:ascii="Times New Roman" w:hAnsi="Times New Roman" w:cs="Times New Roman"/>
          <w:color w:val="000000" w:themeColor="text1"/>
          <w:lang w:val="zh-CN"/>
          <w14:textFill>
            <w14:solidFill>
              <w14:schemeClr w14:val="tx1"/>
            </w14:solidFill>
          </w14:textFill>
        </w:rPr>
      </w:pPr>
      <w:bookmarkStart w:id="69" w:name="_Toc16776664"/>
      <w:bookmarkStart w:id="70" w:name="_Toc17811174"/>
      <w:r>
        <w:rPr>
          <w:rFonts w:ascii="Times New Roman" w:hAnsi="Times New Roman" w:cs="Times New Roman"/>
          <w:color w:val="000000" w:themeColor="text1"/>
          <w:lang w:val="zh-CN"/>
          <w14:textFill>
            <w14:solidFill>
              <w14:schemeClr w14:val="tx1"/>
            </w14:solidFill>
          </w14:textFill>
        </w:rPr>
        <w:t>6.</w:t>
      </w:r>
      <w:r>
        <w:rPr>
          <w:rFonts w:hint="eastAsia" w:ascii="Times New Roman" w:hAnsi="Times New Roman" w:cs="Times New Roman"/>
          <w:color w:val="000000" w:themeColor="text1"/>
          <w:lang w:val="zh-CN"/>
          <w14:textFill>
            <w14:solidFill>
              <w14:schemeClr w14:val="tx1"/>
            </w14:solidFill>
          </w14:textFill>
        </w:rPr>
        <w:t>8</w:t>
      </w:r>
      <w:r>
        <w:rPr>
          <w:rFonts w:ascii="Times New Roman" w:hAnsi="Times New Roman" w:cs="Times New Roman"/>
          <w:color w:val="000000" w:themeColor="text1"/>
          <w:lang w:val="zh-CN"/>
          <w14:textFill>
            <w14:solidFill>
              <w14:schemeClr w14:val="tx1"/>
            </w14:solidFill>
          </w14:textFill>
        </w:rPr>
        <w:t xml:space="preserve">  </w:t>
      </w:r>
      <w:r>
        <w:rPr>
          <w:rFonts w:hint="eastAsia" w:ascii="Times New Roman" w:hAnsi="Times New Roman" w:cs="Times New Roman"/>
          <w:color w:val="000000" w:themeColor="text1"/>
          <w:lang w:val="zh-CN"/>
          <w14:textFill>
            <w14:solidFill>
              <w14:schemeClr w14:val="tx1"/>
            </w14:solidFill>
          </w14:textFill>
        </w:rPr>
        <w:t>透明幕墙气密性能检测</w:t>
      </w:r>
      <w:bookmarkEnd w:id="69"/>
      <w:bookmarkEnd w:id="70"/>
    </w:p>
    <w:p>
      <w:pPr>
        <w:spacing w:line="360" w:lineRule="auto"/>
        <w:rPr>
          <w:color w:val="000000" w:themeColor="text1"/>
          <w:sz w:val="24"/>
          <w14:textFill>
            <w14:solidFill>
              <w14:schemeClr w14:val="tx1"/>
            </w14:solidFill>
          </w14:textFill>
        </w:rPr>
      </w:pPr>
      <w:r>
        <w:rPr>
          <w:rFonts w:hint="eastAsia"/>
          <w:b/>
          <w:sz w:val="24"/>
        </w:rPr>
        <w:t xml:space="preserve">6.8.1  </w:t>
      </w:r>
      <w:r>
        <w:rPr>
          <w:rFonts w:hint="eastAsia"/>
          <w:color w:val="000000" w:themeColor="text1"/>
          <w:sz w:val="24"/>
          <w14:textFill>
            <w14:solidFill>
              <w14:schemeClr w14:val="tx1"/>
            </w14:solidFill>
          </w14:textFill>
        </w:rPr>
        <w:t>建筑外围护结构透明幕墙气密性能的检测数量、检测方法和判定方法应符合现行行业标准《公共建筑节能检测标准》JGJ/T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
      <w:pPr>
        <w:pStyle w:val="3"/>
      </w:pPr>
      <w:bookmarkStart w:id="71" w:name="_Toc16776665"/>
      <w:bookmarkStart w:id="72" w:name="_Toc17811175"/>
      <w:r>
        <w:t>6.</w:t>
      </w:r>
      <w:r>
        <w:rPr>
          <w:rFonts w:hint="eastAsia"/>
        </w:rPr>
        <w:t>9</w:t>
      </w:r>
      <w:r>
        <w:t xml:space="preserve">  </w:t>
      </w:r>
      <w:r>
        <w:rPr>
          <w:rFonts w:hint="eastAsia"/>
        </w:rPr>
        <w:t>中空玻璃密封性能检测</w:t>
      </w:r>
      <w:bookmarkEnd w:id="71"/>
      <w:bookmarkEnd w:id="72"/>
    </w:p>
    <w:p>
      <w:pPr>
        <w:spacing w:line="360" w:lineRule="auto"/>
        <w:rPr>
          <w:color w:val="000000" w:themeColor="text1"/>
          <w:sz w:val="24"/>
          <w14:textFill>
            <w14:solidFill>
              <w14:schemeClr w14:val="tx1"/>
            </w14:solidFill>
          </w14:textFill>
        </w:rPr>
      </w:pPr>
      <w:r>
        <w:rPr>
          <w:rFonts w:hint="eastAsia"/>
          <w:b/>
          <w:sz w:val="24"/>
        </w:rPr>
        <w:t>6.9</w:t>
      </w:r>
      <w:r>
        <w:rPr>
          <w:b/>
          <w:sz w:val="24"/>
        </w:rPr>
        <w:t>.</w:t>
      </w:r>
      <w:r>
        <w:rPr>
          <w:rFonts w:hint="eastAsia"/>
          <w:b/>
          <w:sz w:val="24"/>
        </w:rPr>
        <w:t>1</w:t>
      </w:r>
      <w:r>
        <w:rPr>
          <w:b/>
          <w:sz w:val="24"/>
        </w:rPr>
        <w:t xml:space="preserve"> </w:t>
      </w:r>
      <w:r>
        <w:rPr>
          <w:rFonts w:hint="eastAsia"/>
          <w:b/>
          <w:sz w:val="24"/>
        </w:rPr>
        <w:t xml:space="preserve"> </w:t>
      </w:r>
      <w:r>
        <w:rPr>
          <w:rFonts w:hint="eastAsia"/>
          <w:sz w:val="24"/>
        </w:rPr>
        <w:t>同一</w:t>
      </w:r>
      <w:r>
        <w:rPr>
          <w:sz w:val="24"/>
        </w:rPr>
        <w:t>厂家同一品种或同一类型</w:t>
      </w:r>
      <w:r>
        <w:rPr>
          <w:rFonts w:hint="eastAsia"/>
          <w:sz w:val="24"/>
        </w:rPr>
        <w:t>的中空玻璃</w:t>
      </w:r>
      <w:r>
        <w:rPr>
          <w:sz w:val="24"/>
        </w:rPr>
        <w:t>抽检不应少于</w:t>
      </w:r>
      <w:r>
        <w:rPr>
          <w:rFonts w:hint="eastAsia"/>
          <w:sz w:val="24"/>
        </w:rPr>
        <w:t>10个样品。</w:t>
      </w:r>
    </w:p>
    <w:p>
      <w:pPr>
        <w:spacing w:line="360" w:lineRule="auto"/>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6.9.</w:t>
      </w:r>
      <w:r>
        <w:rPr>
          <w:b/>
          <w:color w:val="000000" w:themeColor="text1"/>
          <w:sz w:val="24"/>
          <w14:textFill>
            <w14:solidFill>
              <w14:schemeClr w14:val="tx1"/>
            </w14:solidFill>
          </w14:textFill>
        </w:rPr>
        <w:t xml:space="preserve">2  </w:t>
      </w:r>
      <w:r>
        <w:rPr>
          <w:rFonts w:hint="eastAsia"/>
          <w:sz w:val="24"/>
        </w:rPr>
        <w:t>中空玻璃密封性能的检测方法</w:t>
      </w:r>
      <w:r>
        <w:rPr>
          <w:sz w:val="24"/>
        </w:rPr>
        <w:t>应符合下列规定：</w:t>
      </w:r>
    </w:p>
    <w:p>
      <w:pPr>
        <w:spacing w:line="360" w:lineRule="auto"/>
        <w:ind w:firstLine="506" w:firstLineChars="210"/>
        <w:rPr>
          <w:sz w:val="24"/>
        </w:rPr>
      </w:pPr>
      <w:r>
        <w:rPr>
          <w:rFonts w:hint="eastAsia"/>
          <w:b/>
          <w:sz w:val="24"/>
        </w:rPr>
        <w:t xml:space="preserve">1 </w:t>
      </w:r>
      <w:r>
        <w:rPr>
          <w:rFonts w:hint="eastAsia"/>
          <w:sz w:val="24"/>
        </w:rPr>
        <w:t xml:space="preserve"> 检验在温度</w:t>
      </w:r>
      <w:r>
        <w:rPr>
          <w:sz w:val="24"/>
        </w:rPr>
        <w:t>25</w:t>
      </w:r>
      <w:r>
        <w:rPr>
          <w:rFonts w:hint="eastAsia"/>
          <w:sz w:val="24"/>
        </w:rPr>
        <w:t>℃±3℃、相对湿度</w:t>
      </w:r>
      <w:r>
        <w:rPr>
          <w:sz w:val="24"/>
        </w:rPr>
        <w:t>30</w:t>
      </w:r>
      <w:r>
        <w:rPr>
          <w:rFonts w:hint="eastAsia"/>
          <w:sz w:val="24"/>
        </w:rPr>
        <w:t>％～</w:t>
      </w:r>
      <w:r>
        <w:rPr>
          <w:sz w:val="24"/>
        </w:rPr>
        <w:t>75</w:t>
      </w:r>
      <w:r>
        <w:rPr>
          <w:rFonts w:hint="eastAsia"/>
          <w:sz w:val="24"/>
        </w:rPr>
        <w:t>％的条件下进行。</w:t>
      </w:r>
    </w:p>
    <w:p>
      <w:pPr>
        <w:spacing w:line="360" w:lineRule="auto"/>
        <w:ind w:firstLine="482" w:firstLineChars="200"/>
        <w:rPr>
          <w:color w:val="000000" w:themeColor="text1"/>
          <w:sz w:val="24"/>
          <w14:textFill>
            <w14:solidFill>
              <w14:schemeClr w14:val="tx1"/>
            </w14:solidFill>
          </w14:textFill>
        </w:rPr>
      </w:pPr>
      <w:r>
        <w:rPr>
          <w:rFonts w:hint="eastAsia"/>
          <w:b/>
          <w:sz w:val="24"/>
        </w:rPr>
        <w:t xml:space="preserve">2  </w:t>
      </w:r>
      <w:r>
        <w:rPr>
          <w:rFonts w:hint="eastAsia"/>
          <w:sz w:val="24"/>
        </w:rPr>
        <w:t>中空玻璃密封性能的</w:t>
      </w:r>
      <w:r>
        <w:rPr>
          <w:rFonts w:hint="eastAsia"/>
          <w:color w:val="000000" w:themeColor="text1"/>
          <w:sz w:val="24"/>
          <w14:textFill>
            <w14:solidFill>
              <w14:schemeClr w14:val="tx1"/>
            </w14:solidFill>
          </w14:textFill>
        </w:rPr>
        <w:t>检测</w:t>
      </w:r>
      <w:r>
        <w:rPr>
          <w:color w:val="000000" w:themeColor="text1"/>
          <w:sz w:val="24"/>
          <w14:textFill>
            <w14:solidFill>
              <w14:schemeClr w14:val="tx1"/>
            </w14:solidFill>
          </w14:textFill>
        </w:rPr>
        <w:t>方法应符合本标准附录</w:t>
      </w:r>
      <w:r>
        <w:rPr>
          <w:rFonts w:hint="eastAsia"/>
          <w:color w:val="000000" w:themeColor="text1"/>
          <w:sz w:val="24"/>
          <w14:textFill>
            <w14:solidFill>
              <w14:schemeClr w14:val="tx1"/>
            </w14:solidFill>
          </w14:textFill>
        </w:rPr>
        <w:t>A</w:t>
      </w:r>
      <w:r>
        <w:rPr>
          <w:color w:val="000000" w:themeColor="text1"/>
          <w:sz w:val="24"/>
          <w14:textFill>
            <w14:solidFill>
              <w14:schemeClr w14:val="tx1"/>
            </w14:solidFill>
          </w14:textFill>
        </w:rPr>
        <w:t>的规定</w:t>
      </w:r>
      <w:r>
        <w:rPr>
          <w:rFonts w:hint="eastAsia"/>
          <w:color w:val="000000" w:themeColor="text1"/>
          <w:sz w:val="24"/>
          <w14:textFill>
            <w14:solidFill>
              <w14:schemeClr w14:val="tx1"/>
            </w14:solidFill>
          </w14:textFill>
        </w:rPr>
        <w:t>。</w:t>
      </w:r>
    </w:p>
    <w:p>
      <w:pPr>
        <w:spacing w:line="360" w:lineRule="auto"/>
        <w:rPr>
          <w:sz w:val="24"/>
        </w:rPr>
      </w:pPr>
      <w:r>
        <w:rPr>
          <w:b/>
          <w:sz w:val="24"/>
        </w:rPr>
        <w:t>6.</w:t>
      </w:r>
      <w:r>
        <w:rPr>
          <w:rFonts w:hint="eastAsia"/>
          <w:b/>
          <w:sz w:val="24"/>
        </w:rPr>
        <w:t>9</w:t>
      </w:r>
      <w:r>
        <w:rPr>
          <w:b/>
          <w:sz w:val="24"/>
        </w:rPr>
        <w:t>.3</w:t>
      </w:r>
      <w:r>
        <w:rPr>
          <w:rFonts w:hint="eastAsia"/>
          <w:b/>
          <w:sz w:val="24"/>
        </w:rPr>
        <w:t xml:space="preserve"> </w:t>
      </w:r>
      <w:r>
        <w:rPr>
          <w:rFonts w:hint="eastAsia"/>
          <w:sz w:val="24"/>
        </w:rPr>
        <w:t xml:space="preserve"> </w:t>
      </w:r>
      <w:r>
        <w:rPr>
          <w:rFonts w:hint="eastAsia"/>
          <w:color w:val="000000" w:themeColor="text1"/>
          <w:sz w:val="24"/>
          <w14:textFill>
            <w14:solidFill>
              <w14:schemeClr w14:val="tx1"/>
            </w14:solidFill>
          </w14:textFill>
        </w:rPr>
        <w:t>中空玻璃密封性能</w:t>
      </w:r>
      <w:r>
        <w:rPr>
          <w:rFonts w:hint="eastAsia"/>
          <w:sz w:val="24"/>
        </w:rPr>
        <w:t>的合格指标与判定方法应符合下列规定：</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  </w:t>
      </w:r>
      <w:r>
        <w:rPr>
          <w:rFonts w:hint="eastAsia"/>
          <w:sz w:val="24"/>
        </w:rPr>
        <w:t>所有</w:t>
      </w:r>
      <w:r>
        <w:rPr>
          <w:sz w:val="24"/>
        </w:rPr>
        <w:t>抽检的</w:t>
      </w:r>
      <w:r>
        <w:rPr>
          <w:rFonts w:hint="eastAsia"/>
          <w:sz w:val="24"/>
        </w:rPr>
        <w:t>中空玻璃内部均不出现结露或结霜现象。</w:t>
      </w:r>
    </w:p>
    <w:p>
      <w:pPr>
        <w:spacing w:line="360" w:lineRule="auto"/>
        <w:ind w:firstLine="504" w:firstLineChars="210"/>
        <w:rPr>
          <w:sz w:val="24"/>
        </w:rPr>
      </w:pPr>
      <w:r>
        <w:rPr>
          <w:rFonts w:hint="eastAsia"/>
          <w:color w:val="000000" w:themeColor="text1"/>
          <w:sz w:val="24"/>
          <w14:textFill>
            <w14:solidFill>
              <w14:schemeClr w14:val="tx1"/>
            </w14:solidFill>
          </w14:textFill>
        </w:rPr>
        <w:t>2  当检测结果符合本条第1款</w:t>
      </w:r>
      <w:r>
        <w:rPr>
          <w:rFonts w:hint="eastAsia"/>
          <w:sz w:val="24"/>
        </w:rPr>
        <w:t>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应以中空玻璃内部是否出现结露或结霜现象为判定合格的依据，中空玻璃内部不出现结露或结霜为合格，且同一厂家同一品种或同一类型抽取的中空玻璃10个样品均应合格。</w:t>
      </w:r>
    </w:p>
    <w:p/>
    <w:p>
      <w:pPr>
        <w:pStyle w:val="3"/>
        <w:rPr>
          <w:rFonts w:ascii="Times New Roman" w:hAnsi="Times New Roman" w:cs="Times New Roman"/>
          <w:color w:val="FF0000"/>
          <w:lang w:val="zh-CN"/>
        </w:rPr>
      </w:pPr>
      <w:bookmarkStart w:id="73" w:name="_Toc16776666"/>
      <w:bookmarkStart w:id="74" w:name="_Toc17811176"/>
      <w:r>
        <w:rPr>
          <w:rFonts w:ascii="Times New Roman" w:hAnsi="Times New Roman" w:cs="Times New Roman"/>
          <w:lang w:val="zh-CN"/>
        </w:rPr>
        <w:t>6.</w:t>
      </w:r>
      <w:r>
        <w:rPr>
          <w:rFonts w:hint="eastAsia" w:ascii="Times New Roman" w:hAnsi="Times New Roman" w:cs="Times New Roman"/>
          <w:lang w:val="zh-CN"/>
        </w:rPr>
        <w:t>10</w:t>
      </w:r>
      <w:r>
        <w:rPr>
          <w:rFonts w:ascii="Times New Roman" w:hAnsi="Times New Roman" w:cs="Times New Roman"/>
          <w:lang w:val="zh-CN"/>
        </w:rPr>
        <w:t xml:space="preserve"> </w:t>
      </w:r>
      <w:r>
        <w:rPr>
          <w:rFonts w:hint="eastAsia" w:ascii="Times New Roman" w:hAnsi="Times New Roman" w:cs="Times New Roman"/>
          <w:lang w:val="zh-CN"/>
        </w:rPr>
        <w:t>玻璃</w:t>
      </w:r>
      <w:r>
        <w:rPr>
          <w:rFonts w:ascii="Times New Roman" w:hAnsi="Times New Roman" w:cs="Times New Roman"/>
          <w:lang w:val="zh-CN"/>
        </w:rPr>
        <w:t>光学热工性能现场</w:t>
      </w:r>
      <w:r>
        <w:rPr>
          <w:rFonts w:hint="eastAsia" w:ascii="Times New Roman" w:hAnsi="Times New Roman" w:cs="Times New Roman"/>
          <w:lang w:val="zh-CN"/>
        </w:rPr>
        <w:t>检测</w:t>
      </w:r>
      <w:bookmarkEnd w:id="73"/>
      <w:bookmarkEnd w:id="74"/>
    </w:p>
    <w:p>
      <w:pPr>
        <w:rPr>
          <w:color w:val="000000" w:themeColor="text1"/>
          <w:sz w:val="24"/>
          <w14:textFill>
            <w14:solidFill>
              <w14:schemeClr w14:val="tx1"/>
            </w14:solidFill>
          </w14:textFill>
        </w:rPr>
      </w:pPr>
      <w:r>
        <w:rPr>
          <w:rFonts w:hint="eastAsia"/>
          <w:b/>
          <w:sz w:val="24"/>
        </w:rPr>
        <w:t>6.10.1</w:t>
      </w:r>
      <w:r>
        <w:rPr>
          <w:b/>
          <w:sz w:val="24"/>
        </w:rPr>
        <w:t xml:space="preserve">  </w:t>
      </w:r>
      <w:r>
        <w:rPr>
          <w:rFonts w:hint="eastAsia"/>
          <w:color w:val="000000" w:themeColor="text1"/>
          <w:sz w:val="24"/>
          <w14:textFill>
            <w14:solidFill>
              <w14:schemeClr w14:val="tx1"/>
            </w14:solidFill>
          </w14:textFill>
        </w:rPr>
        <w:t>同一</w:t>
      </w:r>
      <w:r>
        <w:rPr>
          <w:color w:val="000000" w:themeColor="text1"/>
          <w:sz w:val="24"/>
          <w14:textFill>
            <w14:solidFill>
              <w14:schemeClr w14:val="tx1"/>
            </w14:solidFill>
          </w14:textFill>
        </w:rPr>
        <w:t>厂家同一品种或同一类型</w:t>
      </w:r>
      <w:r>
        <w:rPr>
          <w:rFonts w:hint="eastAsia"/>
          <w:color w:val="000000" w:themeColor="text1"/>
          <w:sz w:val="24"/>
          <w14:textFill>
            <w14:solidFill>
              <w14:schemeClr w14:val="tx1"/>
            </w14:solidFill>
          </w14:textFill>
        </w:rPr>
        <w:t>的玻璃现场</w:t>
      </w:r>
      <w:r>
        <w:rPr>
          <w:color w:val="000000" w:themeColor="text1"/>
          <w:sz w:val="24"/>
          <w14:textFill>
            <w14:solidFill>
              <w14:schemeClr w14:val="tx1"/>
            </w14:solidFill>
          </w14:textFill>
        </w:rPr>
        <w:t>抽检不应少于</w:t>
      </w:r>
      <w:r>
        <w:rPr>
          <w:rFonts w:hint="eastAsia"/>
          <w:color w:val="000000" w:themeColor="text1"/>
          <w:sz w:val="24"/>
          <w14:textFill>
            <w14:solidFill>
              <w14:schemeClr w14:val="tx1"/>
            </w14:solidFill>
          </w14:textFill>
        </w:rPr>
        <w:t>1组</w:t>
      </w:r>
      <w:r>
        <w:rPr>
          <w:color w:val="000000" w:themeColor="text1"/>
          <w:sz w:val="24"/>
          <w14:textFill>
            <w14:solidFill>
              <w14:schemeClr w14:val="tx1"/>
            </w14:solidFill>
          </w14:textFill>
        </w:rPr>
        <w:t>。</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在实际工程应用中，建筑门窗、玻璃幕墙的光学热工性能检测大多是实验室检测，实验室检测的样品由生产厂家单独制作，与现场实际用的产品无法做到完全一致，不能完全反应工程的实际情况。为了更方便工程现场检测，规范现场检测方法，提高</w:t>
      </w:r>
      <w:r>
        <w:rPr>
          <w:rFonts w:eastAsia="楷体"/>
          <w:color w:val="3016EE"/>
        </w:rPr>
        <w:t>玻璃产品现场</w:t>
      </w:r>
      <w:r>
        <w:rPr>
          <w:rFonts w:hint="eastAsia" w:eastAsia="楷体"/>
          <w:color w:val="3016EE"/>
        </w:rPr>
        <w:t>使用</w:t>
      </w:r>
      <w:r>
        <w:rPr>
          <w:rFonts w:eastAsia="楷体"/>
          <w:color w:val="3016EE"/>
        </w:rPr>
        <w:t>质量，</w:t>
      </w:r>
      <w:r>
        <w:rPr>
          <w:rFonts w:hint="eastAsia" w:eastAsia="楷体"/>
          <w:color w:val="3016EE"/>
        </w:rPr>
        <w:t>增加了</w:t>
      </w:r>
      <w:r>
        <w:rPr>
          <w:rFonts w:eastAsia="楷体"/>
          <w:color w:val="3016EE"/>
        </w:rPr>
        <w:t>玻璃</w:t>
      </w:r>
      <w:r>
        <w:rPr>
          <w:rFonts w:hint="eastAsia" w:eastAsia="楷体"/>
          <w:color w:val="3016EE"/>
        </w:rPr>
        <w:t>性能</w:t>
      </w:r>
      <w:r>
        <w:rPr>
          <w:rFonts w:eastAsia="楷体"/>
          <w:color w:val="3016EE"/>
        </w:rPr>
        <w:t>现场检测方法</w:t>
      </w:r>
      <w:r>
        <w:rPr>
          <w:rFonts w:hint="eastAsia" w:eastAsia="楷体"/>
          <w:color w:val="3016EE"/>
        </w:rPr>
        <w:t xml:space="preserve">。 </w:t>
      </w:r>
    </w:p>
    <w:p>
      <w:pPr>
        <w:spacing w:line="360" w:lineRule="auto"/>
        <w:ind w:firstLine="420" w:firstLineChars="200"/>
        <w:rPr>
          <w:rFonts w:eastAsia="楷体"/>
          <w:color w:val="3016EE"/>
        </w:rPr>
      </w:pPr>
      <w:r>
        <w:rPr>
          <w:rFonts w:eastAsia="楷体"/>
          <w:color w:val="3016EE"/>
        </w:rPr>
        <w:t>玻璃</w:t>
      </w:r>
      <w:r>
        <w:rPr>
          <w:rFonts w:hint="eastAsia" w:eastAsia="楷体"/>
          <w:color w:val="3016EE"/>
        </w:rPr>
        <w:t>性能</w:t>
      </w:r>
      <w:r>
        <w:rPr>
          <w:rFonts w:eastAsia="楷体"/>
          <w:color w:val="3016EE"/>
        </w:rPr>
        <w:t>现场检测</w:t>
      </w:r>
      <w:r>
        <w:rPr>
          <w:rFonts w:hint="eastAsia" w:eastAsia="楷体"/>
          <w:color w:val="3016EE"/>
        </w:rPr>
        <w:t>主要针对建筑</w:t>
      </w:r>
      <w:r>
        <w:rPr>
          <w:rFonts w:eastAsia="楷体"/>
          <w:color w:val="3016EE"/>
        </w:rPr>
        <w:t>外围护结构</w:t>
      </w:r>
      <w:r>
        <w:rPr>
          <w:rFonts w:hint="eastAsia" w:eastAsia="楷体"/>
          <w:color w:val="3016EE"/>
        </w:rPr>
        <w:t>的</w:t>
      </w:r>
      <w:r>
        <w:rPr>
          <w:rFonts w:eastAsia="楷体"/>
          <w:color w:val="3016EE"/>
        </w:rPr>
        <w:t>玻璃</w:t>
      </w:r>
      <w:r>
        <w:rPr>
          <w:rFonts w:hint="eastAsia" w:eastAsia="楷体"/>
          <w:color w:val="3016EE"/>
        </w:rPr>
        <w:t>，主要</w:t>
      </w:r>
      <w:r>
        <w:rPr>
          <w:rFonts w:eastAsia="楷体"/>
          <w:color w:val="3016EE"/>
        </w:rPr>
        <w:t>包括幕墙玻璃、外窗玻璃、</w:t>
      </w:r>
      <w:r>
        <w:rPr>
          <w:rFonts w:hint="eastAsia" w:eastAsia="楷体"/>
          <w:color w:val="3016EE"/>
        </w:rPr>
        <w:t>采光</w:t>
      </w:r>
      <w:r>
        <w:rPr>
          <w:rFonts w:eastAsia="楷体"/>
          <w:color w:val="3016EE"/>
        </w:rPr>
        <w:t>屋面玻璃</w:t>
      </w:r>
      <w:r>
        <w:rPr>
          <w:rFonts w:hint="eastAsia" w:eastAsia="楷体"/>
          <w:color w:val="3016EE"/>
        </w:rPr>
        <w:t>。</w:t>
      </w:r>
    </w:p>
    <w:p>
      <w:pPr>
        <w:spacing w:line="360" w:lineRule="auto"/>
        <w:ind w:firstLine="420" w:firstLineChars="200"/>
        <w:rPr>
          <w:rFonts w:eastAsia="楷体"/>
          <w:color w:val="3016EE"/>
        </w:rPr>
      </w:pPr>
      <w:r>
        <w:rPr>
          <w:rFonts w:hint="eastAsia" w:eastAsia="楷体"/>
          <w:color w:val="3016EE"/>
        </w:rPr>
        <w:t>玻璃</w:t>
      </w:r>
      <w:r>
        <w:rPr>
          <w:rFonts w:eastAsia="楷体"/>
          <w:color w:val="3016EE"/>
        </w:rPr>
        <w:t>现场抽检</w:t>
      </w:r>
      <w:r>
        <w:rPr>
          <w:rFonts w:hint="eastAsia" w:eastAsia="楷体"/>
          <w:color w:val="3016EE"/>
        </w:rPr>
        <w:t>数量</w:t>
      </w:r>
      <w:r>
        <w:rPr>
          <w:rFonts w:eastAsia="楷体"/>
          <w:color w:val="3016EE"/>
        </w:rPr>
        <w:t>参考了《</w:t>
      </w:r>
      <w:r>
        <w:rPr>
          <w:rFonts w:hint="eastAsia" w:eastAsia="楷体"/>
          <w:color w:val="3016EE"/>
        </w:rPr>
        <w:t>广东省</w:t>
      </w:r>
      <w:r>
        <w:rPr>
          <w:rFonts w:eastAsia="楷体"/>
          <w:color w:val="3016EE"/>
        </w:rPr>
        <w:t>建筑节能工程施工质量验收规范》</w:t>
      </w:r>
      <w:r>
        <w:rPr>
          <w:rFonts w:hint="eastAsia" w:eastAsia="楷体"/>
          <w:color w:val="3016EE"/>
        </w:rPr>
        <w:t>DBJ15-65-2009的</w:t>
      </w:r>
      <w:r>
        <w:rPr>
          <w:rFonts w:eastAsia="楷体"/>
          <w:color w:val="3016EE"/>
        </w:rPr>
        <w:t>相关要求</w:t>
      </w:r>
      <w:r>
        <w:rPr>
          <w:rFonts w:hint="eastAsia" w:eastAsia="楷体"/>
          <w:color w:val="3016EE"/>
        </w:rPr>
        <w:t>。</w:t>
      </w:r>
    </w:p>
    <w:p>
      <w:pPr>
        <w:spacing w:line="360" w:lineRule="auto"/>
        <w:rPr>
          <w:color w:val="000000" w:themeColor="text1"/>
          <w:sz w:val="24"/>
          <w14:textFill>
            <w14:solidFill>
              <w14:schemeClr w14:val="tx1"/>
            </w14:solidFill>
          </w14:textFill>
        </w:rPr>
      </w:pPr>
      <w:r>
        <w:rPr>
          <w:rFonts w:hint="eastAsia"/>
          <w:b/>
          <w:sz w:val="24"/>
        </w:rPr>
        <w:t>6.10.</w:t>
      </w:r>
      <w:r>
        <w:rPr>
          <w:b/>
          <w:sz w:val="24"/>
        </w:rPr>
        <w:t>2</w:t>
      </w:r>
      <w:r>
        <w:rPr>
          <w:rFonts w:hint="eastAsia"/>
          <w:b/>
          <w:sz w:val="24"/>
        </w:rPr>
        <w:t xml:space="preserve"> </w:t>
      </w:r>
      <w:r>
        <w:rPr>
          <w:rFonts w:hint="eastAsia"/>
          <w:color w:val="000000" w:themeColor="text1"/>
          <w:sz w:val="24"/>
          <w14:textFill>
            <w14:solidFill>
              <w14:schemeClr w14:val="tx1"/>
            </w14:solidFill>
          </w14:textFill>
        </w:rPr>
        <w:t xml:space="preserve"> 玻璃光学</w:t>
      </w:r>
      <w:r>
        <w:rPr>
          <w:color w:val="000000" w:themeColor="text1"/>
          <w:sz w:val="24"/>
          <w14:textFill>
            <w14:solidFill>
              <w14:schemeClr w14:val="tx1"/>
            </w14:solidFill>
          </w14:textFill>
        </w:rPr>
        <w:t>热工性能</w:t>
      </w:r>
      <w:r>
        <w:rPr>
          <w:rFonts w:hint="eastAsia"/>
          <w:color w:val="000000" w:themeColor="text1"/>
          <w:sz w:val="24"/>
          <w14:textFill>
            <w14:solidFill>
              <w14:schemeClr w14:val="tx1"/>
            </w14:solidFill>
          </w14:textFill>
        </w:rPr>
        <w:t>的</w:t>
      </w:r>
      <w:r>
        <w:rPr>
          <w:color w:val="000000" w:themeColor="text1"/>
          <w:sz w:val="24"/>
          <w14:textFill>
            <w14:solidFill>
              <w14:schemeClr w14:val="tx1"/>
            </w14:solidFill>
          </w14:textFill>
        </w:rPr>
        <w:t>现场</w:t>
      </w:r>
      <w:r>
        <w:rPr>
          <w:rFonts w:hint="eastAsia"/>
          <w:color w:val="000000" w:themeColor="text1"/>
          <w:sz w:val="24"/>
          <w14:textFill>
            <w14:solidFill>
              <w14:schemeClr w14:val="tx1"/>
            </w14:solidFill>
          </w14:textFill>
        </w:rPr>
        <w:t>检测方法应符合下列</w:t>
      </w:r>
      <w:r>
        <w:rPr>
          <w:color w:val="000000" w:themeColor="text1"/>
          <w:sz w:val="24"/>
          <w14:textFill>
            <w14:solidFill>
              <w14:schemeClr w14:val="tx1"/>
            </w14:solidFill>
          </w14:textFill>
        </w:rPr>
        <w:t>规定</w:t>
      </w:r>
      <w:r>
        <w:rPr>
          <w:rFonts w:hint="eastAsia"/>
          <w:color w:val="000000" w:themeColor="text1"/>
          <w:sz w:val="24"/>
          <w14:textFill>
            <w14:solidFill>
              <w14:schemeClr w14:val="tx1"/>
            </w14:solidFill>
          </w14:textFill>
        </w:rPr>
        <w:t>：</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  检测应在仪器使用允许环境温度、湿度条件下进行。</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  玻璃光学</w:t>
      </w:r>
      <w:r>
        <w:rPr>
          <w:color w:val="000000" w:themeColor="text1"/>
          <w:sz w:val="24"/>
          <w14:textFill>
            <w14:solidFill>
              <w14:schemeClr w14:val="tx1"/>
            </w14:solidFill>
          </w14:textFill>
        </w:rPr>
        <w:t>热工性能的现场检测方法应符合本标准附录</w:t>
      </w:r>
      <w:r>
        <w:rPr>
          <w:rFonts w:hint="eastAsia"/>
          <w:color w:val="000000" w:themeColor="text1"/>
          <w:sz w:val="24"/>
          <w14:textFill>
            <w14:solidFill>
              <w14:schemeClr w14:val="tx1"/>
            </w14:solidFill>
          </w14:textFill>
        </w:rPr>
        <w:t>B</w:t>
      </w:r>
      <w:r>
        <w:rPr>
          <w:color w:val="000000" w:themeColor="text1"/>
          <w:sz w:val="24"/>
          <w14:textFill>
            <w14:solidFill>
              <w14:schemeClr w14:val="tx1"/>
            </w14:solidFill>
          </w14:textFill>
        </w:rPr>
        <w:t>的规定</w:t>
      </w:r>
      <w:r>
        <w:rPr>
          <w:rFonts w:hint="eastAsia"/>
          <w:color w:val="000000" w:themeColor="text1"/>
          <w:sz w:val="24"/>
          <w14:textFill>
            <w14:solidFill>
              <w14:schemeClr w14:val="tx1"/>
            </w14:solidFill>
          </w14:textFill>
        </w:rPr>
        <w:t>。</w:t>
      </w:r>
    </w:p>
    <w:p>
      <w:pPr>
        <w:spacing w:line="360" w:lineRule="auto"/>
        <w:rPr>
          <w:sz w:val="24"/>
        </w:rPr>
      </w:pPr>
      <w:r>
        <w:rPr>
          <w:b/>
          <w:sz w:val="24"/>
        </w:rPr>
        <w:t>6.</w:t>
      </w:r>
      <w:r>
        <w:rPr>
          <w:rFonts w:hint="eastAsia"/>
          <w:b/>
          <w:sz w:val="24"/>
        </w:rPr>
        <w:t>10</w:t>
      </w:r>
      <w:r>
        <w:rPr>
          <w:b/>
          <w:sz w:val="24"/>
        </w:rPr>
        <w:t>.3</w:t>
      </w:r>
      <w:r>
        <w:rPr>
          <w:rFonts w:hint="eastAsia"/>
          <w:b/>
          <w:sz w:val="24"/>
        </w:rPr>
        <w:t xml:space="preserve"> </w:t>
      </w:r>
      <w:r>
        <w:rPr>
          <w:rFonts w:hint="eastAsia"/>
          <w:sz w:val="24"/>
        </w:rPr>
        <w:t xml:space="preserve"> </w:t>
      </w:r>
      <w:r>
        <w:rPr>
          <w:rFonts w:hint="eastAsia"/>
          <w:color w:val="000000" w:themeColor="text1"/>
          <w:sz w:val="24"/>
          <w14:textFill>
            <w14:solidFill>
              <w14:schemeClr w14:val="tx1"/>
            </w14:solidFill>
          </w14:textFill>
        </w:rPr>
        <w:t>玻璃光学</w:t>
      </w:r>
      <w:r>
        <w:rPr>
          <w:color w:val="000000" w:themeColor="text1"/>
          <w:sz w:val="24"/>
          <w14:textFill>
            <w14:solidFill>
              <w14:schemeClr w14:val="tx1"/>
            </w14:solidFill>
          </w14:textFill>
        </w:rPr>
        <w:t>热工性能</w:t>
      </w:r>
      <w:r>
        <w:rPr>
          <w:rFonts w:hint="eastAsia"/>
          <w:sz w:val="24"/>
        </w:rPr>
        <w:t>的合格指标与判定方法应符合下列规定：</w:t>
      </w:r>
    </w:p>
    <w:p>
      <w:pPr>
        <w:spacing w:line="360" w:lineRule="auto"/>
        <w:ind w:firstLine="480" w:firstLineChars="200"/>
        <w:rPr>
          <w:sz w:val="24"/>
        </w:rPr>
      </w:pPr>
      <w:r>
        <w:rPr>
          <w:rFonts w:hint="eastAsia"/>
          <w:sz w:val="24"/>
        </w:rPr>
        <w:t xml:space="preserve">1  </w:t>
      </w:r>
      <w:r>
        <w:rPr>
          <w:rFonts w:hint="eastAsia"/>
          <w:color w:val="000000" w:themeColor="text1"/>
          <w:sz w:val="24"/>
          <w14:textFill>
            <w14:solidFill>
              <w14:schemeClr w14:val="tx1"/>
            </w14:solidFill>
          </w14:textFill>
        </w:rPr>
        <w:t>玻璃光学</w:t>
      </w:r>
      <w:r>
        <w:rPr>
          <w:color w:val="000000" w:themeColor="text1"/>
          <w:sz w:val="24"/>
          <w14:textFill>
            <w14:solidFill>
              <w14:schemeClr w14:val="tx1"/>
            </w14:solidFill>
          </w14:textFill>
        </w:rPr>
        <w:t>热工性能</w:t>
      </w:r>
      <w:r>
        <w:rPr>
          <w:rFonts w:hint="eastAsia"/>
          <w:color w:val="000000" w:themeColor="text1"/>
          <w:sz w:val="24"/>
          <w14:textFill>
            <w14:solidFill>
              <w14:schemeClr w14:val="tx1"/>
            </w14:solidFill>
          </w14:textFill>
        </w:rPr>
        <w:t>的现场检测值</w:t>
      </w:r>
      <w:r>
        <w:rPr>
          <w:color w:val="000000" w:themeColor="text1"/>
          <w:sz w:val="24"/>
          <w14:textFill>
            <w14:solidFill>
              <w14:schemeClr w14:val="tx1"/>
            </w14:solidFill>
          </w14:textFill>
        </w:rPr>
        <w:t>应符合设计要求</w:t>
      </w:r>
      <w:r>
        <w:rPr>
          <w:rFonts w:hint="eastAsia"/>
          <w:sz w:val="24"/>
        </w:rPr>
        <w:t>。</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根据相关标准及玻璃设计要求确定玻璃光学热工性能现场检测参数，玻璃光学热工性能现场检测参数一般包括可见光透射比、可见光反射比、遮阳系数、传热系数等。玻璃</w:t>
      </w:r>
      <w:r>
        <w:rPr>
          <w:rFonts w:eastAsia="楷体"/>
          <w:color w:val="3016EE"/>
        </w:rPr>
        <w:t>光学热工性能现场检测结果应与建筑节能设计专篇上对应的设计要求进行对比，</w:t>
      </w:r>
      <w:r>
        <w:rPr>
          <w:rFonts w:hint="eastAsia" w:eastAsia="楷体"/>
          <w:color w:val="3016EE"/>
        </w:rPr>
        <w:t>判定</w:t>
      </w:r>
      <w:r>
        <w:rPr>
          <w:rFonts w:eastAsia="楷体"/>
          <w:color w:val="3016EE"/>
        </w:rPr>
        <w:t>检测结果是否符合设计要求</w:t>
      </w:r>
      <w:r>
        <w:rPr>
          <w:rFonts w:hint="eastAsia" w:eastAsia="楷体"/>
          <w:color w:val="3016EE"/>
        </w:rPr>
        <w:t>。</w:t>
      </w:r>
    </w:p>
    <w:p>
      <w:pPr>
        <w:spacing w:line="360" w:lineRule="auto"/>
        <w:ind w:firstLine="420" w:firstLineChars="200"/>
        <w:rPr>
          <w:rFonts w:eastAsia="楷体"/>
          <w:color w:val="3016EE"/>
        </w:rPr>
      </w:pPr>
      <w:r>
        <w:rPr>
          <w:rFonts w:hint="eastAsia" w:eastAsia="楷体"/>
          <w:color w:val="3016EE"/>
        </w:rPr>
        <w:t>当</w:t>
      </w:r>
      <w:r>
        <w:rPr>
          <w:rFonts w:eastAsia="楷体"/>
          <w:color w:val="3016EE"/>
        </w:rPr>
        <w:t>现场检测结果</w:t>
      </w:r>
      <w:r>
        <w:rPr>
          <w:rFonts w:hint="eastAsia" w:eastAsia="楷体"/>
          <w:color w:val="3016EE"/>
        </w:rPr>
        <w:t>出现不符合</w:t>
      </w:r>
      <w:r>
        <w:rPr>
          <w:rFonts w:eastAsia="楷体"/>
          <w:color w:val="3016EE"/>
        </w:rPr>
        <w:t>设计要求时，</w:t>
      </w:r>
      <w:r>
        <w:rPr>
          <w:rFonts w:hint="eastAsia" w:eastAsia="楷体"/>
          <w:color w:val="3016EE"/>
        </w:rPr>
        <w:t>在</w:t>
      </w:r>
      <w:r>
        <w:rPr>
          <w:rFonts w:eastAsia="楷体"/>
          <w:color w:val="3016EE"/>
        </w:rPr>
        <w:t>现场条件允许情况下，可以现场拆除所测玻璃试件送检至具备检测资质的检测</w:t>
      </w:r>
      <w:r>
        <w:rPr>
          <w:rFonts w:hint="eastAsia" w:eastAsia="楷体"/>
          <w:color w:val="3016EE"/>
        </w:rPr>
        <w:t>机构</w:t>
      </w:r>
      <w:r>
        <w:rPr>
          <w:rFonts w:eastAsia="楷体"/>
          <w:color w:val="3016EE"/>
        </w:rPr>
        <w:t>进行复验</w:t>
      </w:r>
      <w:r>
        <w:rPr>
          <w:rFonts w:hint="eastAsia" w:eastAsia="楷体"/>
          <w:color w:val="3016EE"/>
        </w:rPr>
        <w:t>，</w:t>
      </w:r>
      <w:r>
        <w:rPr>
          <w:rFonts w:eastAsia="楷体"/>
          <w:color w:val="3016EE"/>
        </w:rPr>
        <w:t>该复验</w:t>
      </w:r>
      <w:r>
        <w:rPr>
          <w:rFonts w:hint="eastAsia" w:eastAsia="楷体"/>
          <w:color w:val="3016EE"/>
        </w:rPr>
        <w:t>应为</w:t>
      </w:r>
      <w:r>
        <w:rPr>
          <w:rFonts w:eastAsia="楷体"/>
          <w:color w:val="3016EE"/>
        </w:rPr>
        <w:t>见证取样送检。</w:t>
      </w:r>
      <w:r>
        <w:rPr>
          <w:rFonts w:hint="eastAsia" w:eastAsia="楷体"/>
          <w:color w:val="3016EE"/>
        </w:rPr>
        <w:t>当</w:t>
      </w:r>
      <w:r>
        <w:rPr>
          <w:rFonts w:eastAsia="楷体"/>
          <w:color w:val="3016EE"/>
        </w:rPr>
        <w:t>见证取样送检</w:t>
      </w:r>
      <w:r>
        <w:rPr>
          <w:rFonts w:hint="eastAsia" w:eastAsia="楷体"/>
          <w:color w:val="3016EE"/>
        </w:rPr>
        <w:t>的</w:t>
      </w:r>
      <w:r>
        <w:rPr>
          <w:rFonts w:eastAsia="楷体"/>
          <w:color w:val="3016EE"/>
        </w:rPr>
        <w:t>检测结果符合设计要求时，应以见证取样送检</w:t>
      </w:r>
      <w:r>
        <w:rPr>
          <w:rFonts w:hint="eastAsia" w:eastAsia="楷体"/>
          <w:color w:val="3016EE"/>
        </w:rPr>
        <w:t>的</w:t>
      </w:r>
      <w:r>
        <w:rPr>
          <w:rFonts w:eastAsia="楷体"/>
          <w:color w:val="3016EE"/>
        </w:rPr>
        <w:t>检测结果</w:t>
      </w:r>
      <w:r>
        <w:rPr>
          <w:rFonts w:hint="eastAsia" w:eastAsia="楷体"/>
          <w:color w:val="3016EE"/>
        </w:rPr>
        <w:t>为准</w:t>
      </w:r>
      <w:r>
        <w:rPr>
          <w:rFonts w:eastAsia="楷体"/>
          <w:color w:val="3016EE"/>
        </w:rPr>
        <w:t>。</w:t>
      </w:r>
    </w:p>
    <w:p>
      <w:pPr>
        <w:spacing w:line="360" w:lineRule="auto"/>
        <w:ind w:firstLine="420" w:firstLineChars="200"/>
        <w:rPr>
          <w:rFonts w:eastAsia="楷体"/>
          <w:color w:val="3016EE"/>
        </w:rPr>
      </w:pPr>
    </w:p>
    <w:p>
      <w:pPr>
        <w:pStyle w:val="3"/>
      </w:pPr>
      <w:bookmarkStart w:id="75" w:name="_Toc17811177"/>
      <w:bookmarkStart w:id="76" w:name="_Toc16776667"/>
      <w:r>
        <w:rPr>
          <w:rFonts w:ascii="Times New Roman" w:hAnsi="Times New Roman" w:cs="Times New Roman"/>
          <w:lang w:val="zh-CN"/>
        </w:rPr>
        <w:t>6.1</w:t>
      </w:r>
      <w:r>
        <w:rPr>
          <w:rFonts w:hint="eastAsia" w:ascii="Times New Roman" w:hAnsi="Times New Roman" w:cs="Times New Roman"/>
          <w:lang w:val="zh-CN"/>
        </w:rPr>
        <w:t>1</w:t>
      </w:r>
      <w:r>
        <w:rPr>
          <w:rFonts w:ascii="Times New Roman" w:hAnsi="Times New Roman" w:cs="Times New Roman"/>
          <w:lang w:val="zh-CN"/>
        </w:rPr>
        <w:t xml:space="preserve"> </w:t>
      </w:r>
      <w:r>
        <w:rPr>
          <w:rFonts w:hint="eastAsia"/>
        </w:rPr>
        <w:t>保温板粘贴面积比</w:t>
      </w:r>
      <w:r>
        <w:t>现场</w:t>
      </w:r>
      <w:r>
        <w:rPr>
          <w:rFonts w:hint="eastAsia"/>
        </w:rPr>
        <w:t>检测</w:t>
      </w:r>
      <w:bookmarkEnd w:id="75"/>
      <w:bookmarkEnd w:id="76"/>
    </w:p>
    <w:p>
      <w:pPr>
        <w:spacing w:line="360" w:lineRule="auto"/>
        <w:rPr>
          <w:sz w:val="24"/>
        </w:rPr>
      </w:pPr>
      <w:r>
        <w:rPr>
          <w:rFonts w:hint="eastAsia"/>
          <w:b/>
          <w:sz w:val="24"/>
        </w:rPr>
        <w:t>6.</w:t>
      </w:r>
      <w:r>
        <w:rPr>
          <w:b/>
          <w:sz w:val="24"/>
        </w:rPr>
        <w:t>1</w:t>
      </w:r>
      <w:r>
        <w:rPr>
          <w:rFonts w:hint="eastAsia"/>
          <w:b/>
          <w:sz w:val="24"/>
        </w:rPr>
        <w:t xml:space="preserve">1.1  </w:t>
      </w:r>
      <w:r>
        <w:rPr>
          <w:rFonts w:hint="eastAsia"/>
          <w:sz w:val="24"/>
        </w:rPr>
        <w:t>同一</w:t>
      </w:r>
      <w:r>
        <w:rPr>
          <w:sz w:val="24"/>
        </w:rPr>
        <w:t>厂家同一品种或同一类型</w:t>
      </w:r>
      <w:r>
        <w:rPr>
          <w:rFonts w:hint="eastAsia"/>
          <w:sz w:val="24"/>
        </w:rPr>
        <w:t>的保温板</w:t>
      </w:r>
      <w:r>
        <w:rPr>
          <w:sz w:val="24"/>
        </w:rPr>
        <w:t>现场抽检不少于</w:t>
      </w:r>
      <w:r>
        <w:rPr>
          <w:rFonts w:hint="eastAsia"/>
          <w:sz w:val="24"/>
        </w:rPr>
        <w:t>1处</w:t>
      </w:r>
      <w:r>
        <w:rPr>
          <w:sz w:val="24"/>
        </w:rPr>
        <w:t>。</w:t>
      </w:r>
    </w:p>
    <w:p>
      <w:pPr>
        <w:spacing w:line="360" w:lineRule="auto"/>
        <w:rPr>
          <w:rFonts w:eastAsia="楷体"/>
          <w:color w:val="3016EE"/>
        </w:rPr>
      </w:pPr>
      <w:r>
        <w:rPr>
          <w:rFonts w:hint="eastAsia" w:eastAsia="楷体"/>
          <w:color w:val="3016EE"/>
        </w:rPr>
        <w:t>【条文说明】</w:t>
      </w:r>
    </w:p>
    <w:p>
      <w:pPr>
        <w:spacing w:line="360" w:lineRule="auto"/>
        <w:ind w:firstLine="525" w:firstLineChars="250"/>
        <w:rPr>
          <w:rFonts w:ascii="黑体" w:hAnsi="黑体" w:eastAsia="黑体"/>
          <w:b/>
          <w:color w:val="000000"/>
          <w:kern w:val="0"/>
          <w:sz w:val="24"/>
        </w:rPr>
      </w:pPr>
      <w:r>
        <w:rPr>
          <w:rFonts w:eastAsia="楷体"/>
          <w:color w:val="3016EE"/>
        </w:rPr>
        <w:t>保温板材与基层及各构造层之间的粘结或连接必须牢固</w:t>
      </w:r>
      <w:r>
        <w:rPr>
          <w:rFonts w:hint="eastAsia" w:eastAsia="楷体"/>
          <w:color w:val="3016EE"/>
        </w:rPr>
        <w:t>，这是</w:t>
      </w:r>
      <w:r>
        <w:rPr>
          <w:rFonts w:eastAsia="楷体"/>
          <w:color w:val="3016EE"/>
        </w:rPr>
        <w:t>墙体节能工程的施工</w:t>
      </w:r>
      <w:r>
        <w:rPr>
          <w:rFonts w:hint="eastAsia" w:eastAsia="楷体"/>
          <w:color w:val="3016EE"/>
        </w:rPr>
        <w:t>质量基本要求，这要求主要关系到安全和节能效果，十分重要。</w:t>
      </w:r>
      <w:r>
        <w:rPr>
          <w:rFonts w:eastAsia="楷体"/>
          <w:color w:val="3016EE"/>
        </w:rPr>
        <w:t>保温板材与基层的连接方式</w:t>
      </w:r>
      <w:r>
        <w:rPr>
          <w:rFonts w:hint="eastAsia" w:eastAsia="楷体"/>
          <w:color w:val="3016EE"/>
        </w:rPr>
        <w:t>和</w:t>
      </w:r>
      <w:r>
        <w:rPr>
          <w:rFonts w:eastAsia="楷体"/>
          <w:color w:val="3016EE"/>
        </w:rPr>
        <w:t>粘结面积比应符合设计要求，粘结面积比应进行剥离检验。</w:t>
      </w:r>
    </w:p>
    <w:p>
      <w:pPr>
        <w:spacing w:line="360" w:lineRule="auto"/>
        <w:rPr>
          <w:b/>
          <w:sz w:val="24"/>
        </w:rPr>
      </w:pPr>
      <w:r>
        <w:rPr>
          <w:rFonts w:hint="eastAsia"/>
          <w:b/>
          <w:sz w:val="24"/>
        </w:rPr>
        <w:t>6.</w:t>
      </w:r>
      <w:r>
        <w:rPr>
          <w:b/>
          <w:sz w:val="24"/>
        </w:rPr>
        <w:t>1</w:t>
      </w:r>
      <w:r>
        <w:rPr>
          <w:rFonts w:hint="eastAsia"/>
          <w:b/>
          <w:sz w:val="24"/>
        </w:rPr>
        <w:t>1.</w:t>
      </w:r>
      <w:r>
        <w:rPr>
          <w:b/>
          <w:sz w:val="24"/>
        </w:rPr>
        <w:t xml:space="preserve">2  </w:t>
      </w:r>
      <w:r>
        <w:rPr>
          <w:rFonts w:hint="eastAsia"/>
          <w:sz w:val="24"/>
        </w:rPr>
        <w:t>保温板粘贴面积比的现场</w:t>
      </w:r>
      <w:r>
        <w:rPr>
          <w:sz w:val="24"/>
        </w:rPr>
        <w:t>剥离</w:t>
      </w:r>
      <w:r>
        <w:rPr>
          <w:rFonts w:hint="eastAsia"/>
          <w:sz w:val="24"/>
        </w:rPr>
        <w:t>检测方法</w:t>
      </w:r>
      <w:r>
        <w:rPr>
          <w:sz w:val="24"/>
        </w:rPr>
        <w:t>应符合下列规定：</w:t>
      </w:r>
    </w:p>
    <w:p>
      <w:pPr>
        <w:spacing w:line="360" w:lineRule="auto"/>
        <w:ind w:firstLine="480" w:firstLineChars="200"/>
        <w:rPr>
          <w:sz w:val="24"/>
        </w:rPr>
      </w:pPr>
      <w:r>
        <w:rPr>
          <w:sz w:val="24"/>
        </w:rPr>
        <w:t xml:space="preserve">1 </w:t>
      </w:r>
      <w:r>
        <w:rPr>
          <w:rFonts w:hint="eastAsia"/>
          <w:sz w:val="24"/>
        </w:rPr>
        <w:t>检测应在保温板粘贴完成后、抹面层未施工之前进行。</w:t>
      </w:r>
    </w:p>
    <w:p>
      <w:pPr>
        <w:spacing w:line="360" w:lineRule="auto"/>
        <w:ind w:firstLine="480" w:firstLineChars="200"/>
        <w:rPr>
          <w:color w:val="000000" w:themeColor="text1"/>
          <w:sz w:val="24"/>
          <w14:textFill>
            <w14:solidFill>
              <w14:schemeClr w14:val="tx1"/>
            </w14:solidFill>
          </w14:textFill>
        </w:rPr>
      </w:pPr>
      <w:r>
        <w:rPr>
          <w:sz w:val="24"/>
        </w:rPr>
        <w:t>2</w:t>
      </w:r>
      <w:r>
        <w:rPr>
          <w:rFonts w:hint="eastAsia"/>
          <w:sz w:val="24"/>
        </w:rPr>
        <w:t xml:space="preserve"> 保温板粘贴面积比的</w:t>
      </w:r>
      <w:r>
        <w:rPr>
          <w:color w:val="000000" w:themeColor="text1"/>
          <w:sz w:val="24"/>
          <w14:textFill>
            <w14:solidFill>
              <w14:schemeClr w14:val="tx1"/>
            </w14:solidFill>
          </w14:textFill>
        </w:rPr>
        <w:t>现场</w:t>
      </w:r>
      <w:r>
        <w:rPr>
          <w:rFonts w:hint="eastAsia"/>
          <w:color w:val="000000" w:themeColor="text1"/>
          <w:sz w:val="24"/>
          <w14:textFill>
            <w14:solidFill>
              <w14:schemeClr w14:val="tx1"/>
            </w14:solidFill>
          </w14:textFill>
        </w:rPr>
        <w:t>检测</w:t>
      </w:r>
      <w:r>
        <w:rPr>
          <w:color w:val="000000" w:themeColor="text1"/>
          <w:sz w:val="24"/>
          <w14:textFill>
            <w14:solidFill>
              <w14:schemeClr w14:val="tx1"/>
            </w14:solidFill>
          </w14:textFill>
        </w:rPr>
        <w:t>方法应符合本标准附录</w:t>
      </w:r>
      <w:r>
        <w:rPr>
          <w:rFonts w:hint="eastAsia"/>
          <w:color w:val="000000" w:themeColor="text1"/>
          <w:sz w:val="24"/>
          <w14:textFill>
            <w14:solidFill>
              <w14:schemeClr w14:val="tx1"/>
            </w14:solidFill>
          </w14:textFill>
        </w:rPr>
        <w:t>C</w:t>
      </w:r>
      <w:r>
        <w:rPr>
          <w:color w:val="000000" w:themeColor="text1"/>
          <w:sz w:val="24"/>
          <w14:textFill>
            <w14:solidFill>
              <w14:schemeClr w14:val="tx1"/>
            </w14:solidFill>
          </w14:textFill>
        </w:rPr>
        <w:t>的规定</w:t>
      </w:r>
      <w:r>
        <w:rPr>
          <w:rFonts w:hint="eastAsia"/>
          <w:color w:val="000000" w:themeColor="text1"/>
          <w:sz w:val="24"/>
          <w14:textFill>
            <w14:solidFill>
              <w14:schemeClr w14:val="tx1"/>
            </w14:solidFill>
          </w14:textFill>
        </w:rPr>
        <w:t>。</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保温板粘贴面积比现场检测</w:t>
      </w:r>
      <w:r>
        <w:rPr>
          <w:rFonts w:eastAsia="楷体"/>
          <w:color w:val="3016EE"/>
        </w:rPr>
        <w:t>按照本</w:t>
      </w:r>
      <w:r>
        <w:rPr>
          <w:rFonts w:hint="eastAsia" w:eastAsia="楷体"/>
          <w:color w:val="3016EE"/>
        </w:rPr>
        <w:t>标准</w:t>
      </w:r>
      <w:r>
        <w:rPr>
          <w:rFonts w:eastAsia="楷体"/>
          <w:color w:val="3016EE"/>
        </w:rPr>
        <w:t>附录 C《保温材料粘结面积比剥离检验方法》</w:t>
      </w:r>
      <w:r>
        <w:rPr>
          <w:rFonts w:hint="eastAsia" w:eastAsia="楷体"/>
          <w:color w:val="3016EE"/>
        </w:rPr>
        <w:t>进</w:t>
      </w:r>
      <w:r>
        <w:rPr>
          <w:rFonts w:eastAsia="楷体"/>
          <w:color w:val="3016EE"/>
        </w:rPr>
        <w:t>行</w:t>
      </w:r>
      <w:r>
        <w:rPr>
          <w:rFonts w:hint="eastAsia" w:eastAsia="楷体"/>
          <w:color w:val="3016EE"/>
        </w:rPr>
        <w:t>现场检验。</w:t>
      </w:r>
    </w:p>
    <w:p>
      <w:pPr>
        <w:spacing w:line="360" w:lineRule="auto"/>
        <w:ind w:firstLine="480" w:firstLineChars="200"/>
        <w:rPr>
          <w:sz w:val="24"/>
        </w:rPr>
      </w:pPr>
    </w:p>
    <w:p>
      <w:pPr>
        <w:spacing w:line="360" w:lineRule="auto"/>
        <w:rPr>
          <w:sz w:val="24"/>
        </w:rPr>
      </w:pPr>
      <w:r>
        <w:rPr>
          <w:b/>
          <w:sz w:val="24"/>
        </w:rPr>
        <w:t>6.1</w:t>
      </w:r>
      <w:r>
        <w:rPr>
          <w:rFonts w:hint="eastAsia"/>
          <w:b/>
          <w:sz w:val="24"/>
        </w:rPr>
        <w:t>1</w:t>
      </w:r>
      <w:r>
        <w:rPr>
          <w:b/>
          <w:sz w:val="24"/>
        </w:rPr>
        <w:t>.3</w:t>
      </w:r>
      <w:r>
        <w:rPr>
          <w:rFonts w:hint="eastAsia"/>
          <w:b/>
          <w:sz w:val="24"/>
        </w:rPr>
        <w:t xml:space="preserve"> </w:t>
      </w:r>
      <w:r>
        <w:rPr>
          <w:rFonts w:hint="eastAsia"/>
          <w:sz w:val="24"/>
        </w:rPr>
        <w:t xml:space="preserve"> 保温板粘贴面积比的合格指标与判定方法应符合下列规定：</w:t>
      </w:r>
    </w:p>
    <w:p>
      <w:pPr>
        <w:spacing w:line="360" w:lineRule="auto"/>
        <w:ind w:firstLine="480" w:firstLineChars="200"/>
        <w:rPr>
          <w:sz w:val="24"/>
        </w:rPr>
      </w:pPr>
      <w:r>
        <w:rPr>
          <w:rFonts w:hint="eastAsia"/>
          <w:sz w:val="24"/>
        </w:rPr>
        <w:t>1  保温板粘贴面积比的检测值均大于或等于设计要求和不小于40%。</w:t>
      </w:r>
    </w:p>
    <w:p>
      <w:pPr>
        <w:spacing w:line="360" w:lineRule="auto"/>
        <w:ind w:firstLine="480" w:firstLineChars="200"/>
        <w:rPr>
          <w:sz w:val="24"/>
        </w:rPr>
      </w:pPr>
      <w:r>
        <w:rPr>
          <w:rFonts w:hint="eastAsia"/>
          <w:sz w:val="24"/>
        </w:rPr>
        <w:t>2  当检测结果符合本条第1款的规定时，应判定为合格。</w:t>
      </w:r>
    </w:p>
    <w:p>
      <w:pPr>
        <w:spacing w:line="360" w:lineRule="auto"/>
        <w:ind w:firstLine="480" w:firstLineChars="200"/>
        <w:rPr>
          <w:sz w:val="24"/>
        </w:rPr>
      </w:pPr>
    </w:p>
    <w:p>
      <w:pPr>
        <w:pStyle w:val="3"/>
      </w:pPr>
      <w:bookmarkStart w:id="77" w:name="_Toc16776668"/>
      <w:bookmarkStart w:id="78" w:name="_Toc17811178"/>
      <w:r>
        <w:rPr>
          <w:rFonts w:ascii="Times New Roman" w:hAnsi="Times New Roman" w:cs="Times New Roman"/>
          <w:lang w:val="zh-CN"/>
        </w:rPr>
        <w:t>6.1</w:t>
      </w:r>
      <w:r>
        <w:rPr>
          <w:rFonts w:hint="eastAsia" w:ascii="Times New Roman" w:hAnsi="Times New Roman" w:cs="Times New Roman"/>
          <w:lang w:val="zh-CN"/>
        </w:rPr>
        <w:t>2</w:t>
      </w:r>
      <w:r>
        <w:rPr>
          <w:rFonts w:ascii="Times New Roman" w:hAnsi="Times New Roman" w:cs="Times New Roman"/>
          <w:lang w:val="zh-CN"/>
        </w:rPr>
        <w:t xml:space="preserve"> </w:t>
      </w:r>
      <w:r>
        <w:rPr>
          <w:rFonts w:hint="eastAsia"/>
        </w:rPr>
        <w:t>保温板与</w:t>
      </w:r>
      <w:r>
        <w:t>基层</w:t>
      </w:r>
      <w:r>
        <w:rPr>
          <w:rFonts w:hint="eastAsia"/>
        </w:rPr>
        <w:t>的</w:t>
      </w:r>
      <w:r>
        <w:t>拉伸</w:t>
      </w:r>
      <w:r>
        <w:rPr>
          <w:rFonts w:hint="eastAsia"/>
        </w:rPr>
        <w:t>粘结</w:t>
      </w:r>
      <w:r>
        <w:t>强度</w:t>
      </w:r>
      <w:r>
        <w:rPr>
          <w:rFonts w:hint="eastAsia"/>
        </w:rPr>
        <w:t>现场检测</w:t>
      </w:r>
      <w:bookmarkEnd w:id="77"/>
      <w:bookmarkEnd w:id="78"/>
    </w:p>
    <w:p>
      <w:pPr>
        <w:spacing w:line="360" w:lineRule="auto"/>
        <w:rPr>
          <w:sz w:val="24"/>
        </w:rPr>
      </w:pPr>
      <w:r>
        <w:rPr>
          <w:rFonts w:hint="eastAsia"/>
          <w:b/>
          <w:sz w:val="24"/>
        </w:rPr>
        <w:t>6.</w:t>
      </w:r>
      <w:r>
        <w:rPr>
          <w:b/>
          <w:sz w:val="24"/>
        </w:rPr>
        <w:t>1</w:t>
      </w:r>
      <w:r>
        <w:rPr>
          <w:rFonts w:hint="eastAsia"/>
          <w:b/>
          <w:sz w:val="24"/>
        </w:rPr>
        <w:t>2</w:t>
      </w:r>
      <w:r>
        <w:rPr>
          <w:b/>
          <w:sz w:val="24"/>
        </w:rPr>
        <w:t>.</w:t>
      </w:r>
      <w:r>
        <w:rPr>
          <w:rFonts w:hint="eastAsia"/>
          <w:b/>
          <w:sz w:val="24"/>
        </w:rPr>
        <w:t xml:space="preserve">1  </w:t>
      </w:r>
      <w:r>
        <w:rPr>
          <w:rFonts w:hint="eastAsia"/>
          <w:sz w:val="24"/>
        </w:rPr>
        <w:t>保温板与</w:t>
      </w:r>
      <w:r>
        <w:rPr>
          <w:sz w:val="24"/>
        </w:rPr>
        <w:t>基层</w:t>
      </w:r>
      <w:r>
        <w:rPr>
          <w:rFonts w:hint="eastAsia"/>
          <w:sz w:val="24"/>
        </w:rPr>
        <w:t>的</w:t>
      </w:r>
      <w:r>
        <w:rPr>
          <w:sz w:val="24"/>
        </w:rPr>
        <w:t>拉伸</w:t>
      </w:r>
      <w:r>
        <w:rPr>
          <w:rFonts w:hint="eastAsia"/>
          <w:sz w:val="24"/>
        </w:rPr>
        <w:t>粘结</w:t>
      </w:r>
      <w:r>
        <w:rPr>
          <w:sz w:val="24"/>
        </w:rPr>
        <w:t>强度</w:t>
      </w:r>
      <w:r>
        <w:rPr>
          <w:rFonts w:hint="eastAsia"/>
          <w:sz w:val="24"/>
        </w:rPr>
        <w:t>现场检测时</w:t>
      </w:r>
      <w:r>
        <w:rPr>
          <w:sz w:val="24"/>
        </w:rPr>
        <w:t>，</w:t>
      </w:r>
      <w:r>
        <w:rPr>
          <w:rFonts w:hint="eastAsia"/>
          <w:sz w:val="24"/>
        </w:rPr>
        <w:t>每检验批取6个测点</w:t>
      </w:r>
      <w:r>
        <w:rPr>
          <w:sz w:val="24"/>
        </w:rPr>
        <w:t>。</w:t>
      </w:r>
    </w:p>
    <w:p>
      <w:pPr>
        <w:spacing w:line="360" w:lineRule="auto"/>
        <w:rPr>
          <w:rFonts w:eastAsia="楷体"/>
          <w:color w:val="3016EE"/>
        </w:rPr>
      </w:pPr>
      <w:r>
        <w:rPr>
          <w:rFonts w:hint="eastAsia" w:eastAsia="楷体"/>
          <w:color w:val="3016EE"/>
        </w:rPr>
        <w:t>【条文说明】</w:t>
      </w:r>
    </w:p>
    <w:p>
      <w:pPr>
        <w:autoSpaceDE w:val="0"/>
        <w:autoSpaceDN w:val="0"/>
        <w:adjustRightInd w:val="0"/>
        <w:spacing w:line="440" w:lineRule="exact"/>
        <w:ind w:firstLine="420" w:firstLineChars="200"/>
        <w:rPr>
          <w:rFonts w:ascii="黑体" w:hAnsi="黑体" w:eastAsia="黑体"/>
          <w:b/>
          <w:color w:val="000000"/>
          <w:kern w:val="0"/>
          <w:sz w:val="24"/>
        </w:rPr>
      </w:pPr>
      <w:r>
        <w:rPr>
          <w:rFonts w:eastAsia="楷体"/>
          <w:color w:val="3016EE"/>
        </w:rPr>
        <w:t>保温板材与基层及各构造层之间的粘结或连接必须牢固</w:t>
      </w:r>
      <w:r>
        <w:rPr>
          <w:rFonts w:hint="eastAsia" w:eastAsia="楷体"/>
          <w:color w:val="3016EE"/>
        </w:rPr>
        <w:t>，这是</w:t>
      </w:r>
      <w:r>
        <w:rPr>
          <w:rFonts w:eastAsia="楷体"/>
          <w:color w:val="3016EE"/>
        </w:rPr>
        <w:t>墙体节能工程的施工</w:t>
      </w:r>
      <w:r>
        <w:rPr>
          <w:rFonts w:hint="eastAsia" w:eastAsia="楷体"/>
          <w:color w:val="3016EE"/>
        </w:rPr>
        <w:t>质量基本要求，这要求主要关系到安全和节能效果，十分重要。</w:t>
      </w:r>
      <w:r>
        <w:rPr>
          <w:rFonts w:eastAsia="楷体"/>
          <w:color w:val="3016EE"/>
        </w:rPr>
        <w:t>保温板材与基层的连接方式</w:t>
      </w:r>
      <w:r>
        <w:rPr>
          <w:rFonts w:hint="eastAsia" w:eastAsia="楷体"/>
          <w:color w:val="3016EE"/>
        </w:rPr>
        <w:t>和</w:t>
      </w:r>
      <w:r>
        <w:rPr>
          <w:rFonts w:eastAsia="楷体"/>
          <w:color w:val="3016EE"/>
        </w:rPr>
        <w:t>拉伸粘结强度应符合设计要求。保温板材与基层的拉伸粘结强度应进行现场拉拔试验。</w:t>
      </w:r>
    </w:p>
    <w:p>
      <w:pPr>
        <w:spacing w:line="360" w:lineRule="auto"/>
        <w:rPr>
          <w:b/>
          <w:sz w:val="24"/>
        </w:rPr>
      </w:pPr>
      <w:r>
        <w:rPr>
          <w:rFonts w:hint="eastAsia"/>
          <w:b/>
          <w:sz w:val="24"/>
        </w:rPr>
        <w:t>6.</w:t>
      </w:r>
      <w:r>
        <w:rPr>
          <w:b/>
          <w:sz w:val="24"/>
        </w:rPr>
        <w:t>1</w:t>
      </w:r>
      <w:r>
        <w:rPr>
          <w:rFonts w:hint="eastAsia"/>
          <w:b/>
          <w:sz w:val="24"/>
        </w:rPr>
        <w:t>2.</w:t>
      </w:r>
      <w:r>
        <w:rPr>
          <w:b/>
          <w:sz w:val="24"/>
        </w:rPr>
        <w:t xml:space="preserve">2  </w:t>
      </w:r>
      <w:r>
        <w:rPr>
          <w:rFonts w:hint="eastAsia"/>
          <w:sz w:val="24"/>
        </w:rPr>
        <w:t>保温板与</w:t>
      </w:r>
      <w:r>
        <w:rPr>
          <w:sz w:val="24"/>
        </w:rPr>
        <w:t>基层</w:t>
      </w:r>
      <w:r>
        <w:rPr>
          <w:rFonts w:hint="eastAsia"/>
          <w:sz w:val="24"/>
        </w:rPr>
        <w:t>的</w:t>
      </w:r>
      <w:r>
        <w:rPr>
          <w:sz w:val="24"/>
        </w:rPr>
        <w:t>拉伸</w:t>
      </w:r>
      <w:r>
        <w:rPr>
          <w:rFonts w:hint="eastAsia"/>
          <w:sz w:val="24"/>
        </w:rPr>
        <w:t>粘结</w:t>
      </w:r>
      <w:r>
        <w:rPr>
          <w:sz w:val="24"/>
        </w:rPr>
        <w:t>强度</w:t>
      </w:r>
      <w:r>
        <w:rPr>
          <w:rFonts w:hint="eastAsia"/>
          <w:sz w:val="24"/>
        </w:rPr>
        <w:t>的检测方法</w:t>
      </w:r>
      <w:r>
        <w:rPr>
          <w:sz w:val="24"/>
        </w:rPr>
        <w:t>应符合下列规定：</w:t>
      </w:r>
    </w:p>
    <w:p>
      <w:pPr>
        <w:spacing w:line="360" w:lineRule="auto"/>
        <w:ind w:firstLine="480" w:firstLineChars="200"/>
        <w:rPr>
          <w:sz w:val="24"/>
        </w:rPr>
      </w:pPr>
      <w:r>
        <w:rPr>
          <w:sz w:val="24"/>
        </w:rPr>
        <w:t>1</w:t>
      </w:r>
      <w:r>
        <w:rPr>
          <w:rFonts w:hint="eastAsia"/>
          <w:sz w:val="24"/>
        </w:rPr>
        <w:t xml:space="preserve"> 检测应在保温层养护时间达到粘结材料要求的龄期后进行，并宜在下道工序施工前进行。</w:t>
      </w:r>
    </w:p>
    <w:p>
      <w:pPr>
        <w:spacing w:line="360" w:lineRule="auto"/>
        <w:ind w:firstLine="480" w:firstLineChars="200"/>
        <w:rPr>
          <w:sz w:val="24"/>
        </w:rPr>
      </w:pPr>
      <w:r>
        <w:rPr>
          <w:sz w:val="24"/>
        </w:rPr>
        <w:t>2</w:t>
      </w:r>
      <w:r>
        <w:rPr>
          <w:rFonts w:hint="eastAsia"/>
          <w:sz w:val="24"/>
        </w:rPr>
        <w:t xml:space="preserve"> 保温板与</w:t>
      </w:r>
      <w:r>
        <w:rPr>
          <w:sz w:val="24"/>
        </w:rPr>
        <w:t>基层</w:t>
      </w:r>
      <w:r>
        <w:rPr>
          <w:rFonts w:hint="eastAsia"/>
          <w:sz w:val="24"/>
        </w:rPr>
        <w:t>的</w:t>
      </w:r>
      <w:r>
        <w:rPr>
          <w:sz w:val="24"/>
        </w:rPr>
        <w:t>拉伸</w:t>
      </w:r>
      <w:r>
        <w:rPr>
          <w:rFonts w:hint="eastAsia"/>
          <w:sz w:val="24"/>
        </w:rPr>
        <w:t>粘结</w:t>
      </w:r>
      <w:r>
        <w:rPr>
          <w:sz w:val="24"/>
        </w:rPr>
        <w:t>强度的</w:t>
      </w:r>
      <w:r>
        <w:rPr>
          <w:rFonts w:hint="eastAsia"/>
          <w:sz w:val="24"/>
        </w:rPr>
        <w:t>检测</w:t>
      </w:r>
      <w:r>
        <w:rPr>
          <w:sz w:val="24"/>
        </w:rPr>
        <w:t>方法应符合本标准附录</w:t>
      </w:r>
      <w:r>
        <w:rPr>
          <w:rFonts w:hint="eastAsia"/>
          <w:sz w:val="24"/>
        </w:rPr>
        <w:t>D</w:t>
      </w:r>
      <w:r>
        <w:rPr>
          <w:sz w:val="24"/>
        </w:rPr>
        <w:t>的规定</w:t>
      </w:r>
      <w:r>
        <w:rPr>
          <w:rFonts w:hint="eastAsia"/>
          <w:sz w:val="24"/>
        </w:rPr>
        <w:t>。</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保温板与</w:t>
      </w:r>
      <w:r>
        <w:rPr>
          <w:rFonts w:eastAsia="楷体"/>
          <w:color w:val="3016EE"/>
        </w:rPr>
        <w:t>基层</w:t>
      </w:r>
      <w:r>
        <w:rPr>
          <w:rFonts w:hint="eastAsia" w:eastAsia="楷体"/>
          <w:color w:val="3016EE"/>
        </w:rPr>
        <w:t>的</w:t>
      </w:r>
      <w:r>
        <w:rPr>
          <w:rFonts w:eastAsia="楷体"/>
          <w:color w:val="3016EE"/>
        </w:rPr>
        <w:t>拉伸</w:t>
      </w:r>
      <w:r>
        <w:rPr>
          <w:rFonts w:hint="eastAsia" w:eastAsia="楷体"/>
          <w:color w:val="3016EE"/>
        </w:rPr>
        <w:t>粘结</w:t>
      </w:r>
      <w:r>
        <w:rPr>
          <w:rFonts w:eastAsia="楷体"/>
          <w:color w:val="3016EE"/>
        </w:rPr>
        <w:t>强度</w:t>
      </w:r>
      <w:r>
        <w:rPr>
          <w:rFonts w:hint="eastAsia" w:eastAsia="楷体"/>
          <w:color w:val="3016EE"/>
        </w:rPr>
        <w:t>现场检测</w:t>
      </w:r>
      <w:r>
        <w:rPr>
          <w:rFonts w:eastAsia="楷体"/>
          <w:color w:val="3016EE"/>
        </w:rPr>
        <w:t>按照本</w:t>
      </w:r>
      <w:r>
        <w:rPr>
          <w:rFonts w:hint="eastAsia" w:eastAsia="楷体"/>
          <w:color w:val="3016EE"/>
        </w:rPr>
        <w:t>标准</w:t>
      </w:r>
      <w:r>
        <w:rPr>
          <w:rFonts w:eastAsia="楷体"/>
          <w:color w:val="3016EE"/>
        </w:rPr>
        <w:t>附录 D《</w:t>
      </w:r>
      <w:r>
        <w:rPr>
          <w:rFonts w:hint="eastAsia" w:eastAsia="楷体"/>
          <w:color w:val="3016EE"/>
        </w:rPr>
        <w:t>保温板材与基层的拉伸粘结强度现场拉拔试验方法</w:t>
      </w:r>
      <w:r>
        <w:rPr>
          <w:rFonts w:eastAsia="楷体"/>
          <w:color w:val="3016EE"/>
        </w:rPr>
        <w:t>》</w:t>
      </w:r>
      <w:r>
        <w:rPr>
          <w:rFonts w:hint="eastAsia" w:eastAsia="楷体"/>
          <w:color w:val="3016EE"/>
        </w:rPr>
        <w:t>进</w:t>
      </w:r>
      <w:r>
        <w:rPr>
          <w:rFonts w:eastAsia="楷体"/>
          <w:color w:val="3016EE"/>
        </w:rPr>
        <w:t>行</w:t>
      </w:r>
      <w:r>
        <w:rPr>
          <w:rFonts w:hint="eastAsia" w:eastAsia="楷体"/>
          <w:color w:val="3016EE"/>
        </w:rPr>
        <w:t>现场检验。</w:t>
      </w:r>
    </w:p>
    <w:p>
      <w:pPr>
        <w:spacing w:line="360" w:lineRule="auto"/>
        <w:rPr>
          <w:sz w:val="24"/>
        </w:rPr>
      </w:pPr>
      <w:r>
        <w:rPr>
          <w:b/>
          <w:sz w:val="24"/>
        </w:rPr>
        <w:t>6.1</w:t>
      </w:r>
      <w:r>
        <w:rPr>
          <w:rFonts w:hint="eastAsia"/>
          <w:b/>
          <w:sz w:val="24"/>
        </w:rPr>
        <w:t>2</w:t>
      </w:r>
      <w:r>
        <w:rPr>
          <w:b/>
          <w:sz w:val="24"/>
        </w:rPr>
        <w:t>.3</w:t>
      </w:r>
      <w:r>
        <w:rPr>
          <w:rFonts w:hint="eastAsia"/>
          <w:b/>
          <w:sz w:val="24"/>
        </w:rPr>
        <w:t xml:space="preserve"> </w:t>
      </w:r>
      <w:r>
        <w:rPr>
          <w:rFonts w:hint="eastAsia"/>
          <w:sz w:val="24"/>
        </w:rPr>
        <w:t xml:space="preserve"> </w:t>
      </w:r>
      <w:r>
        <w:rPr>
          <w:rFonts w:hint="eastAsia"/>
          <w:color w:val="000000" w:themeColor="text1"/>
          <w:sz w:val="24"/>
          <w14:textFill>
            <w14:solidFill>
              <w14:schemeClr w14:val="tx1"/>
            </w14:solidFill>
          </w14:textFill>
        </w:rPr>
        <w:t>保温板与</w:t>
      </w:r>
      <w:r>
        <w:rPr>
          <w:color w:val="000000" w:themeColor="text1"/>
          <w:sz w:val="24"/>
          <w14:textFill>
            <w14:solidFill>
              <w14:schemeClr w14:val="tx1"/>
            </w14:solidFill>
          </w14:textFill>
        </w:rPr>
        <w:t>基层</w:t>
      </w:r>
      <w:r>
        <w:rPr>
          <w:rFonts w:hint="eastAsia"/>
          <w:color w:val="000000" w:themeColor="text1"/>
          <w:sz w:val="24"/>
          <w14:textFill>
            <w14:solidFill>
              <w14:schemeClr w14:val="tx1"/>
            </w14:solidFill>
          </w14:textFill>
        </w:rPr>
        <w:t>的</w:t>
      </w:r>
      <w:r>
        <w:rPr>
          <w:color w:val="000000" w:themeColor="text1"/>
          <w:sz w:val="24"/>
          <w14:textFill>
            <w14:solidFill>
              <w14:schemeClr w14:val="tx1"/>
            </w14:solidFill>
          </w14:textFill>
        </w:rPr>
        <w:t>拉伸</w:t>
      </w:r>
      <w:r>
        <w:rPr>
          <w:rFonts w:hint="eastAsia"/>
          <w:color w:val="000000" w:themeColor="text1"/>
          <w:sz w:val="24"/>
          <w14:textFill>
            <w14:solidFill>
              <w14:schemeClr w14:val="tx1"/>
            </w14:solidFill>
          </w14:textFill>
        </w:rPr>
        <w:t>粘结</w:t>
      </w:r>
      <w:r>
        <w:rPr>
          <w:color w:val="000000" w:themeColor="text1"/>
          <w:sz w:val="24"/>
          <w14:textFill>
            <w14:solidFill>
              <w14:schemeClr w14:val="tx1"/>
            </w14:solidFill>
          </w14:textFill>
        </w:rPr>
        <w:t>强度</w:t>
      </w:r>
      <w:r>
        <w:rPr>
          <w:rFonts w:hint="eastAsia"/>
          <w:sz w:val="24"/>
        </w:rPr>
        <w:t>的合格指标与判定方法应符合下列规定：</w:t>
      </w:r>
    </w:p>
    <w:p>
      <w:pPr>
        <w:spacing w:line="360" w:lineRule="auto"/>
        <w:ind w:firstLine="480" w:firstLineChars="200"/>
        <w:rPr>
          <w:sz w:val="24"/>
        </w:rPr>
      </w:pPr>
      <w:r>
        <w:rPr>
          <w:rFonts w:hint="eastAsia"/>
          <w:sz w:val="24"/>
        </w:rPr>
        <w:t xml:space="preserve">1  </w:t>
      </w:r>
      <w:r>
        <w:rPr>
          <w:rFonts w:hint="eastAsia"/>
          <w:color w:val="000000" w:themeColor="text1"/>
          <w:sz w:val="24"/>
          <w14:textFill>
            <w14:solidFill>
              <w14:schemeClr w14:val="tx1"/>
            </w14:solidFill>
          </w14:textFill>
        </w:rPr>
        <w:t>保温板与</w:t>
      </w:r>
      <w:r>
        <w:rPr>
          <w:color w:val="000000" w:themeColor="text1"/>
          <w:sz w:val="24"/>
          <w14:textFill>
            <w14:solidFill>
              <w14:schemeClr w14:val="tx1"/>
            </w14:solidFill>
          </w14:textFill>
        </w:rPr>
        <w:t>基层</w:t>
      </w:r>
      <w:r>
        <w:rPr>
          <w:rFonts w:hint="eastAsia"/>
          <w:color w:val="000000" w:themeColor="text1"/>
          <w:sz w:val="24"/>
          <w14:textFill>
            <w14:solidFill>
              <w14:schemeClr w14:val="tx1"/>
            </w14:solidFill>
          </w14:textFill>
        </w:rPr>
        <w:t>的</w:t>
      </w:r>
      <w:r>
        <w:rPr>
          <w:color w:val="000000" w:themeColor="text1"/>
          <w:sz w:val="24"/>
          <w14:textFill>
            <w14:solidFill>
              <w14:schemeClr w14:val="tx1"/>
            </w14:solidFill>
          </w14:textFill>
        </w:rPr>
        <w:t>拉伸</w:t>
      </w:r>
      <w:r>
        <w:rPr>
          <w:rFonts w:hint="eastAsia"/>
          <w:color w:val="000000" w:themeColor="text1"/>
          <w:sz w:val="24"/>
          <w14:textFill>
            <w14:solidFill>
              <w14:schemeClr w14:val="tx1"/>
            </w14:solidFill>
          </w14:textFill>
        </w:rPr>
        <w:t>粘结</w:t>
      </w:r>
      <w:r>
        <w:rPr>
          <w:color w:val="000000" w:themeColor="text1"/>
          <w:sz w:val="24"/>
          <w14:textFill>
            <w14:solidFill>
              <w14:schemeClr w14:val="tx1"/>
            </w14:solidFill>
          </w14:textFill>
        </w:rPr>
        <w:t>强度</w:t>
      </w:r>
      <w:r>
        <w:rPr>
          <w:rFonts w:hint="eastAsia"/>
          <w:sz w:val="24"/>
        </w:rPr>
        <w:t>的检测值应符合现行行业标准《建筑工程饰面砖粘结强度检验标准》JGJ/T 110的规定。</w:t>
      </w:r>
    </w:p>
    <w:p>
      <w:pPr>
        <w:spacing w:line="360" w:lineRule="auto"/>
        <w:ind w:firstLine="480" w:firstLineChars="200"/>
        <w:rPr>
          <w:sz w:val="24"/>
        </w:rPr>
      </w:pPr>
      <w:r>
        <w:rPr>
          <w:rFonts w:hint="eastAsia"/>
          <w:sz w:val="24"/>
        </w:rPr>
        <w:t>2  当检测结果符合本条第1款的规定时，应判定为合格。</w:t>
      </w:r>
      <w:bookmarkStart w:id="79" w:name="_Toc13815749"/>
    </w:p>
    <w:p>
      <w:pPr>
        <w:adjustRightInd w:val="0"/>
        <w:snapToGrid w:val="0"/>
        <w:spacing w:before="156" w:beforeLines="50" w:after="156" w:afterLines="50"/>
        <w:ind w:firstLine="480" w:firstLineChars="200"/>
        <w:rPr>
          <w:sz w:val="24"/>
        </w:rPr>
      </w:pPr>
    </w:p>
    <w:p>
      <w:pPr>
        <w:pStyle w:val="3"/>
        <w:rPr>
          <w:color w:val="FF0000"/>
        </w:rPr>
      </w:pPr>
      <w:bookmarkStart w:id="80" w:name="_Toc16776669"/>
      <w:bookmarkStart w:id="81" w:name="_Toc17811179"/>
      <w:r>
        <w:rPr>
          <w:rFonts w:ascii="Times New Roman" w:hAnsi="Times New Roman" w:cs="Times New Roman"/>
          <w:color w:val="000000" w:themeColor="text1"/>
          <w:lang w:val="zh-CN"/>
          <w14:textFill>
            <w14:solidFill>
              <w14:schemeClr w14:val="tx1"/>
            </w14:solidFill>
          </w14:textFill>
        </w:rPr>
        <w:t>6.1</w:t>
      </w:r>
      <w:r>
        <w:rPr>
          <w:rFonts w:hint="eastAsia" w:ascii="Times New Roman" w:hAnsi="Times New Roman" w:cs="Times New Roman"/>
          <w:color w:val="000000" w:themeColor="text1"/>
          <w:lang w:val="zh-CN"/>
          <w14:textFill>
            <w14:solidFill>
              <w14:schemeClr w14:val="tx1"/>
            </w14:solidFill>
          </w14:textFill>
        </w:rPr>
        <w:t>3</w:t>
      </w:r>
      <w:r>
        <w:rPr>
          <w:rFonts w:ascii="Times New Roman" w:hAnsi="Times New Roman" w:cs="Times New Roman"/>
          <w:color w:val="000000" w:themeColor="text1"/>
          <w:lang w:val="zh-CN"/>
          <w14:textFill>
            <w14:solidFill>
              <w14:schemeClr w14:val="tx1"/>
            </w14:solidFill>
          </w14:textFill>
        </w:rPr>
        <w:t xml:space="preserve"> </w:t>
      </w:r>
      <w:r>
        <w:rPr>
          <w:rFonts w:hint="eastAsia"/>
          <w:color w:val="000000" w:themeColor="text1"/>
          <w14:textFill>
            <w14:solidFill>
              <w14:schemeClr w14:val="tx1"/>
            </w14:solidFill>
          </w14:textFill>
        </w:rPr>
        <w:t>保温砂浆导热系数</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干密度</w:t>
      </w:r>
      <w:r>
        <w:rPr>
          <w:color w:val="000000" w:themeColor="text1"/>
          <w14:textFill>
            <w14:solidFill>
              <w14:schemeClr w14:val="tx1"/>
            </w14:solidFill>
          </w14:textFill>
        </w:rPr>
        <w:t>、</w:t>
      </w:r>
      <w:r>
        <w:rPr>
          <w:rFonts w:hint="eastAsia"/>
          <w:color w:val="000000" w:themeColor="text1"/>
          <w14:textFill>
            <w14:solidFill>
              <w14:schemeClr w14:val="tx1"/>
            </w14:solidFill>
          </w14:textFill>
        </w:rPr>
        <w:t>抗压强度同条件养护检测</w:t>
      </w:r>
      <w:bookmarkEnd w:id="80"/>
      <w:bookmarkEnd w:id="81"/>
    </w:p>
    <w:p>
      <w:pPr>
        <w:spacing w:line="360" w:lineRule="auto"/>
        <w:rPr>
          <w:color w:val="000000" w:themeColor="text1"/>
          <w:sz w:val="24"/>
          <w14:textFill>
            <w14:solidFill>
              <w14:schemeClr w14:val="tx1"/>
            </w14:solidFill>
          </w14:textFill>
        </w:rPr>
      </w:pPr>
      <w:r>
        <w:rPr>
          <w:rFonts w:hint="eastAsia"/>
          <w:b/>
          <w:sz w:val="24"/>
        </w:rPr>
        <w:t>6.</w:t>
      </w:r>
      <w:r>
        <w:rPr>
          <w:b/>
          <w:sz w:val="24"/>
        </w:rPr>
        <w:t>1</w:t>
      </w:r>
      <w:r>
        <w:rPr>
          <w:rFonts w:hint="eastAsia"/>
          <w:b/>
          <w:sz w:val="24"/>
        </w:rPr>
        <w:t>3</w:t>
      </w:r>
      <w:r>
        <w:rPr>
          <w:b/>
          <w:sz w:val="24"/>
        </w:rPr>
        <w:t>.</w:t>
      </w:r>
      <w:r>
        <w:rPr>
          <w:rFonts w:hint="eastAsia"/>
          <w:b/>
          <w:sz w:val="24"/>
        </w:rPr>
        <w:t xml:space="preserve">1  </w:t>
      </w:r>
      <w:r>
        <w:rPr>
          <w:rFonts w:hint="eastAsia"/>
          <w:color w:val="000000" w:themeColor="text1"/>
          <w:sz w:val="24"/>
          <w14:textFill>
            <w14:solidFill>
              <w14:schemeClr w14:val="tx1"/>
            </w14:solidFill>
          </w14:textFill>
        </w:rPr>
        <w:t>保温砂浆导热系数</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干密度</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抗压强度同条件养护的检测数量</w:t>
      </w:r>
      <w:r>
        <w:rPr>
          <w:color w:val="000000" w:themeColor="text1"/>
          <w:sz w:val="24"/>
          <w14:textFill>
            <w14:solidFill>
              <w14:schemeClr w14:val="tx1"/>
            </w14:solidFill>
          </w14:textFill>
        </w:rPr>
        <w:t>应符合下列规定：</w:t>
      </w:r>
    </w:p>
    <w:p>
      <w:pPr>
        <w:spacing w:line="360" w:lineRule="auto"/>
        <w:ind w:firstLine="480" w:firstLineChars="200"/>
        <w:rPr>
          <w:rFonts w:hAnsi="宋体"/>
          <w:color w:val="000000"/>
          <w:sz w:val="24"/>
        </w:rPr>
      </w:pPr>
      <w:r>
        <w:rPr>
          <w:rFonts w:hint="eastAsia" w:hAnsi="宋体"/>
          <w:color w:val="000000"/>
          <w:sz w:val="24"/>
        </w:rPr>
        <w:t>1 当单位工程建筑面积在2000m</w:t>
      </w:r>
      <w:r>
        <w:rPr>
          <w:rFonts w:hint="eastAsia" w:hAnsi="宋体"/>
          <w:color w:val="000000"/>
          <w:sz w:val="24"/>
          <w:vertAlign w:val="superscript"/>
        </w:rPr>
        <w:t>2</w:t>
      </w:r>
      <w:r>
        <w:rPr>
          <w:rFonts w:hint="eastAsia" w:hAnsi="宋体"/>
          <w:color w:val="000000"/>
          <w:sz w:val="24"/>
        </w:rPr>
        <w:t>以下时，</w:t>
      </w:r>
      <w:r>
        <w:rPr>
          <w:rFonts w:hAnsi="宋体"/>
          <w:color w:val="000000"/>
          <w:sz w:val="24"/>
        </w:rPr>
        <w:t>同一厂家的同一种</w:t>
      </w:r>
      <w:r>
        <w:rPr>
          <w:rFonts w:hint="eastAsia"/>
          <w:color w:val="000000" w:themeColor="text1"/>
          <w:sz w:val="24"/>
          <w14:textFill>
            <w14:solidFill>
              <w14:schemeClr w14:val="tx1"/>
            </w14:solidFill>
          </w14:textFill>
        </w:rPr>
        <w:t>保温砂浆</w:t>
      </w:r>
      <w:r>
        <w:rPr>
          <w:rFonts w:hint="eastAsia" w:hAnsi="宋体"/>
          <w:color w:val="000000"/>
          <w:sz w:val="24"/>
        </w:rPr>
        <w:t>，抽检不少于</w:t>
      </w:r>
      <w:r>
        <w:rPr>
          <w:rFonts w:hAnsi="宋体"/>
          <w:color w:val="000000"/>
          <w:sz w:val="24"/>
        </w:rPr>
        <w:t>1</w:t>
      </w:r>
      <w:r>
        <w:rPr>
          <w:rFonts w:hint="eastAsia" w:hAnsi="宋体"/>
          <w:color w:val="000000"/>
          <w:sz w:val="24"/>
        </w:rPr>
        <w:t>次。</w:t>
      </w:r>
    </w:p>
    <w:p>
      <w:pPr>
        <w:spacing w:line="360" w:lineRule="auto"/>
        <w:ind w:firstLine="480" w:firstLineChars="200"/>
        <w:rPr>
          <w:rFonts w:hAnsi="宋体"/>
          <w:color w:val="000000"/>
          <w:sz w:val="24"/>
        </w:rPr>
      </w:pPr>
      <w:r>
        <w:rPr>
          <w:rFonts w:hAnsi="宋体"/>
          <w:color w:val="000000"/>
          <w:sz w:val="24"/>
        </w:rPr>
        <w:t>2</w:t>
      </w:r>
      <w:r>
        <w:rPr>
          <w:rFonts w:hint="eastAsia" w:hAnsi="宋体"/>
          <w:color w:val="000000"/>
          <w:sz w:val="24"/>
        </w:rPr>
        <w:t xml:space="preserve"> 当单位工程建筑面积在2000m</w:t>
      </w:r>
      <w:r>
        <w:rPr>
          <w:rFonts w:hint="eastAsia" w:hAnsi="宋体"/>
          <w:color w:val="000000"/>
          <w:sz w:val="24"/>
          <w:vertAlign w:val="superscript"/>
        </w:rPr>
        <w:t>2</w:t>
      </w:r>
      <w:r>
        <w:rPr>
          <w:rFonts w:hint="eastAsia" w:hAnsi="宋体"/>
          <w:color w:val="000000"/>
          <w:sz w:val="24"/>
        </w:rPr>
        <w:t>以上、20000m</w:t>
      </w:r>
      <w:r>
        <w:rPr>
          <w:rFonts w:hint="eastAsia" w:hAnsi="宋体"/>
          <w:color w:val="000000"/>
          <w:sz w:val="24"/>
          <w:vertAlign w:val="superscript"/>
        </w:rPr>
        <w:t>2</w:t>
      </w:r>
      <w:r>
        <w:rPr>
          <w:rFonts w:hint="eastAsia" w:hAnsi="宋体"/>
          <w:color w:val="000000"/>
          <w:sz w:val="24"/>
        </w:rPr>
        <w:t>以下时，</w:t>
      </w:r>
      <w:r>
        <w:rPr>
          <w:rFonts w:hAnsi="宋体"/>
          <w:color w:val="000000"/>
          <w:sz w:val="24"/>
        </w:rPr>
        <w:t>同一厂家的同一种</w:t>
      </w:r>
      <w:r>
        <w:rPr>
          <w:rFonts w:hint="eastAsia"/>
          <w:color w:val="000000" w:themeColor="text1"/>
          <w:sz w:val="24"/>
          <w14:textFill>
            <w14:solidFill>
              <w14:schemeClr w14:val="tx1"/>
            </w14:solidFill>
          </w14:textFill>
        </w:rPr>
        <w:t>保温砂浆</w:t>
      </w:r>
      <w:r>
        <w:rPr>
          <w:rFonts w:hint="eastAsia" w:hAnsi="宋体"/>
          <w:color w:val="000000"/>
          <w:sz w:val="24"/>
        </w:rPr>
        <w:t>，抽检不少于</w:t>
      </w:r>
      <w:r>
        <w:rPr>
          <w:rFonts w:hAnsi="宋体"/>
          <w:color w:val="000000"/>
          <w:sz w:val="24"/>
        </w:rPr>
        <w:t>3</w:t>
      </w:r>
      <w:r>
        <w:rPr>
          <w:rFonts w:hint="eastAsia" w:hAnsi="宋体"/>
          <w:color w:val="000000"/>
          <w:sz w:val="24"/>
        </w:rPr>
        <w:t>次。</w:t>
      </w:r>
    </w:p>
    <w:p>
      <w:pPr>
        <w:spacing w:line="360" w:lineRule="auto"/>
        <w:ind w:firstLine="480" w:firstLineChars="200"/>
        <w:rPr>
          <w:rFonts w:hAnsi="宋体"/>
          <w:color w:val="000000"/>
          <w:sz w:val="24"/>
        </w:rPr>
      </w:pPr>
      <w:r>
        <w:rPr>
          <w:rFonts w:hAnsi="宋体"/>
          <w:color w:val="000000"/>
          <w:sz w:val="24"/>
        </w:rPr>
        <w:t>3</w:t>
      </w:r>
      <w:r>
        <w:rPr>
          <w:rFonts w:hint="eastAsia" w:hAnsi="宋体"/>
          <w:color w:val="000000"/>
          <w:sz w:val="24"/>
        </w:rPr>
        <w:t xml:space="preserve"> 当单位工程建筑面积在20000m</w:t>
      </w:r>
      <w:r>
        <w:rPr>
          <w:rFonts w:hint="eastAsia" w:hAnsi="宋体"/>
          <w:color w:val="000000"/>
          <w:sz w:val="24"/>
          <w:vertAlign w:val="superscript"/>
        </w:rPr>
        <w:t>2</w:t>
      </w:r>
      <w:r>
        <w:rPr>
          <w:rFonts w:hint="eastAsia" w:hAnsi="宋体"/>
          <w:color w:val="000000"/>
          <w:sz w:val="24"/>
        </w:rPr>
        <w:t>以上时，</w:t>
      </w:r>
      <w:r>
        <w:rPr>
          <w:rFonts w:hAnsi="宋体"/>
          <w:color w:val="000000"/>
          <w:sz w:val="24"/>
        </w:rPr>
        <w:t>同一厂家的同一种</w:t>
      </w:r>
      <w:r>
        <w:rPr>
          <w:rFonts w:hint="eastAsia"/>
          <w:color w:val="000000" w:themeColor="text1"/>
          <w:sz w:val="24"/>
          <w14:textFill>
            <w14:solidFill>
              <w14:schemeClr w14:val="tx1"/>
            </w14:solidFill>
          </w14:textFill>
        </w:rPr>
        <w:t>保温砂浆</w:t>
      </w:r>
      <w:r>
        <w:rPr>
          <w:rFonts w:hint="eastAsia" w:hAnsi="宋体"/>
          <w:color w:val="000000"/>
          <w:sz w:val="24"/>
        </w:rPr>
        <w:t>，抽检不少于</w:t>
      </w:r>
      <w:r>
        <w:rPr>
          <w:rFonts w:hAnsi="宋体"/>
          <w:color w:val="000000"/>
          <w:sz w:val="24"/>
        </w:rPr>
        <w:t>6</w:t>
      </w:r>
      <w:r>
        <w:rPr>
          <w:rFonts w:hint="eastAsia" w:hAnsi="宋体"/>
          <w:color w:val="000000"/>
          <w:sz w:val="24"/>
        </w:rPr>
        <w:t>次。</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外墙保温层采用保温浆料做法时，由于施工现场的条件所限，保温浆料的配制与施工质量不易控制。为了检验浆料保温层的实际保温效果，本条规定应在施工中制作同条件试件，以检测其导热系数、干密度和压缩强度等参数。抽检</w:t>
      </w:r>
      <w:r>
        <w:rPr>
          <w:rFonts w:eastAsia="楷体"/>
          <w:color w:val="3016EE"/>
        </w:rPr>
        <w:t>数量参考了《</w:t>
      </w:r>
      <w:r>
        <w:rPr>
          <w:rFonts w:hint="eastAsia" w:eastAsia="楷体"/>
          <w:color w:val="3016EE"/>
        </w:rPr>
        <w:t>广东省</w:t>
      </w:r>
      <w:r>
        <w:rPr>
          <w:rFonts w:eastAsia="楷体"/>
          <w:color w:val="3016EE"/>
        </w:rPr>
        <w:t>建筑节能工程施工质量验收规范》</w:t>
      </w:r>
      <w:r>
        <w:rPr>
          <w:rFonts w:hint="eastAsia" w:eastAsia="楷体"/>
          <w:color w:val="3016EE"/>
        </w:rPr>
        <w:t>DBJ 15-65-2009相关</w:t>
      </w:r>
      <w:r>
        <w:rPr>
          <w:rFonts w:eastAsia="楷体"/>
          <w:color w:val="3016EE"/>
        </w:rPr>
        <w:t>规定。</w:t>
      </w:r>
    </w:p>
    <w:p>
      <w:pPr>
        <w:spacing w:line="360" w:lineRule="auto"/>
        <w:rPr>
          <w:color w:val="000000" w:themeColor="text1"/>
          <w:sz w:val="24"/>
          <w14:textFill>
            <w14:solidFill>
              <w14:schemeClr w14:val="tx1"/>
            </w14:solidFill>
          </w14:textFill>
        </w:rPr>
      </w:pPr>
      <w:r>
        <w:rPr>
          <w:rFonts w:hint="eastAsia"/>
          <w:b/>
          <w:sz w:val="24"/>
        </w:rPr>
        <w:t>6.</w:t>
      </w:r>
      <w:r>
        <w:rPr>
          <w:b/>
          <w:sz w:val="24"/>
        </w:rPr>
        <w:t>1</w:t>
      </w:r>
      <w:r>
        <w:rPr>
          <w:rFonts w:hint="eastAsia"/>
          <w:b/>
          <w:sz w:val="24"/>
        </w:rPr>
        <w:t>3.</w:t>
      </w:r>
      <w:r>
        <w:rPr>
          <w:b/>
          <w:sz w:val="24"/>
        </w:rPr>
        <w:t xml:space="preserve">2  </w:t>
      </w:r>
      <w:r>
        <w:rPr>
          <w:rFonts w:hint="eastAsia"/>
          <w:color w:val="000000" w:themeColor="text1"/>
          <w:sz w:val="24"/>
          <w14:textFill>
            <w14:solidFill>
              <w14:schemeClr w14:val="tx1"/>
            </w14:solidFill>
          </w14:textFill>
        </w:rPr>
        <w:t>保温砂浆同条件养护的检测方法应符合本标准附录E的规定。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color w:val="000000" w:themeColor="text1"/>
          <w:sz w:val="24"/>
          <w14:textFill>
            <w14:solidFill>
              <w14:schemeClr w14:val="tx1"/>
            </w14:solidFill>
          </w14:textFill>
        </w:rPr>
      </w:pPr>
      <w:r>
        <w:rPr>
          <w:rFonts w:hint="eastAsia" w:eastAsia="楷体"/>
          <w:color w:val="3016EE"/>
        </w:rPr>
        <w:t>保温浆料同条件试块试验应实行见证取样送检，由建设单位委托给具备见证资质的检测机构进行试验。检测</w:t>
      </w:r>
      <w:r>
        <w:rPr>
          <w:rFonts w:eastAsia="楷体"/>
          <w:color w:val="3016EE"/>
        </w:rPr>
        <w:t>方法按照本</w:t>
      </w:r>
      <w:r>
        <w:rPr>
          <w:rFonts w:hint="eastAsia" w:eastAsia="楷体"/>
          <w:color w:val="3016EE"/>
        </w:rPr>
        <w:t>标准</w:t>
      </w:r>
      <w:r>
        <w:rPr>
          <w:rFonts w:eastAsia="楷体"/>
          <w:color w:val="3016EE"/>
        </w:rPr>
        <w:t>附录</w:t>
      </w:r>
      <w:r>
        <w:rPr>
          <w:rFonts w:hint="eastAsia" w:eastAsia="楷体"/>
          <w:color w:val="3016EE"/>
        </w:rPr>
        <w:t>E</w:t>
      </w:r>
      <w:r>
        <w:rPr>
          <w:rFonts w:eastAsia="楷体"/>
          <w:color w:val="3016EE"/>
        </w:rPr>
        <w:t>《保温浆料干密度、抗压强度、导热系数同条件养护试验方法》</w:t>
      </w:r>
      <w:r>
        <w:rPr>
          <w:rFonts w:hint="eastAsia" w:eastAsia="楷体"/>
          <w:color w:val="3016EE"/>
        </w:rPr>
        <w:t>制作同条件试件</w:t>
      </w:r>
      <w:r>
        <w:rPr>
          <w:rFonts w:eastAsia="楷体"/>
          <w:color w:val="3016EE"/>
        </w:rPr>
        <w:t>进行试验</w:t>
      </w:r>
      <w:r>
        <w:rPr>
          <w:rFonts w:hint="eastAsia" w:eastAsia="楷体"/>
          <w:color w:val="3016EE"/>
        </w:rPr>
        <w:t>。</w:t>
      </w:r>
    </w:p>
    <w:bookmarkEnd w:id="79"/>
    <w:p>
      <w:pPr>
        <w:spacing w:line="360" w:lineRule="auto"/>
        <w:rPr>
          <w:sz w:val="24"/>
        </w:rPr>
      </w:pPr>
      <w:r>
        <w:rPr>
          <w:b/>
          <w:sz w:val="24"/>
        </w:rPr>
        <w:t>6.1</w:t>
      </w:r>
      <w:r>
        <w:rPr>
          <w:rFonts w:hint="eastAsia"/>
          <w:b/>
          <w:sz w:val="24"/>
        </w:rPr>
        <w:t>3</w:t>
      </w:r>
      <w:r>
        <w:rPr>
          <w:b/>
          <w:sz w:val="24"/>
        </w:rPr>
        <w:t>.3</w:t>
      </w:r>
      <w:r>
        <w:rPr>
          <w:rFonts w:hint="eastAsia"/>
          <w:b/>
          <w:sz w:val="24"/>
        </w:rPr>
        <w:t xml:space="preserve"> </w:t>
      </w:r>
      <w:r>
        <w:rPr>
          <w:rFonts w:hint="eastAsia"/>
          <w:sz w:val="24"/>
        </w:rPr>
        <w:t xml:space="preserve"> </w:t>
      </w:r>
      <w:r>
        <w:rPr>
          <w:rFonts w:hint="eastAsia"/>
          <w:color w:val="000000" w:themeColor="text1"/>
          <w:sz w:val="24"/>
          <w14:textFill>
            <w14:solidFill>
              <w14:schemeClr w14:val="tx1"/>
            </w14:solidFill>
          </w14:textFill>
        </w:rPr>
        <w:t>保温砂浆导热系数、干密度、抗压强度同条件养护的</w:t>
      </w:r>
      <w:r>
        <w:rPr>
          <w:rFonts w:hint="eastAsia"/>
          <w:sz w:val="24"/>
        </w:rPr>
        <w:t>合格指标与判定方法应符合下列规定：</w:t>
      </w:r>
    </w:p>
    <w:p>
      <w:pPr>
        <w:spacing w:line="360" w:lineRule="auto"/>
        <w:ind w:firstLine="480" w:firstLineChars="200"/>
        <w:rPr>
          <w:sz w:val="24"/>
        </w:rPr>
      </w:pPr>
      <w:r>
        <w:rPr>
          <w:rFonts w:hint="eastAsia"/>
          <w:sz w:val="24"/>
        </w:rPr>
        <w:t xml:space="preserve">1 </w:t>
      </w:r>
      <w:r>
        <w:rPr>
          <w:rFonts w:hint="eastAsia"/>
          <w:color w:val="000000" w:themeColor="text1"/>
          <w:sz w:val="24"/>
          <w14:textFill>
            <w14:solidFill>
              <w14:schemeClr w14:val="tx1"/>
            </w14:solidFill>
          </w14:textFill>
        </w:rPr>
        <w:t>保温砂浆导热系数</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干密度</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抗压强度同条件养护的</w:t>
      </w:r>
      <w:r>
        <w:rPr>
          <w:rFonts w:hint="eastAsia"/>
          <w:sz w:val="24"/>
        </w:rPr>
        <w:t>检测值应符合</w:t>
      </w:r>
      <w:r>
        <w:rPr>
          <w:sz w:val="24"/>
        </w:rPr>
        <w:t>设计</w:t>
      </w:r>
      <w:r>
        <w:rPr>
          <w:rFonts w:hint="eastAsia"/>
          <w:sz w:val="24"/>
        </w:rPr>
        <w:t>要求，当设计无明确规定时，应符合</w:t>
      </w:r>
      <w:r>
        <w:rPr>
          <w:rFonts w:hint="eastAsia"/>
          <w:color w:val="000000" w:themeColor="text1"/>
          <w:sz w:val="24"/>
          <w14:textFill>
            <w14:solidFill>
              <w14:schemeClr w14:val="tx1"/>
            </w14:solidFill>
          </w14:textFill>
        </w:rPr>
        <w:t>本标准附录E相关标准的规定</w:t>
      </w:r>
      <w:r>
        <w:rPr>
          <w:rFonts w:hint="eastAsia"/>
          <w:sz w:val="24"/>
        </w:rPr>
        <w:t>。</w:t>
      </w:r>
    </w:p>
    <w:p>
      <w:pPr>
        <w:spacing w:line="360" w:lineRule="auto"/>
        <w:ind w:firstLine="480" w:firstLineChars="200"/>
        <w:rPr>
          <w:sz w:val="24"/>
        </w:rPr>
      </w:pPr>
      <w:r>
        <w:rPr>
          <w:rFonts w:hint="eastAsia"/>
          <w:sz w:val="24"/>
        </w:rPr>
        <w:t>2 当检测结果符合本条第1款的规定时，应判定为合格。</w:t>
      </w:r>
    </w:p>
    <w:p>
      <w:pPr>
        <w:spacing w:line="360" w:lineRule="auto"/>
      </w:pPr>
      <w:r>
        <w:rPr>
          <w:rFonts w:hint="eastAsia" w:eastAsia="楷体"/>
          <w:color w:val="3016EE"/>
        </w:rPr>
        <w:t>【条文说明】</w:t>
      </w:r>
    </w:p>
    <w:p>
      <w:pPr>
        <w:spacing w:line="360" w:lineRule="auto"/>
        <w:ind w:firstLine="525" w:firstLineChars="250"/>
        <w:rPr>
          <w:rFonts w:eastAsia="楷体"/>
          <w:color w:val="3016EE"/>
        </w:rPr>
      </w:pPr>
      <w:r>
        <w:rPr>
          <w:rFonts w:hint="eastAsia" w:eastAsia="楷体"/>
          <w:color w:val="3016EE"/>
        </w:rPr>
        <w:t>给出是否符合设计要求结论的判断方法。即保温砂浆导热系数</w:t>
      </w:r>
      <w:r>
        <w:rPr>
          <w:rFonts w:eastAsia="楷体"/>
          <w:color w:val="3016EE"/>
        </w:rPr>
        <w:t>、</w:t>
      </w:r>
      <w:r>
        <w:rPr>
          <w:rFonts w:hint="eastAsia" w:eastAsia="楷体"/>
          <w:color w:val="3016EE"/>
        </w:rPr>
        <w:t>干密度</w:t>
      </w:r>
      <w:r>
        <w:rPr>
          <w:rFonts w:eastAsia="楷体"/>
          <w:color w:val="3016EE"/>
        </w:rPr>
        <w:t>、</w:t>
      </w:r>
      <w:r>
        <w:rPr>
          <w:rFonts w:hint="eastAsia" w:eastAsia="楷体"/>
          <w:color w:val="3016EE"/>
        </w:rPr>
        <w:t>抗压强度同条件养护的检测值应符合</w:t>
      </w:r>
      <w:r>
        <w:rPr>
          <w:rFonts w:eastAsia="楷体"/>
          <w:color w:val="3016EE"/>
        </w:rPr>
        <w:t>设计</w:t>
      </w:r>
      <w:r>
        <w:rPr>
          <w:rFonts w:hint="eastAsia" w:eastAsia="楷体"/>
          <w:color w:val="3016EE"/>
        </w:rPr>
        <w:t>要求，当设计无明确规定时，应符合本标准附录E相关标准的规定。</w:t>
      </w:r>
      <w:bookmarkStart w:id="82" w:name="_Toc16776670"/>
      <w:bookmarkStart w:id="83" w:name="_Toc17811180"/>
    </w:p>
    <w:p>
      <w:pPr>
        <w:spacing w:line="360" w:lineRule="auto"/>
        <w:ind w:firstLine="525" w:firstLineChars="250"/>
        <w:rPr>
          <w:rFonts w:eastAsia="楷体"/>
          <w:color w:val="3016EE"/>
        </w:rPr>
      </w:pPr>
    </w:p>
    <w:p>
      <w:pPr>
        <w:pStyle w:val="3"/>
      </w:pPr>
      <w:r>
        <w:t xml:space="preserve">6.14 </w:t>
      </w:r>
      <w:r>
        <w:rPr>
          <w:rFonts w:hint="eastAsia"/>
          <w:szCs w:val="28"/>
        </w:rPr>
        <w:t>外墙保温层</w:t>
      </w:r>
      <w:r>
        <w:rPr>
          <w:szCs w:val="28"/>
        </w:rPr>
        <w:t>厚度</w:t>
      </w:r>
      <w:r>
        <w:rPr>
          <w:rFonts w:hint="eastAsia"/>
        </w:rPr>
        <w:t>检测</w:t>
      </w:r>
      <w:bookmarkEnd w:id="82"/>
      <w:bookmarkEnd w:id="83"/>
    </w:p>
    <w:p>
      <w:pPr>
        <w:adjustRightInd w:val="0"/>
        <w:snapToGrid w:val="0"/>
        <w:spacing w:before="60" w:after="60" w:line="360" w:lineRule="auto"/>
        <w:rPr>
          <w:color w:val="000000" w:themeColor="text1"/>
          <w:sz w:val="24"/>
          <w14:textFill>
            <w14:solidFill>
              <w14:schemeClr w14:val="tx1"/>
            </w14:solidFill>
          </w14:textFill>
        </w:rPr>
      </w:pPr>
      <w:r>
        <w:rPr>
          <w:rFonts w:hint="eastAsia"/>
          <w:b/>
          <w:sz w:val="24"/>
        </w:rPr>
        <w:t>6.</w:t>
      </w:r>
      <w:r>
        <w:rPr>
          <w:b/>
          <w:sz w:val="24"/>
        </w:rPr>
        <w:t>14.</w:t>
      </w:r>
      <w:r>
        <w:rPr>
          <w:rFonts w:hint="eastAsia"/>
          <w:b/>
          <w:sz w:val="24"/>
        </w:rPr>
        <w:t>1</w:t>
      </w:r>
      <w:r>
        <w:rPr>
          <w:b/>
          <w:sz w:val="24"/>
        </w:rPr>
        <w:t xml:space="preserve"> </w:t>
      </w:r>
      <w:r>
        <w:rPr>
          <w:rFonts w:hint="eastAsia"/>
          <w:color w:val="000000" w:themeColor="text1"/>
          <w:sz w:val="24"/>
          <w14:textFill>
            <w14:solidFill>
              <w14:schemeClr w14:val="tx1"/>
            </w14:solidFill>
          </w14:textFill>
        </w:rPr>
        <w:t>外墙保温层厚度的</w:t>
      </w:r>
      <w:r>
        <w:rPr>
          <w:color w:val="000000" w:themeColor="text1"/>
          <w:sz w:val="24"/>
          <w14:textFill>
            <w14:solidFill>
              <w14:schemeClr w14:val="tx1"/>
            </w14:solidFill>
          </w14:textFill>
        </w:rPr>
        <w:t>检测数量应符合下列规定：</w:t>
      </w:r>
    </w:p>
    <w:p>
      <w:pPr>
        <w:adjustRightInd w:val="0"/>
        <w:snapToGrid w:val="0"/>
        <w:spacing w:before="60" w:after="60" w:line="360" w:lineRule="auto"/>
        <w:ind w:firstLine="482" w:firstLineChars="200"/>
        <w:rPr>
          <w:sz w:val="24"/>
        </w:rPr>
      </w:pPr>
      <w:r>
        <w:rPr>
          <w:rFonts w:hint="eastAsia"/>
          <w:b/>
          <w:sz w:val="24"/>
        </w:rPr>
        <w:t>1</w:t>
      </w:r>
      <w:r>
        <w:rPr>
          <w:rFonts w:hint="eastAsia"/>
          <w:sz w:val="24"/>
        </w:rPr>
        <w:t xml:space="preserve">  外墙取样数量为一个单位工程每种节能保温做法至少取3个芯样。</w:t>
      </w:r>
    </w:p>
    <w:p>
      <w:pPr>
        <w:adjustRightInd w:val="0"/>
        <w:snapToGrid w:val="0"/>
        <w:spacing w:before="60" w:after="60" w:line="360" w:lineRule="auto"/>
        <w:ind w:firstLine="480" w:firstLineChars="200"/>
        <w:rPr>
          <w:sz w:val="24"/>
        </w:rPr>
      </w:pPr>
      <w:r>
        <w:rPr>
          <w:rFonts w:hint="eastAsia"/>
          <w:sz w:val="24"/>
        </w:rPr>
        <w:t>2  取样部位宜均匀分布，不宜在同一个房间外墙上取2个或2个以上芯样。</w:t>
      </w:r>
    </w:p>
    <w:p>
      <w:pPr>
        <w:spacing w:line="360" w:lineRule="auto"/>
        <w:rPr>
          <w:rFonts w:eastAsia="楷体"/>
          <w:color w:val="3016EE"/>
        </w:rPr>
      </w:pPr>
      <w:r>
        <w:rPr>
          <w:rFonts w:hint="eastAsia" w:eastAsia="楷体"/>
          <w:color w:val="3016EE"/>
        </w:rPr>
        <w:t>【条文说明】</w:t>
      </w:r>
    </w:p>
    <w:p>
      <w:pPr>
        <w:adjustRightInd w:val="0"/>
        <w:snapToGrid w:val="0"/>
        <w:spacing w:before="60" w:after="60" w:line="360" w:lineRule="auto"/>
        <w:ind w:firstLine="420" w:firstLineChars="200"/>
        <w:rPr>
          <w:rFonts w:eastAsia="楷体"/>
          <w:color w:val="3016EE"/>
        </w:rPr>
      </w:pPr>
      <w:r>
        <w:rPr>
          <w:rFonts w:hint="eastAsia" w:eastAsia="楷体"/>
          <w:color w:val="3016EE"/>
        </w:rPr>
        <w:t>由于</w:t>
      </w:r>
      <w:r>
        <w:rPr>
          <w:rFonts w:eastAsia="楷体"/>
          <w:color w:val="3016EE"/>
        </w:rPr>
        <w:t>很多工程</w:t>
      </w:r>
      <w:r>
        <w:rPr>
          <w:rFonts w:hint="eastAsia" w:eastAsia="楷体"/>
          <w:color w:val="3016EE"/>
        </w:rPr>
        <w:t>受到检测条件、检测费用和检测周期的制约，墙体</w:t>
      </w:r>
      <w:r>
        <w:rPr>
          <w:rFonts w:eastAsia="楷体"/>
          <w:color w:val="3016EE"/>
        </w:rPr>
        <w:t>传热系数</w:t>
      </w:r>
      <w:r>
        <w:rPr>
          <w:rFonts w:hint="eastAsia" w:eastAsia="楷体"/>
          <w:color w:val="3016EE"/>
        </w:rPr>
        <w:t>在有些</w:t>
      </w:r>
      <w:r>
        <w:rPr>
          <w:rFonts w:eastAsia="楷体"/>
          <w:color w:val="3016EE"/>
        </w:rPr>
        <w:t>地方难以推广</w:t>
      </w:r>
      <w:r>
        <w:rPr>
          <w:rFonts w:hint="eastAsia" w:eastAsia="楷体"/>
          <w:color w:val="3016EE"/>
        </w:rPr>
        <w:t>。因此本标准</w:t>
      </w:r>
      <w:r>
        <w:rPr>
          <w:rFonts w:eastAsia="楷体"/>
          <w:color w:val="3016EE"/>
        </w:rPr>
        <w:t>规定了外墙保温层的厚度检测，该检测相对简单</w:t>
      </w:r>
      <w:r>
        <w:rPr>
          <w:rFonts w:hint="eastAsia" w:eastAsia="楷体"/>
          <w:color w:val="3016EE"/>
        </w:rPr>
        <w:t>。当部分工程具备条件时，也可对围护结构直接进行传热系数的检测。此时的检测方法、抽样数量等应在合同中约定或遵守另外的规定。</w:t>
      </w:r>
    </w:p>
    <w:p>
      <w:pPr>
        <w:adjustRightInd w:val="0"/>
        <w:snapToGrid w:val="0"/>
        <w:spacing w:before="60" w:after="60" w:line="360" w:lineRule="auto"/>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6.</w:t>
      </w:r>
      <w:r>
        <w:rPr>
          <w:b/>
          <w:color w:val="000000" w:themeColor="text1"/>
          <w:sz w:val="24"/>
          <w14:textFill>
            <w14:solidFill>
              <w14:schemeClr w14:val="tx1"/>
            </w14:solidFill>
          </w14:textFill>
        </w:rPr>
        <w:t>14</w:t>
      </w:r>
      <w:r>
        <w:rPr>
          <w:rFonts w:hint="eastAsia"/>
          <w:b/>
          <w:color w:val="000000" w:themeColor="text1"/>
          <w:sz w:val="24"/>
          <w14:textFill>
            <w14:solidFill>
              <w14:schemeClr w14:val="tx1"/>
            </w14:solidFill>
          </w14:textFill>
        </w:rPr>
        <w:t>.</w:t>
      </w:r>
      <w:r>
        <w:rPr>
          <w:b/>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外墙保温层</w:t>
      </w:r>
      <w:r>
        <w:rPr>
          <w:color w:val="000000" w:themeColor="text1"/>
          <w:sz w:val="24"/>
          <w14:textFill>
            <w14:solidFill>
              <w14:schemeClr w14:val="tx1"/>
            </w14:solidFill>
          </w14:textFill>
        </w:rPr>
        <w:t>厚度</w:t>
      </w:r>
      <w:r>
        <w:rPr>
          <w:rFonts w:hint="eastAsia"/>
          <w:color w:val="000000" w:themeColor="text1"/>
          <w:sz w:val="24"/>
          <w14:textFill>
            <w14:solidFill>
              <w14:schemeClr w14:val="tx1"/>
            </w14:solidFill>
          </w14:textFill>
        </w:rPr>
        <w:t>的检测方法</w:t>
      </w:r>
      <w:r>
        <w:rPr>
          <w:color w:val="000000" w:themeColor="text1"/>
          <w:sz w:val="24"/>
          <w14:textFill>
            <w14:solidFill>
              <w14:schemeClr w14:val="tx1"/>
            </w14:solidFill>
          </w14:textFill>
        </w:rPr>
        <w:t>应符合下列规定：</w:t>
      </w:r>
    </w:p>
    <w:p>
      <w:pPr>
        <w:adjustRightInd w:val="0"/>
        <w:snapToGrid w:val="0"/>
        <w:spacing w:before="60" w:after="60" w:line="360" w:lineRule="auto"/>
        <w:ind w:firstLine="482" w:firstLineChars="200"/>
        <w:rPr>
          <w:sz w:val="24"/>
        </w:rPr>
      </w:pPr>
      <w:r>
        <w:rPr>
          <w:b/>
          <w:sz w:val="24"/>
        </w:rPr>
        <w:t>1</w:t>
      </w:r>
      <w:r>
        <w:rPr>
          <w:rFonts w:hint="eastAsia"/>
          <w:b/>
          <w:sz w:val="24"/>
        </w:rPr>
        <w:t xml:space="preserve">  </w:t>
      </w:r>
      <w:r>
        <w:rPr>
          <w:rFonts w:hint="eastAsia"/>
          <w:sz w:val="24"/>
        </w:rPr>
        <w:t>检测应在外墙施工完工后、节能分部工程验收前进行。</w:t>
      </w:r>
    </w:p>
    <w:p>
      <w:pPr>
        <w:adjustRightInd w:val="0"/>
        <w:snapToGrid w:val="0"/>
        <w:spacing w:before="60" w:after="60" w:line="360" w:lineRule="auto"/>
        <w:ind w:firstLine="482" w:firstLineChars="200"/>
        <w:rPr>
          <w:sz w:val="24"/>
        </w:rPr>
      </w:pPr>
      <w:r>
        <w:rPr>
          <w:rFonts w:hint="eastAsia"/>
          <w:b/>
          <w:sz w:val="24"/>
        </w:rPr>
        <w:t>2</w:t>
      </w:r>
      <w:r>
        <w:rPr>
          <w:sz w:val="24"/>
        </w:rPr>
        <w:t xml:space="preserve">  </w:t>
      </w:r>
      <w:r>
        <w:rPr>
          <w:rFonts w:hint="eastAsia"/>
          <w:color w:val="000000" w:themeColor="text1"/>
          <w:sz w:val="24"/>
          <w14:textFill>
            <w14:solidFill>
              <w14:schemeClr w14:val="tx1"/>
            </w14:solidFill>
          </w14:textFill>
        </w:rPr>
        <w:t>外墙保温层厚度</w:t>
      </w:r>
      <w:r>
        <w:rPr>
          <w:rFonts w:hint="eastAsia"/>
          <w:sz w:val="24"/>
        </w:rPr>
        <w:t>的检测方法应符合本标准附录F的规定。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color w:val="000000" w:themeColor="text1"/>
          <w:sz w:val="24"/>
          <w14:textFill>
            <w14:solidFill>
              <w14:schemeClr w14:val="tx1"/>
            </w14:solidFill>
          </w14:textFill>
        </w:rPr>
      </w:pPr>
      <w:r>
        <w:rPr>
          <w:rFonts w:hint="eastAsia" w:eastAsia="楷体"/>
          <w:color w:val="3016EE"/>
        </w:rPr>
        <w:t>外墙保温层厚度</w:t>
      </w:r>
      <w:r>
        <w:rPr>
          <w:rFonts w:eastAsia="楷体"/>
          <w:color w:val="3016EE"/>
        </w:rPr>
        <w:t>检测，主要是为了</w:t>
      </w:r>
      <w:r>
        <w:rPr>
          <w:rFonts w:hint="eastAsia" w:eastAsia="楷体"/>
          <w:color w:val="3016EE"/>
        </w:rPr>
        <w:t>验证保温材料的种类是否符合设计要求、验证保温层厚度是否符合设计要求，以及检查保温层构造做法是否符合设计和施工方案要求。检测</w:t>
      </w:r>
      <w:r>
        <w:rPr>
          <w:rFonts w:eastAsia="楷体"/>
          <w:color w:val="3016EE"/>
        </w:rPr>
        <w:t>方法按照本</w:t>
      </w:r>
      <w:r>
        <w:rPr>
          <w:rFonts w:hint="eastAsia" w:eastAsia="楷体"/>
          <w:color w:val="3016EE"/>
        </w:rPr>
        <w:t>标准</w:t>
      </w:r>
      <w:r>
        <w:rPr>
          <w:rFonts w:eastAsia="楷体"/>
          <w:color w:val="3016EE"/>
        </w:rPr>
        <w:t>附录F《</w:t>
      </w:r>
      <w:r>
        <w:rPr>
          <w:rFonts w:hint="eastAsia" w:eastAsia="楷体"/>
          <w:color w:val="3016EE"/>
        </w:rPr>
        <w:t>外墙</w:t>
      </w:r>
      <w:r>
        <w:rPr>
          <w:rFonts w:eastAsia="楷体"/>
          <w:color w:val="3016EE"/>
        </w:rPr>
        <w:t>节能</w:t>
      </w:r>
      <w:r>
        <w:rPr>
          <w:rFonts w:hint="eastAsia" w:eastAsia="楷体"/>
          <w:color w:val="3016EE"/>
        </w:rPr>
        <w:t>构造</w:t>
      </w:r>
      <w:r>
        <w:rPr>
          <w:rFonts w:eastAsia="楷体"/>
          <w:color w:val="3016EE"/>
        </w:rPr>
        <w:t>钻</w:t>
      </w:r>
      <w:r>
        <w:rPr>
          <w:rFonts w:hint="eastAsia" w:eastAsia="楷体"/>
          <w:color w:val="3016EE"/>
        </w:rPr>
        <w:t>芯检测</w:t>
      </w:r>
      <w:r>
        <w:rPr>
          <w:rFonts w:eastAsia="楷体"/>
          <w:color w:val="3016EE"/>
        </w:rPr>
        <w:t>方法》进行</w:t>
      </w:r>
      <w:r>
        <w:rPr>
          <w:rFonts w:hint="eastAsia" w:eastAsia="楷体"/>
          <w:color w:val="3016EE"/>
        </w:rPr>
        <w:t>检测。</w:t>
      </w:r>
    </w:p>
    <w:p>
      <w:pPr>
        <w:adjustRightInd w:val="0"/>
        <w:snapToGrid w:val="0"/>
        <w:spacing w:before="60" w:after="60" w:line="360" w:lineRule="auto"/>
        <w:rPr>
          <w:sz w:val="24"/>
        </w:rPr>
      </w:pPr>
      <w:r>
        <w:rPr>
          <w:b/>
          <w:sz w:val="24"/>
        </w:rPr>
        <w:t>6.14.3</w:t>
      </w:r>
      <w:r>
        <w:rPr>
          <w:rFonts w:hint="eastAsia"/>
          <w:b/>
          <w:sz w:val="24"/>
        </w:rPr>
        <w:t xml:space="preserve"> </w:t>
      </w:r>
      <w:r>
        <w:rPr>
          <w:rFonts w:hint="eastAsia"/>
          <w:sz w:val="24"/>
        </w:rPr>
        <w:t xml:space="preserve"> </w:t>
      </w:r>
      <w:r>
        <w:rPr>
          <w:rFonts w:hint="eastAsia"/>
          <w:color w:val="000000" w:themeColor="text1"/>
          <w:sz w:val="24"/>
          <w14:textFill>
            <w14:solidFill>
              <w14:schemeClr w14:val="tx1"/>
            </w14:solidFill>
          </w14:textFill>
        </w:rPr>
        <w:t>外墙保温层厚度</w:t>
      </w:r>
      <w:r>
        <w:rPr>
          <w:rFonts w:hint="eastAsia"/>
          <w:sz w:val="24"/>
        </w:rPr>
        <w:t>的合格指标与判定方法应符合下列规定：</w:t>
      </w:r>
    </w:p>
    <w:p>
      <w:pPr>
        <w:adjustRightInd w:val="0"/>
        <w:snapToGrid w:val="0"/>
        <w:spacing w:before="60" w:after="60" w:line="360" w:lineRule="auto"/>
        <w:ind w:firstLine="482" w:firstLineChars="200"/>
        <w:rPr>
          <w:sz w:val="24"/>
        </w:rPr>
      </w:pPr>
      <w:r>
        <w:rPr>
          <w:b/>
          <w:sz w:val="24"/>
        </w:rPr>
        <w:t xml:space="preserve">1  </w:t>
      </w:r>
      <w:r>
        <w:rPr>
          <w:rFonts w:hint="eastAsia"/>
          <w:sz w:val="24"/>
        </w:rPr>
        <w:t>实测保温层厚度的平均值应达到设计厚度的95%及以上。</w:t>
      </w:r>
    </w:p>
    <w:p>
      <w:pPr>
        <w:adjustRightInd w:val="0"/>
        <w:snapToGrid w:val="0"/>
        <w:spacing w:before="60" w:after="60" w:line="360" w:lineRule="auto"/>
        <w:ind w:firstLine="480" w:firstLineChars="200"/>
        <w:rPr>
          <w:sz w:val="24"/>
        </w:rPr>
      </w:pPr>
      <w:r>
        <w:rPr>
          <w:rFonts w:hint="eastAsia"/>
          <w:color w:val="000000" w:themeColor="text1"/>
          <w:sz w:val="24"/>
          <w14:textFill>
            <w14:solidFill>
              <w14:schemeClr w14:val="tx1"/>
            </w14:solidFill>
          </w14:textFill>
        </w:rPr>
        <w:t>2  当检测结果符合本条第1款</w:t>
      </w:r>
      <w:r>
        <w:rPr>
          <w:rFonts w:hint="eastAsia"/>
          <w:sz w:val="24"/>
        </w:rPr>
        <w:t>的规定时，应判定为合格。</w:t>
      </w:r>
    </w:p>
    <w:p>
      <w:pPr>
        <w:spacing w:line="360" w:lineRule="auto"/>
      </w:pPr>
      <w:r>
        <w:rPr>
          <w:rFonts w:hint="eastAsia" w:eastAsia="楷体"/>
          <w:color w:val="3016EE"/>
        </w:rPr>
        <w:t>【条文说明】</w:t>
      </w:r>
    </w:p>
    <w:p>
      <w:pPr>
        <w:adjustRightInd w:val="0"/>
        <w:snapToGrid w:val="0"/>
        <w:spacing w:before="60" w:after="60" w:line="360" w:lineRule="auto"/>
        <w:ind w:firstLine="420" w:firstLineChars="200"/>
        <w:rPr>
          <w:sz w:val="24"/>
        </w:rPr>
      </w:pPr>
      <w:r>
        <w:rPr>
          <w:rFonts w:hint="eastAsia" w:eastAsia="楷体"/>
          <w:color w:val="3016EE"/>
        </w:rPr>
        <w:t>给出是否符合设计要求结论的判断方法。即实测厚度的平均值达到设计厚度的95%及以上时，应判符合；否则应判不符合设计要求。</w:t>
      </w:r>
    </w:p>
    <w:p>
      <w:pPr>
        <w:sectPr>
          <w:pgSz w:w="11906" w:h="16838"/>
          <w:pgMar w:top="1440" w:right="1800" w:bottom="1440" w:left="1800" w:header="851" w:footer="992" w:gutter="0"/>
          <w:cols w:space="425" w:num="1"/>
          <w:docGrid w:type="lines" w:linePitch="312" w:charSpace="0"/>
        </w:sectPr>
      </w:pPr>
    </w:p>
    <w:bookmarkEnd w:id="56"/>
    <w:p>
      <w:pPr>
        <w:pStyle w:val="2"/>
        <w:rPr>
          <w:lang w:val="zh-CN"/>
        </w:rPr>
      </w:pPr>
      <w:bookmarkStart w:id="84" w:name="_Toc17811181"/>
      <w:r>
        <w:rPr>
          <w:lang w:val="zh-CN"/>
        </w:rPr>
        <w:t>7  空调水系统性能检测</w:t>
      </w:r>
      <w:bookmarkEnd w:id="84"/>
    </w:p>
    <w:p>
      <w:pPr>
        <w:pStyle w:val="3"/>
        <w:rPr>
          <w:rFonts w:ascii="Times New Roman" w:hAnsi="Times New Roman" w:cs="Times New Roman"/>
          <w:lang w:val="zh-CN"/>
        </w:rPr>
      </w:pPr>
      <w:bookmarkStart w:id="85" w:name="_Toc17811182"/>
      <w:r>
        <w:rPr>
          <w:rFonts w:ascii="Times New Roman" w:hAnsi="Times New Roman" w:cs="Times New Roman"/>
          <w:lang w:val="zh-CN"/>
        </w:rPr>
        <w:t>7.1  一般规定</w:t>
      </w:r>
      <w:bookmarkEnd w:id="85"/>
    </w:p>
    <w:p>
      <w:pPr>
        <w:spacing w:line="360" w:lineRule="auto"/>
        <w:rPr>
          <w:sz w:val="24"/>
        </w:rPr>
      </w:pPr>
      <w:r>
        <w:rPr>
          <w:rFonts w:hint="eastAsia"/>
          <w:b/>
          <w:sz w:val="24"/>
        </w:rPr>
        <w:t xml:space="preserve">7.1.1 </w:t>
      </w:r>
      <w:r>
        <w:rPr>
          <w:rFonts w:hint="eastAsia"/>
          <w:sz w:val="24"/>
        </w:rPr>
        <w:t xml:space="preserve"> 绿色建筑空调水系统性能检测项目包括：冷水（热泵）机组实际性能系数、冷源系统能效系数、水系统供回水温差、水泵效率、冷却塔效率、冷却塔噪声、空调系统冷热水总流量、空调系统冷却水总流量、空调机组水流量、耗电输冷（热）比、蓄冷性能系数等检测。 </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本条列举了绿色建筑空调水系统性能检测涉及的检测项目。</w:t>
      </w:r>
    </w:p>
    <w:p>
      <w:pPr>
        <w:spacing w:line="360" w:lineRule="auto"/>
        <w:rPr>
          <w:sz w:val="24"/>
        </w:rPr>
      </w:pPr>
      <w:r>
        <w:rPr>
          <w:rFonts w:hint="eastAsia"/>
          <w:b/>
          <w:sz w:val="24"/>
        </w:rPr>
        <w:t>7.1.2</w:t>
      </w:r>
      <w:r>
        <w:rPr>
          <w:rFonts w:hint="eastAsia"/>
          <w:sz w:val="24"/>
        </w:rPr>
        <w:t xml:space="preserve">  空调水系统各项性能检测均应在系统、设备实际运行状态下进行。</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本标准是对系统、设备实际运行性能进行检测，即根据系统和设备的实际运行状态对其性能进行检测，但可以根据检测条件和要求对末端负荷进行人为调节，以利于实现对系统、设备性能的判别。</w:t>
      </w:r>
    </w:p>
    <w:p>
      <w:pPr>
        <w:spacing w:line="360" w:lineRule="auto"/>
        <w:rPr>
          <w:sz w:val="24"/>
        </w:rPr>
      </w:pPr>
      <w:r>
        <w:rPr>
          <w:rFonts w:hint="eastAsia"/>
          <w:b/>
          <w:sz w:val="24"/>
        </w:rPr>
        <w:t xml:space="preserve">7.1.3 </w:t>
      </w:r>
      <w:r>
        <w:rPr>
          <w:rFonts w:hint="eastAsia"/>
          <w:sz w:val="24"/>
        </w:rPr>
        <w:t xml:space="preserve"> 冷水（热泵）机组及其水系统性能检测工况应符合现行行业标准《公共建筑节能检测标准》JGJ/T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sz w:val="24"/>
        </w:rPr>
      </w:pPr>
      <w:r>
        <w:rPr>
          <w:rFonts w:hint="eastAsia"/>
          <w:b/>
          <w:sz w:val="24"/>
        </w:rPr>
        <w:t xml:space="preserve">7.1.4 </w:t>
      </w:r>
      <w:r>
        <w:rPr>
          <w:rFonts w:hint="eastAsia"/>
          <w:sz w:val="24"/>
        </w:rPr>
        <w:t xml:space="preserve"> 使用集中空调系统的建筑，应对冷量分户计量装置进行现场核查。</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集中空调系统的冷量分户计量装置应安装正确且能够在日常生活中使用。</w:t>
      </w:r>
    </w:p>
    <w:p>
      <w:pPr>
        <w:spacing w:line="360" w:lineRule="auto"/>
        <w:ind w:firstLine="480" w:firstLineChars="200"/>
        <w:rPr>
          <w:sz w:val="24"/>
          <w:highlight w:val="yellow"/>
        </w:rPr>
      </w:pPr>
    </w:p>
    <w:p>
      <w:pPr>
        <w:pStyle w:val="3"/>
        <w:rPr>
          <w:rFonts w:ascii="Times New Roman" w:hAnsi="Times New Roman" w:cs="Times New Roman"/>
        </w:rPr>
      </w:pPr>
      <w:bookmarkStart w:id="86" w:name="_Toc17811183"/>
      <w:r>
        <w:rPr>
          <w:rFonts w:ascii="Times New Roman" w:hAnsi="Times New Roman" w:cs="Times New Roman"/>
        </w:rPr>
        <w:t>7.2  冷水（热泵）机组实际性能系数检测</w:t>
      </w:r>
      <w:bookmarkEnd w:id="86"/>
    </w:p>
    <w:p>
      <w:pPr>
        <w:spacing w:line="360" w:lineRule="auto"/>
        <w:rPr>
          <w:sz w:val="24"/>
        </w:rPr>
      </w:pPr>
      <w:r>
        <w:rPr>
          <w:rFonts w:hint="eastAsia"/>
          <w:b/>
          <w:sz w:val="24"/>
        </w:rPr>
        <w:t xml:space="preserve">7.2.1 </w:t>
      </w:r>
      <w:r>
        <w:rPr>
          <w:rFonts w:hint="eastAsia"/>
          <w:sz w:val="24"/>
        </w:rPr>
        <w:t xml:space="preserve"> 冷水（热泵）机组实际性能系数的检测数量应符合下列规定：</w:t>
      </w:r>
    </w:p>
    <w:p>
      <w:pPr>
        <w:spacing w:line="360" w:lineRule="auto"/>
        <w:ind w:firstLine="480" w:firstLineChars="200"/>
        <w:rPr>
          <w:sz w:val="24"/>
        </w:rPr>
      </w:pPr>
      <w:r>
        <w:rPr>
          <w:rFonts w:hint="eastAsia"/>
          <w:sz w:val="24"/>
        </w:rPr>
        <w:t>1  对于同型号的机组有2台及以下时，应至少抽取1台；</w:t>
      </w:r>
    </w:p>
    <w:p>
      <w:pPr>
        <w:spacing w:line="360" w:lineRule="auto"/>
        <w:ind w:firstLine="480" w:firstLineChars="200"/>
        <w:rPr>
          <w:sz w:val="24"/>
        </w:rPr>
      </w:pPr>
      <w:r>
        <w:rPr>
          <w:rFonts w:hint="eastAsia"/>
          <w:sz w:val="24"/>
        </w:rPr>
        <w:t>2  对于同型号的机组有3台及以上时，应至少抽取2台；</w:t>
      </w:r>
    </w:p>
    <w:p>
      <w:pPr>
        <w:spacing w:line="360" w:lineRule="auto"/>
        <w:ind w:firstLine="480" w:firstLineChars="200"/>
        <w:rPr>
          <w:sz w:val="24"/>
        </w:rPr>
      </w:pPr>
      <w:r>
        <w:rPr>
          <w:rFonts w:hint="eastAsia"/>
          <w:sz w:val="24"/>
        </w:rPr>
        <w:t>3  对于不同型号的机组，每种型号应至少抽取1台。</w:t>
      </w:r>
    </w:p>
    <w:p>
      <w:pPr>
        <w:spacing w:line="360" w:lineRule="auto"/>
        <w:ind w:firstLine="480" w:firstLineChars="200"/>
        <w:rPr>
          <w:sz w:val="24"/>
        </w:rPr>
      </w:pP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当相同型号的冷水（热泵）机组有2台及以下时，应至少抽检1台；当相同型号的冷水（热泵）机组有3台及以上时，应至少抽检2台；当冷水（热泵）机组有多种型号时，每种型号的机组应至少抽检1台。</w:t>
      </w:r>
      <w:r>
        <w:rPr>
          <w:rFonts w:eastAsia="楷体"/>
          <w:color w:val="3016EE"/>
        </w:rPr>
        <w:t xml:space="preserve"> </w:t>
      </w:r>
    </w:p>
    <w:p>
      <w:pPr>
        <w:spacing w:line="360" w:lineRule="auto"/>
        <w:rPr>
          <w:sz w:val="24"/>
        </w:rPr>
      </w:pPr>
      <w:r>
        <w:rPr>
          <w:rFonts w:hint="eastAsia"/>
          <w:b/>
          <w:sz w:val="24"/>
        </w:rPr>
        <w:t xml:space="preserve">7.2.2 </w:t>
      </w:r>
      <w:r>
        <w:rPr>
          <w:rFonts w:hint="eastAsia"/>
          <w:sz w:val="24"/>
        </w:rPr>
        <w:t xml:space="preserve"> 冷水（热泵）机组实际性能系数的检测方法应符合现行行业标准《公共建筑节能检测标准》JGJ/T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sz w:val="24"/>
        </w:rPr>
      </w:pPr>
      <w:r>
        <w:rPr>
          <w:rFonts w:hint="eastAsia"/>
          <w:b/>
          <w:sz w:val="24"/>
        </w:rPr>
        <w:t xml:space="preserve">7.2.3 </w:t>
      </w:r>
      <w:r>
        <w:rPr>
          <w:rFonts w:hint="eastAsia"/>
          <w:sz w:val="24"/>
        </w:rPr>
        <w:t xml:space="preserve"> 冷水（热泵）机组实际性能系数的合格指标与判定方法应符合下列规定：</w:t>
      </w:r>
    </w:p>
    <w:p>
      <w:pPr>
        <w:spacing w:line="360" w:lineRule="auto"/>
        <w:ind w:firstLine="480" w:firstLineChars="200"/>
        <w:rPr>
          <w:sz w:val="24"/>
        </w:rPr>
      </w:pPr>
      <w:r>
        <w:rPr>
          <w:rFonts w:hint="eastAsia"/>
          <w:sz w:val="24"/>
        </w:rPr>
        <w:t>1  检测工况下，冷水（热泵）机组的实际性能系数检测值应符合现行国家标准《公共建筑节能设计标准》GB50189规定的限值。</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sz w:val="24"/>
        </w:rPr>
      </w:pPr>
    </w:p>
    <w:p>
      <w:pPr>
        <w:pStyle w:val="3"/>
        <w:rPr>
          <w:rFonts w:ascii="Times New Roman" w:hAnsi="Times New Roman" w:cs="Times New Roman"/>
        </w:rPr>
      </w:pPr>
      <w:bookmarkStart w:id="87" w:name="_Toc17811184"/>
      <w:r>
        <w:rPr>
          <w:rFonts w:ascii="Times New Roman" w:hAnsi="Times New Roman" w:cs="Times New Roman"/>
        </w:rPr>
        <w:t>7.3  冷源系统能效系数检测</w:t>
      </w:r>
      <w:bookmarkEnd w:id="87"/>
    </w:p>
    <w:p>
      <w:pPr>
        <w:spacing w:line="360" w:lineRule="auto"/>
        <w:rPr>
          <w:sz w:val="24"/>
        </w:rPr>
      </w:pPr>
      <w:r>
        <w:rPr>
          <w:rFonts w:hint="eastAsia"/>
          <w:b/>
          <w:sz w:val="24"/>
        </w:rPr>
        <w:t xml:space="preserve">7.3.1 </w:t>
      </w:r>
      <w:r>
        <w:rPr>
          <w:rFonts w:hint="eastAsia"/>
          <w:sz w:val="24"/>
        </w:rPr>
        <w:t xml:space="preserve"> 所有独立的冷源系统均应进行冷源系统能效系数检测。</w:t>
      </w:r>
    </w:p>
    <w:p>
      <w:pPr>
        <w:spacing w:line="360" w:lineRule="auto"/>
        <w:rPr>
          <w:sz w:val="24"/>
        </w:rPr>
      </w:pPr>
      <w:r>
        <w:rPr>
          <w:rFonts w:hint="eastAsia"/>
          <w:b/>
          <w:sz w:val="24"/>
        </w:rPr>
        <w:t>7.3.2</w:t>
      </w:r>
      <w:r>
        <w:rPr>
          <w:rFonts w:hint="eastAsia"/>
          <w:sz w:val="24"/>
        </w:rPr>
        <w:t xml:space="preserve">  冷源系统能效系数的检测方法应符合现行行业标准《公共建筑节能检测标准》JGJ/T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sz w:val="24"/>
        </w:rPr>
      </w:pPr>
      <w:r>
        <w:rPr>
          <w:rFonts w:hint="eastAsia"/>
          <w:b/>
          <w:sz w:val="24"/>
        </w:rPr>
        <w:t>7.3.3</w:t>
      </w:r>
      <w:r>
        <w:rPr>
          <w:rFonts w:hint="eastAsia"/>
          <w:sz w:val="24"/>
        </w:rPr>
        <w:t xml:space="preserve">  冷源系统能效系数的合格指标与判定方法应符合下列规定：</w:t>
      </w:r>
    </w:p>
    <w:p>
      <w:pPr>
        <w:spacing w:line="360" w:lineRule="auto"/>
        <w:ind w:firstLine="480" w:firstLineChars="200"/>
        <w:rPr>
          <w:sz w:val="24"/>
        </w:rPr>
      </w:pPr>
      <w:r>
        <w:rPr>
          <w:rFonts w:hint="eastAsia"/>
          <w:sz w:val="24"/>
        </w:rPr>
        <w:t>1  检测工况下，冷源系统能效系数检测值不应小于现行广东省标准《广东省公共建筑节能设计标准》的有关规定。</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冷源系统用电设备包括制冷机房的冷水机组、冷水泵、冷却水泵和冷却塔风机，其中冷水泵如果是二次泵系统，一次泵和二次泵均包括在内。不包括空调系统的末端设备。</w:t>
      </w:r>
    </w:p>
    <w:p>
      <w:pPr>
        <w:spacing w:line="360" w:lineRule="auto"/>
        <w:ind w:firstLine="420" w:firstLineChars="200"/>
        <w:rPr>
          <w:rFonts w:eastAsia="楷体"/>
          <w:color w:val="3016EE"/>
        </w:rPr>
      </w:pPr>
      <w:r>
        <w:rPr>
          <w:rFonts w:hint="eastAsia" w:eastAsia="楷体"/>
          <w:color w:val="3016EE"/>
        </w:rPr>
        <w:t>冷源系统能效系数是在检测工况下的检测值，所以反映的是冷源系统接近设计工况下的实际性能水平。</w:t>
      </w:r>
    </w:p>
    <w:p>
      <w:pPr>
        <w:spacing w:line="360" w:lineRule="auto"/>
        <w:rPr>
          <w:sz w:val="24"/>
          <w:highlight w:val="yellow"/>
        </w:rPr>
      </w:pPr>
    </w:p>
    <w:p>
      <w:pPr>
        <w:pStyle w:val="3"/>
        <w:rPr>
          <w:rFonts w:ascii="Times New Roman" w:hAnsi="Times New Roman" w:cs="Times New Roman"/>
        </w:rPr>
      </w:pPr>
      <w:bookmarkStart w:id="88" w:name="_Toc17811185"/>
      <w:r>
        <w:rPr>
          <w:rFonts w:ascii="Times New Roman" w:hAnsi="Times New Roman" w:cs="Times New Roman"/>
        </w:rPr>
        <w:t>7.4  水系统供、回水温差检测</w:t>
      </w:r>
      <w:bookmarkEnd w:id="88"/>
    </w:p>
    <w:p>
      <w:pPr>
        <w:spacing w:line="360" w:lineRule="auto"/>
        <w:rPr>
          <w:sz w:val="24"/>
        </w:rPr>
      </w:pPr>
      <w:r>
        <w:rPr>
          <w:rFonts w:hint="eastAsia"/>
          <w:b/>
          <w:sz w:val="24"/>
        </w:rPr>
        <w:t xml:space="preserve">7.4.1 </w:t>
      </w:r>
      <w:r>
        <w:rPr>
          <w:rFonts w:hint="eastAsia"/>
          <w:sz w:val="24"/>
        </w:rPr>
        <w:t xml:space="preserve"> 水系统供回水温差的检测数量、检测方法和判定方法应符合现行行业标准《公共建筑节能检测标准》JGJ/T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sz w:val="24"/>
        </w:rPr>
      </w:pPr>
    </w:p>
    <w:p>
      <w:pPr>
        <w:pStyle w:val="3"/>
        <w:rPr>
          <w:rFonts w:ascii="Times New Roman" w:hAnsi="Times New Roman" w:cs="Times New Roman"/>
        </w:rPr>
      </w:pPr>
      <w:bookmarkStart w:id="89" w:name="_Toc17811186"/>
      <w:r>
        <w:rPr>
          <w:rFonts w:ascii="Times New Roman" w:hAnsi="Times New Roman" w:cs="Times New Roman"/>
        </w:rPr>
        <w:t>7.5  水泵效率检测</w:t>
      </w:r>
      <w:bookmarkEnd w:id="89"/>
    </w:p>
    <w:p>
      <w:pPr>
        <w:spacing w:line="360" w:lineRule="auto"/>
        <w:rPr>
          <w:sz w:val="24"/>
        </w:rPr>
      </w:pPr>
      <w:r>
        <w:rPr>
          <w:rFonts w:hint="eastAsia"/>
          <w:b/>
          <w:sz w:val="24"/>
        </w:rPr>
        <w:t xml:space="preserve">7.5.1 </w:t>
      </w:r>
      <w:r>
        <w:rPr>
          <w:rFonts w:hint="eastAsia"/>
          <w:sz w:val="24"/>
        </w:rPr>
        <w:t xml:space="preserve"> 所有循环水泵均应进行效率检测。</w:t>
      </w:r>
    </w:p>
    <w:p>
      <w:pPr>
        <w:spacing w:line="360" w:lineRule="auto"/>
        <w:rPr>
          <w:sz w:val="24"/>
        </w:rPr>
      </w:pPr>
      <w:r>
        <w:rPr>
          <w:rFonts w:hint="eastAsia"/>
          <w:b/>
          <w:sz w:val="24"/>
        </w:rPr>
        <w:t>7.5.2</w:t>
      </w:r>
      <w:r>
        <w:rPr>
          <w:rFonts w:hint="eastAsia"/>
          <w:sz w:val="24"/>
        </w:rPr>
        <w:t xml:space="preserve">  水泵效率的检测方法应符合下列规定：</w:t>
      </w:r>
    </w:p>
    <w:p>
      <w:pPr>
        <w:spacing w:line="360" w:lineRule="auto"/>
        <w:ind w:firstLine="480" w:firstLineChars="200"/>
        <w:rPr>
          <w:sz w:val="24"/>
        </w:rPr>
      </w:pPr>
      <w:r>
        <w:rPr>
          <w:rFonts w:hint="eastAsia"/>
          <w:sz w:val="24"/>
        </w:rPr>
        <w:t>1  检测工况下，应每隔(5~10)min读数1次，连续测量60min，并应取每次读数的平均值作为检测值。</w:t>
      </w:r>
    </w:p>
    <w:p>
      <w:pPr>
        <w:spacing w:line="360" w:lineRule="auto"/>
        <w:ind w:firstLine="480" w:firstLineChars="200"/>
        <w:rPr>
          <w:sz w:val="24"/>
        </w:rPr>
      </w:pPr>
      <w:r>
        <w:rPr>
          <w:rFonts w:hint="eastAsia"/>
          <w:sz w:val="24"/>
        </w:rPr>
        <w:t>2  流量测点宜设在距上游局部阻力构件10倍管径，且距下游局部阻力构件5倍管径处。压力测点应设在水泵进、出口压力表处。</w:t>
      </w:r>
    </w:p>
    <w:p>
      <w:pPr>
        <w:spacing w:line="360" w:lineRule="auto"/>
        <w:ind w:firstLine="480" w:firstLineChars="200"/>
        <w:rPr>
          <w:sz w:val="24"/>
        </w:rPr>
      </w:pPr>
      <w:r>
        <w:rPr>
          <w:rFonts w:hint="eastAsia"/>
          <w:sz w:val="24"/>
        </w:rPr>
        <w:t>3  水泵的输人功率应在电动机输人线端测量，输人功率检测应符合现行行业标准《公共建筑节能检测标准》JGJ/T 177的规定。</w:t>
      </w:r>
    </w:p>
    <w:p>
      <w:pPr>
        <w:spacing w:line="360" w:lineRule="auto"/>
        <w:ind w:firstLine="480" w:firstLineChars="200"/>
        <w:rPr>
          <w:sz w:val="24"/>
        </w:rPr>
      </w:pPr>
      <w:r>
        <w:rPr>
          <w:rFonts w:hint="eastAsia"/>
          <w:sz w:val="24"/>
        </w:rPr>
        <w:t>4 水泵效率应按下式进行计算：</w:t>
      </w:r>
    </w:p>
    <w:p>
      <w:pPr>
        <w:ind w:firstLine="420"/>
        <w:jc w:val="right"/>
        <w:rPr>
          <w:sz w:val="24"/>
        </w:rPr>
      </w:pPr>
      <w:r>
        <w:rPr>
          <w:position w:val="-24"/>
          <w:sz w:val="24"/>
        </w:rPr>
        <w:object>
          <v:shape id="_x0000_i1025" o:spt="75" type="#_x0000_t75" style="height:31.95pt;width:136.5pt;" o:ole="t" filled="f" o:preferrelative="t" stroked="f" coordsize="21600,21600">
            <v:path/>
            <v:fill on="f" focussize="0,0"/>
            <v:stroke on="f" joinstyle="miter"/>
            <v:imagedata r:id="rId9" o:title=""/>
            <o:lock v:ext="edit" aspectratio="t"/>
            <w10:wrap type="none"/>
            <w10:anchorlock/>
          </v:shape>
          <o:OLEObject Type="Embed" ProgID="Equation.DSMT4" ShapeID="_x0000_i1025" DrawAspect="Content" ObjectID="_1468075725" r:id="rId8">
            <o:LockedField>false</o:LockedField>
          </o:OLEObject>
        </w:object>
      </w:r>
      <w:r>
        <w:rPr>
          <w:rFonts w:hint="eastAsia"/>
          <w:position w:val="-10"/>
          <w:sz w:val="24"/>
        </w:rPr>
        <w:t xml:space="preserve">              </w:t>
      </w:r>
      <w:r>
        <w:rPr>
          <w:rFonts w:hint="eastAsia"/>
          <w:sz w:val="24"/>
        </w:rPr>
        <w:t>（7.5.2-1）</w:t>
      </w:r>
    </w:p>
    <w:p>
      <w:pPr>
        <w:ind w:firstLine="420"/>
        <w:jc w:val="right"/>
        <w:rPr>
          <w:sz w:val="24"/>
        </w:rPr>
      </w:pPr>
      <w:r>
        <w:rPr>
          <w:position w:val="-8"/>
          <w:sz w:val="24"/>
        </w:rPr>
        <w:object>
          <v:shape id="_x0000_i1026" o:spt="75" type="#_x0000_t75" style="height:6.25pt;width:5pt;" o:ole="t" filled="f" o:preferrelative="t" stroked="f" coordsize="21600,21600">
            <v:path/>
            <v:fill on="f" focussize="0,0"/>
            <v:stroke on="f" joinstyle="miter"/>
            <v:imagedata r:id="rId11" o:title=""/>
            <o:lock v:ext="edit" aspectratio="t"/>
            <w10:wrap type="none"/>
            <w10:anchorlock/>
          </v:shape>
          <o:OLEObject Type="Embed" ProgID="Equation.3" ShapeID="_x0000_i1026" DrawAspect="Content" ObjectID="_1468075726" r:id="rId10">
            <o:LockedField>false</o:LockedField>
          </o:OLEObject>
        </w:object>
      </w:r>
      <w:r>
        <w:rPr>
          <w:position w:val="-10"/>
          <w:sz w:val="24"/>
        </w:rPr>
        <w:object>
          <v:shape id="_x0000_i1027" o:spt="75" type="#_x0000_t75" style="height:18.15pt;width:98.9pt;" o:ole="t" filled="f" o:preferrelative="t" stroked="f" coordsize="21600,21600">
            <v:path/>
            <v:fill on="f" focussize="0,0"/>
            <v:stroke on="f" joinstyle="miter"/>
            <v:imagedata r:id="rId13" o:title=""/>
            <o:lock v:ext="edit" aspectratio="t"/>
            <w10:wrap type="none"/>
            <w10:anchorlock/>
          </v:shape>
          <o:OLEObject Type="Embed" ProgID="Equation.3" ShapeID="_x0000_i1027" DrawAspect="Content" ObjectID="_1468075727" r:id="rId12">
            <o:LockedField>false</o:LockedField>
          </o:OLEObject>
        </w:object>
      </w:r>
      <w:r>
        <w:rPr>
          <w:rFonts w:hint="eastAsia"/>
          <w:position w:val="-10"/>
          <w:sz w:val="24"/>
        </w:rPr>
        <w:t xml:space="preserve">                  </w:t>
      </w:r>
      <w:r>
        <w:rPr>
          <w:rFonts w:hint="eastAsia"/>
          <w:sz w:val="24"/>
        </w:rPr>
        <w:t>（7.5.2-2）</w:t>
      </w:r>
    </w:p>
    <w:p>
      <w:pPr>
        <w:ind w:firstLine="420"/>
        <w:jc w:val="center"/>
        <w:rPr>
          <w:position w:val="-8"/>
          <w:sz w:val="24"/>
        </w:rPr>
      </w:pPr>
    </w:p>
    <w:p>
      <w:pPr>
        <w:ind w:firstLine="420"/>
        <w:jc w:val="left"/>
        <w:rPr>
          <w:sz w:val="24"/>
        </w:rPr>
      </w:pPr>
      <w:r>
        <w:rPr>
          <w:rFonts w:hint="eastAsia"/>
          <w:sz w:val="24"/>
        </w:rPr>
        <w:t>式中</w:t>
      </w:r>
      <w:r>
        <w:rPr>
          <w:sz w:val="24"/>
        </w:rPr>
        <w:t>：</w:t>
      </w:r>
      <w:r>
        <w:rPr>
          <w:sz w:val="24"/>
        </w:rPr>
        <w:object>
          <v:shape id="_x0000_i1028" o:spt="75" type="#_x0000_t75" style="height:13.75pt;width:11.25pt;" o:ole="t" filled="f" o:preferrelative="t" stroked="f" coordsize="21600,21600">
            <v:path/>
            <v:fill on="f" focussize="0,0"/>
            <v:stroke on="f" joinstyle="miter"/>
            <v:imagedata r:id="rId15" o:title=""/>
            <o:lock v:ext="edit" aspectratio="t"/>
            <w10:wrap type="none"/>
            <w10:anchorlock/>
          </v:shape>
          <o:OLEObject Type="Embed" ProgID="Equation.DSMT4" ShapeID="_x0000_i1028" DrawAspect="Content" ObjectID="_1468075728" r:id="rId14">
            <o:LockedField>false</o:LockedField>
          </o:OLEObject>
        </w:object>
      </w:r>
      <w:r>
        <w:rPr>
          <w:sz w:val="24"/>
        </w:rPr>
        <w:t>——水泵效率（%）；</w:t>
      </w:r>
    </w:p>
    <w:p>
      <w:pPr>
        <w:spacing w:line="360" w:lineRule="auto"/>
        <w:ind w:firstLine="1200" w:firstLineChars="500"/>
        <w:rPr>
          <w:sz w:val="24"/>
        </w:rPr>
      </w:pPr>
      <w:r>
        <w:rPr>
          <w:rFonts w:hint="eastAsia"/>
          <w:sz w:val="24"/>
        </w:rPr>
        <w:t>V</w:t>
      </w:r>
      <w:r>
        <w:rPr>
          <w:sz w:val="24"/>
        </w:rPr>
        <w:t>——水泵平均水流量（m</w:t>
      </w:r>
      <w:r>
        <w:rPr>
          <w:sz w:val="24"/>
          <w:vertAlign w:val="superscript"/>
        </w:rPr>
        <w:t>3</w:t>
      </w:r>
      <w:r>
        <w:rPr>
          <w:sz w:val="24"/>
        </w:rPr>
        <w:t>/h）；</w:t>
      </w:r>
    </w:p>
    <w:p>
      <w:pPr>
        <w:spacing w:line="360" w:lineRule="auto"/>
        <w:ind w:firstLine="1155" w:firstLineChars="550"/>
        <w:rPr>
          <w:sz w:val="24"/>
        </w:rPr>
      </w:pPr>
      <w:r>
        <w:rPr>
          <w:position w:val="-10"/>
        </w:rPr>
        <w:object>
          <v:shape id="_x0000_i1029" o:spt="75" type="#_x0000_t75" style="height:13.15pt;width:12.5pt;" o:ole="t" filled="f" o:preferrelative="t" stroked="f" coordsize="21600,21600">
            <v:path/>
            <v:fill on="f" focussize="0,0"/>
            <v:stroke on="f" joinstyle="miter"/>
            <v:imagedata r:id="rId17" o:title=""/>
            <o:lock v:ext="edit" aspectratio="t"/>
            <w10:wrap type="none"/>
            <w10:anchorlock/>
          </v:shape>
          <o:OLEObject Type="Embed" ProgID="Equation.DSMT4" ShapeID="_x0000_i1029" DrawAspect="Content" ObjectID="_1468075729" r:id="rId16">
            <o:LockedField>false</o:LockedField>
          </o:OLEObject>
        </w:object>
      </w:r>
      <w:r>
        <w:rPr>
          <w:sz w:val="24"/>
        </w:rPr>
        <w:t>——水的平均密度（kg/m</w:t>
      </w:r>
      <w:r>
        <w:rPr>
          <w:sz w:val="24"/>
          <w:vertAlign w:val="superscript"/>
        </w:rPr>
        <w:t>3</w:t>
      </w:r>
      <w:r>
        <w:rPr>
          <w:sz w:val="24"/>
        </w:rPr>
        <w:t>），可根据水温由物性参数表查取；</w:t>
      </w:r>
    </w:p>
    <w:p>
      <w:pPr>
        <w:spacing w:line="360" w:lineRule="auto"/>
        <w:ind w:firstLine="1200" w:firstLineChars="500"/>
        <w:rPr>
          <w:sz w:val="24"/>
        </w:rPr>
      </w:pPr>
      <w:r>
        <w:rPr>
          <w:rFonts w:hint="eastAsia"/>
          <w:i/>
          <w:sz w:val="24"/>
        </w:rPr>
        <w:t>g</w:t>
      </w:r>
      <w:r>
        <w:rPr>
          <w:sz w:val="24"/>
        </w:rPr>
        <w:t>——自由落体加速度，取9.8（m/s</w:t>
      </w:r>
      <w:r>
        <w:rPr>
          <w:sz w:val="24"/>
          <w:vertAlign w:val="superscript"/>
        </w:rPr>
        <w:t>2</w:t>
      </w:r>
      <w:r>
        <w:rPr>
          <w:sz w:val="24"/>
        </w:rPr>
        <w:t>）；</w:t>
      </w:r>
    </w:p>
    <w:p>
      <w:pPr>
        <w:spacing w:line="360" w:lineRule="auto"/>
        <w:ind w:firstLine="960" w:firstLineChars="400"/>
        <w:rPr>
          <w:sz w:val="24"/>
        </w:rPr>
      </w:pPr>
      <w:r>
        <w:rPr>
          <w:sz w:val="24"/>
        </w:rPr>
        <w:object>
          <v:shape id="_x0000_i1030" o:spt="75" type="#_x0000_t75" style="height:13.15pt;width:19.4pt;" o:ole="t" filled="f" o:preferrelative="t" stroked="f" coordsize="21600,21600">
            <v:path/>
            <v:fill on="f" focussize="0,0"/>
            <v:stroke on="f" joinstyle="miter"/>
            <v:imagedata r:id="rId19" o:title=""/>
            <o:lock v:ext="edit" aspectratio="t"/>
            <w10:wrap type="none"/>
            <w10:anchorlock/>
          </v:shape>
          <o:OLEObject Type="Embed" ProgID="Equation.DSMT4" ShapeID="_x0000_i1030" DrawAspect="Content" ObjectID="_1468075730" r:id="rId18">
            <o:LockedField>false</o:LockedField>
          </o:OLEObject>
        </w:object>
      </w:r>
      <w:r>
        <w:rPr>
          <w:sz w:val="24"/>
        </w:rPr>
        <w:t>——水泵进</w:t>
      </w:r>
      <w:r>
        <w:rPr>
          <w:rFonts w:hint="eastAsia"/>
          <w:sz w:val="24"/>
        </w:rPr>
        <w:t>、</w:t>
      </w:r>
      <w:r>
        <w:rPr>
          <w:sz w:val="24"/>
        </w:rPr>
        <w:t>出口平均压差（m）。</w:t>
      </w:r>
    </w:p>
    <w:p>
      <w:pPr>
        <w:spacing w:line="360" w:lineRule="auto"/>
        <w:ind w:firstLine="1200" w:firstLineChars="500"/>
        <w:rPr>
          <w:sz w:val="24"/>
        </w:rPr>
      </w:pPr>
      <w:r>
        <w:rPr>
          <w:rFonts w:hint="eastAsia"/>
          <w:i/>
          <w:sz w:val="24"/>
        </w:rPr>
        <w:t>Z</w:t>
      </w:r>
      <w:r>
        <w:rPr>
          <w:sz w:val="24"/>
        </w:rPr>
        <w:t>——水泵进、出口压力表高度差（m）</w:t>
      </w:r>
      <w:r>
        <w:rPr>
          <w:rFonts w:hint="eastAsia"/>
          <w:sz w:val="24"/>
        </w:rPr>
        <w:t>，</w:t>
      </w:r>
      <w:r>
        <w:rPr>
          <w:sz w:val="24"/>
        </w:rPr>
        <w:t>当水泵进口压力表位置高于出口压力表时</w:t>
      </w:r>
      <w:r>
        <w:rPr>
          <w:rFonts w:hint="eastAsia"/>
          <w:i/>
          <w:sz w:val="24"/>
        </w:rPr>
        <w:t>Z</w:t>
      </w:r>
      <w:r>
        <w:rPr>
          <w:rFonts w:hint="eastAsia"/>
          <w:sz w:val="24"/>
        </w:rPr>
        <w:t>取负值，反之</w:t>
      </w:r>
      <w:r>
        <w:rPr>
          <w:rFonts w:hint="eastAsia"/>
          <w:i/>
          <w:sz w:val="24"/>
        </w:rPr>
        <w:t>Z</w:t>
      </w:r>
      <w:r>
        <w:rPr>
          <w:rFonts w:hint="eastAsia"/>
          <w:sz w:val="24"/>
        </w:rPr>
        <w:t>取正值</w:t>
      </w:r>
      <w:r>
        <w:rPr>
          <w:sz w:val="24"/>
        </w:rPr>
        <w:t>；</w:t>
      </w:r>
      <w:r>
        <w:rPr>
          <w:position w:val="-8"/>
          <w:sz w:val="24"/>
        </w:rPr>
        <w:object>
          <v:shape id="_x0000_i1031" o:spt="75" type="#_x0000_t75" style="height:16.9pt;width:10pt;" o:ole="t" filled="f" o:preferrelative="t" stroked="f" coordsize="21600,21600">
            <v:path/>
            <v:fill on="f" focussize="0,0"/>
            <v:stroke on="f" joinstyle="miter"/>
            <v:imagedata r:id="rId21" o:title=""/>
            <o:lock v:ext="edit" aspectratio="t"/>
            <w10:wrap type="none"/>
            <w10:anchorlock/>
          </v:shape>
          <o:OLEObject Type="Embed" ProgID="Equation.3" ShapeID="_x0000_i1031" DrawAspect="Content" ObjectID="_1468075731" r:id="rId20">
            <o:LockedField>false</o:LockedField>
          </o:OLEObject>
        </w:object>
      </w:r>
    </w:p>
    <w:p>
      <w:pPr>
        <w:spacing w:line="360" w:lineRule="auto"/>
        <w:ind w:firstLine="1132" w:firstLineChars="472"/>
        <w:rPr>
          <w:sz w:val="24"/>
        </w:rPr>
      </w:pPr>
      <w:r>
        <w:rPr>
          <w:rFonts w:hint="eastAsia"/>
          <w:i/>
          <w:sz w:val="24"/>
        </w:rPr>
        <w:t>W</w:t>
      </w:r>
      <w:r>
        <w:rPr>
          <w:sz w:val="24"/>
        </w:rPr>
        <w:t>——水泵平均输入功率（kW）；</w:t>
      </w:r>
    </w:p>
    <w:p>
      <w:pPr>
        <w:spacing w:line="360" w:lineRule="auto"/>
        <w:ind w:firstLine="960" w:firstLineChars="400"/>
        <w:rPr>
          <w:sz w:val="24"/>
        </w:rPr>
      </w:pPr>
      <w:r>
        <w:rPr>
          <w:rFonts w:hint="eastAsia"/>
          <w:i/>
          <w:sz w:val="24"/>
        </w:rPr>
        <w:t>P</w:t>
      </w:r>
      <w:r>
        <w:rPr>
          <w:rFonts w:hint="eastAsia"/>
          <w:sz w:val="24"/>
          <w:vertAlign w:val="subscript"/>
        </w:rPr>
        <w:t>out</w:t>
      </w:r>
      <w:r>
        <w:rPr>
          <w:sz w:val="24"/>
        </w:rPr>
        <w:t>——水泵出口压力（Pa）；</w:t>
      </w:r>
    </w:p>
    <w:p>
      <w:pPr>
        <w:tabs>
          <w:tab w:val="left" w:pos="1276"/>
          <w:tab w:val="left" w:pos="1418"/>
        </w:tabs>
        <w:spacing w:line="360" w:lineRule="auto"/>
        <w:ind w:firstLine="1080" w:firstLineChars="450"/>
        <w:rPr>
          <w:sz w:val="24"/>
        </w:rPr>
      </w:pPr>
      <w:r>
        <w:rPr>
          <w:rFonts w:hint="eastAsia"/>
          <w:i/>
          <w:sz w:val="24"/>
        </w:rPr>
        <w:t>P</w:t>
      </w:r>
      <w:r>
        <w:rPr>
          <w:rFonts w:hint="eastAsia"/>
          <w:sz w:val="24"/>
          <w:vertAlign w:val="subscript"/>
        </w:rPr>
        <w:t>in</w:t>
      </w:r>
      <w:r>
        <w:rPr>
          <w:sz w:val="24"/>
        </w:rPr>
        <w:t>——水泵进口压力（Pa）</w:t>
      </w:r>
      <w:r>
        <w:rPr>
          <w:rFonts w:hint="eastAsia"/>
          <w:sz w:val="24"/>
        </w:rPr>
        <w:t>。</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当测量水泵进出口压力时，应注意两个测点之间的阻力部件（如过滤器、止回阀、软件头和弯头）对测量结果的影响，如影响不能忽略，则应进行修正。</w:t>
      </w:r>
    </w:p>
    <w:p>
      <w:pPr>
        <w:spacing w:line="360" w:lineRule="auto"/>
        <w:rPr>
          <w:sz w:val="24"/>
        </w:rPr>
      </w:pPr>
      <w:r>
        <w:rPr>
          <w:rFonts w:hint="eastAsia"/>
          <w:b/>
          <w:sz w:val="24"/>
        </w:rPr>
        <w:t>7.5.3</w:t>
      </w:r>
      <w:r>
        <w:rPr>
          <w:rFonts w:hint="eastAsia"/>
          <w:sz w:val="24"/>
        </w:rPr>
        <w:t xml:space="preserve">  水泵效率的合格指标与判定方法应符合下列规定：</w:t>
      </w:r>
    </w:p>
    <w:p>
      <w:pPr>
        <w:spacing w:line="360" w:lineRule="auto"/>
        <w:ind w:firstLine="480" w:firstLineChars="200"/>
        <w:rPr>
          <w:sz w:val="24"/>
        </w:rPr>
      </w:pPr>
      <w:r>
        <w:rPr>
          <w:rFonts w:hint="eastAsia"/>
          <w:sz w:val="24"/>
        </w:rPr>
        <w:t>1  检测工况下，水泵效率检测值应不小于设备铭牌值的80%；</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sz w:val="24"/>
        </w:rPr>
      </w:pPr>
    </w:p>
    <w:p>
      <w:pPr>
        <w:pStyle w:val="3"/>
        <w:rPr>
          <w:rFonts w:ascii="Times New Roman" w:hAnsi="Times New Roman" w:cs="Times New Roman"/>
        </w:rPr>
      </w:pPr>
      <w:bookmarkStart w:id="90" w:name="_Toc17811187"/>
      <w:r>
        <w:rPr>
          <w:rFonts w:ascii="Times New Roman" w:hAnsi="Times New Roman" w:cs="Times New Roman"/>
        </w:rPr>
        <w:t>7.6  冷却塔效率检测</w:t>
      </w:r>
      <w:bookmarkEnd w:id="90"/>
    </w:p>
    <w:p>
      <w:pPr>
        <w:spacing w:line="360" w:lineRule="auto"/>
        <w:rPr>
          <w:sz w:val="24"/>
        </w:rPr>
      </w:pPr>
      <w:r>
        <w:rPr>
          <w:rFonts w:hint="eastAsia"/>
          <w:b/>
          <w:sz w:val="24"/>
        </w:rPr>
        <w:t xml:space="preserve">7.6.1 </w:t>
      </w:r>
      <w:r>
        <w:rPr>
          <w:rFonts w:hint="eastAsia"/>
          <w:sz w:val="24"/>
        </w:rPr>
        <w:t xml:space="preserve"> 冷却塔效率的检测数量应符合下列规定：</w:t>
      </w:r>
    </w:p>
    <w:p>
      <w:pPr>
        <w:spacing w:line="360" w:lineRule="auto"/>
        <w:ind w:firstLine="480" w:firstLineChars="200"/>
        <w:rPr>
          <w:sz w:val="24"/>
        </w:rPr>
      </w:pPr>
      <w:r>
        <w:rPr>
          <w:rFonts w:hint="eastAsia"/>
          <w:sz w:val="24"/>
        </w:rPr>
        <w:t>1  对于同型号的冷却塔有2台及以下时，应至少抽取1台；</w:t>
      </w:r>
    </w:p>
    <w:p>
      <w:pPr>
        <w:spacing w:line="360" w:lineRule="auto"/>
        <w:ind w:firstLine="480" w:firstLineChars="200"/>
        <w:rPr>
          <w:sz w:val="24"/>
        </w:rPr>
      </w:pPr>
      <w:r>
        <w:rPr>
          <w:rFonts w:hint="eastAsia"/>
          <w:sz w:val="24"/>
        </w:rPr>
        <w:t>2  对于同型号的冷却塔有3台及以上时，应至少抽取2台；</w:t>
      </w:r>
    </w:p>
    <w:p>
      <w:pPr>
        <w:spacing w:line="360" w:lineRule="auto"/>
        <w:ind w:firstLine="480" w:firstLineChars="200"/>
        <w:rPr>
          <w:sz w:val="24"/>
        </w:rPr>
      </w:pPr>
      <w:r>
        <w:rPr>
          <w:rFonts w:hint="eastAsia"/>
          <w:sz w:val="24"/>
        </w:rPr>
        <w:t>3  对于不同型号的冷却塔，每种型号应至少抽取1台。</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当相同型号的冷却塔有2台及以下时，应至少抽检1台；当相同型号的冷却塔有3台及以上时，应至少抽检2台；当冷却塔有多种型号时，每种型号的冷却塔应至少抽检1台。</w:t>
      </w:r>
    </w:p>
    <w:p>
      <w:pPr>
        <w:tabs>
          <w:tab w:val="left" w:pos="851"/>
          <w:tab w:val="left" w:pos="993"/>
        </w:tabs>
        <w:spacing w:line="360" w:lineRule="auto"/>
        <w:rPr>
          <w:sz w:val="24"/>
        </w:rPr>
      </w:pPr>
      <w:r>
        <w:rPr>
          <w:rFonts w:hint="eastAsia"/>
          <w:b/>
          <w:sz w:val="24"/>
        </w:rPr>
        <w:t>7.6.2</w:t>
      </w:r>
      <w:r>
        <w:rPr>
          <w:rFonts w:hint="eastAsia"/>
          <w:sz w:val="24"/>
        </w:rPr>
        <w:t xml:space="preserve">  冷却塔效率的检测方法应符合现行行业标准《采暖通风与空气调节工程检测技术规程》JGJ/T 260的规定。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应按现行行业标准《采暖通风与空气调节工程检测技术规程》JGJ/T 260的规定执行。</w:t>
      </w:r>
    </w:p>
    <w:p>
      <w:pPr>
        <w:spacing w:line="360" w:lineRule="auto"/>
        <w:rPr>
          <w:sz w:val="24"/>
        </w:rPr>
      </w:pPr>
      <w:r>
        <w:rPr>
          <w:rFonts w:hint="eastAsia"/>
          <w:b/>
          <w:sz w:val="24"/>
        </w:rPr>
        <w:t>7.6.3</w:t>
      </w:r>
      <w:r>
        <w:rPr>
          <w:rFonts w:hint="eastAsia"/>
          <w:sz w:val="24"/>
        </w:rPr>
        <w:t xml:space="preserve">  冷却塔效率的合格指标与判定方法应符合下列规定：</w:t>
      </w:r>
    </w:p>
    <w:p>
      <w:pPr>
        <w:spacing w:line="360" w:lineRule="auto"/>
        <w:ind w:firstLine="480" w:firstLineChars="200"/>
        <w:rPr>
          <w:sz w:val="24"/>
        </w:rPr>
      </w:pPr>
      <w:r>
        <w:rPr>
          <w:rFonts w:hint="eastAsia"/>
          <w:sz w:val="24"/>
        </w:rPr>
        <w:t>1  检测工况下，冷却塔效率检测值应不小于设计或设备铭牌值的80%；</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sz w:val="24"/>
        </w:rPr>
      </w:pPr>
    </w:p>
    <w:p>
      <w:pPr>
        <w:pStyle w:val="3"/>
        <w:rPr>
          <w:rFonts w:ascii="Times New Roman" w:hAnsi="Times New Roman" w:cs="Times New Roman"/>
        </w:rPr>
      </w:pPr>
      <w:bookmarkStart w:id="91" w:name="_Toc17811188"/>
      <w:r>
        <w:rPr>
          <w:rFonts w:ascii="Times New Roman" w:hAnsi="Times New Roman" w:cs="Times New Roman"/>
        </w:rPr>
        <w:t>7.7  冷却塔噪声检测</w:t>
      </w:r>
      <w:bookmarkEnd w:id="91"/>
    </w:p>
    <w:p>
      <w:pPr>
        <w:spacing w:line="360" w:lineRule="auto"/>
        <w:rPr>
          <w:sz w:val="24"/>
        </w:rPr>
      </w:pPr>
      <w:r>
        <w:rPr>
          <w:rFonts w:hint="eastAsia"/>
          <w:b/>
          <w:sz w:val="24"/>
        </w:rPr>
        <w:t xml:space="preserve">7.7.1 </w:t>
      </w:r>
      <w:r>
        <w:rPr>
          <w:rFonts w:hint="eastAsia"/>
          <w:sz w:val="24"/>
        </w:rPr>
        <w:t xml:space="preserve"> 冷却塔噪声的检测数量应符合下列规定：</w:t>
      </w:r>
    </w:p>
    <w:p>
      <w:pPr>
        <w:spacing w:line="360" w:lineRule="auto"/>
        <w:ind w:firstLine="480" w:firstLineChars="200"/>
        <w:rPr>
          <w:sz w:val="24"/>
        </w:rPr>
      </w:pPr>
      <w:r>
        <w:rPr>
          <w:rFonts w:hint="eastAsia"/>
          <w:sz w:val="24"/>
        </w:rPr>
        <w:t>1  对于同型号的冷却塔有2台及以下时，应至少抽取1台；</w:t>
      </w:r>
    </w:p>
    <w:p>
      <w:pPr>
        <w:spacing w:line="360" w:lineRule="auto"/>
        <w:ind w:firstLine="480" w:firstLineChars="200"/>
        <w:rPr>
          <w:sz w:val="24"/>
        </w:rPr>
      </w:pPr>
      <w:r>
        <w:rPr>
          <w:rFonts w:hint="eastAsia"/>
          <w:sz w:val="24"/>
        </w:rPr>
        <w:t>2  对于同型号的冷却塔有3台及以上时，应至少抽取2台；</w:t>
      </w:r>
    </w:p>
    <w:p>
      <w:pPr>
        <w:spacing w:line="360" w:lineRule="auto"/>
        <w:ind w:firstLine="480" w:firstLineChars="200"/>
        <w:rPr>
          <w:sz w:val="24"/>
        </w:rPr>
      </w:pPr>
      <w:r>
        <w:rPr>
          <w:rFonts w:hint="eastAsia"/>
          <w:sz w:val="24"/>
        </w:rPr>
        <w:t>3  对于不同型号的冷却塔，每种型号应至少抽取1台。</w:t>
      </w:r>
    </w:p>
    <w:p>
      <w:pPr>
        <w:tabs>
          <w:tab w:val="left" w:pos="851"/>
          <w:tab w:val="left" w:pos="993"/>
        </w:tabs>
        <w:spacing w:line="360" w:lineRule="auto"/>
        <w:rPr>
          <w:sz w:val="24"/>
        </w:rPr>
      </w:pPr>
      <w:r>
        <w:rPr>
          <w:rFonts w:hint="eastAsia"/>
          <w:b/>
          <w:sz w:val="24"/>
        </w:rPr>
        <w:t>7.7.2</w:t>
      </w:r>
      <w:r>
        <w:rPr>
          <w:rFonts w:hint="eastAsia"/>
          <w:sz w:val="24"/>
        </w:rPr>
        <w:t xml:space="preserve">  冷却塔噪声的检测方法和判定方法应符合现行国家标准《机械通风冷却塔第1部分：中小型开式冷却塔》GB/T 7190.1的规定。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冷却塔应逐台进行噪声检测，即检测工况下，只有被检测冷却塔运转，其他冷却塔不运转。冷却塔噪声检测应在冷却塔正常运转时测定，且周围环境必须安静。因民用建筑冷却塔的单塔冷却水流量一般小于1000m</w:t>
      </w:r>
      <w:r>
        <w:rPr>
          <w:rFonts w:hint="eastAsia" w:eastAsia="楷体"/>
          <w:color w:val="3016EE"/>
          <w:vertAlign w:val="superscript"/>
        </w:rPr>
        <w:t>3</w:t>
      </w:r>
      <w:r>
        <w:rPr>
          <w:rFonts w:hint="eastAsia" w:eastAsia="楷体"/>
          <w:color w:val="3016EE"/>
        </w:rPr>
        <w:t>/h，因此，冷却塔噪声的检测方法和判定方法应按现行国家标准《机械通风冷却塔第1部分：中小型开式冷却塔》GB/T 7190.1的规定执行。</w:t>
      </w:r>
    </w:p>
    <w:p>
      <w:pPr>
        <w:spacing w:line="360" w:lineRule="auto"/>
        <w:rPr>
          <w:sz w:val="24"/>
        </w:rPr>
      </w:pPr>
    </w:p>
    <w:p>
      <w:pPr>
        <w:pStyle w:val="3"/>
        <w:rPr>
          <w:rFonts w:ascii="Times New Roman" w:hAnsi="Times New Roman" w:cs="Times New Roman"/>
        </w:rPr>
      </w:pPr>
      <w:bookmarkStart w:id="92" w:name="_Toc17811189"/>
      <w:r>
        <w:rPr>
          <w:rFonts w:ascii="Times New Roman" w:hAnsi="Times New Roman" w:cs="Times New Roman"/>
        </w:rPr>
        <w:t>7.8  空调系统冷</w:t>
      </w:r>
      <w:r>
        <w:rPr>
          <w:rFonts w:hint="eastAsia" w:ascii="Times New Roman" w:hAnsi="Times New Roman" w:cs="Times New Roman"/>
        </w:rPr>
        <w:t>（</w:t>
      </w:r>
      <w:r>
        <w:rPr>
          <w:rFonts w:ascii="Times New Roman" w:hAnsi="Times New Roman" w:cs="Times New Roman"/>
        </w:rPr>
        <w:t>热</w:t>
      </w:r>
      <w:r>
        <w:rPr>
          <w:rFonts w:hint="eastAsia" w:ascii="Times New Roman" w:hAnsi="Times New Roman" w:cs="Times New Roman"/>
        </w:rPr>
        <w:t>）</w:t>
      </w:r>
      <w:r>
        <w:rPr>
          <w:rFonts w:ascii="Times New Roman" w:hAnsi="Times New Roman" w:cs="Times New Roman"/>
        </w:rPr>
        <w:t>水总流量检测</w:t>
      </w:r>
      <w:bookmarkEnd w:id="92"/>
    </w:p>
    <w:p>
      <w:pPr>
        <w:spacing w:line="360" w:lineRule="auto"/>
        <w:rPr>
          <w:sz w:val="24"/>
        </w:rPr>
      </w:pPr>
      <w:r>
        <w:rPr>
          <w:rFonts w:hint="eastAsia"/>
          <w:b/>
          <w:sz w:val="24"/>
        </w:rPr>
        <w:t>7.8.1</w:t>
      </w:r>
      <w:r>
        <w:rPr>
          <w:rFonts w:hint="eastAsia"/>
          <w:sz w:val="24"/>
        </w:rPr>
        <w:t xml:space="preserve">  所有独立的空调系统的冷（热）水总流量均应进行检测。</w:t>
      </w:r>
    </w:p>
    <w:p>
      <w:pPr>
        <w:tabs>
          <w:tab w:val="left" w:pos="851"/>
          <w:tab w:val="left" w:pos="993"/>
        </w:tabs>
        <w:spacing w:line="360" w:lineRule="auto"/>
        <w:rPr>
          <w:sz w:val="24"/>
        </w:rPr>
      </w:pPr>
      <w:r>
        <w:rPr>
          <w:rFonts w:hint="eastAsia"/>
          <w:b/>
          <w:sz w:val="24"/>
        </w:rPr>
        <w:t>7.8.2</w:t>
      </w:r>
      <w:r>
        <w:rPr>
          <w:rFonts w:hint="eastAsia"/>
          <w:sz w:val="24"/>
        </w:rPr>
        <w:t xml:space="preserve">  空调系统冷（热）水总流量的检测方法应符合现行行业标准《采暖通风与空气调节工程检测技术规程》JGJ/T 260中水流量检测的规定。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应按现行行业标准《采暖通风与空气调节工程检测技术规程》JGJ/T 260中水流量检测的规定执行。</w:t>
      </w:r>
    </w:p>
    <w:p>
      <w:pPr>
        <w:spacing w:line="360" w:lineRule="auto"/>
        <w:rPr>
          <w:sz w:val="24"/>
        </w:rPr>
      </w:pPr>
      <w:r>
        <w:rPr>
          <w:rFonts w:hint="eastAsia"/>
          <w:b/>
          <w:sz w:val="24"/>
        </w:rPr>
        <w:t>7.8.3</w:t>
      </w:r>
      <w:r>
        <w:rPr>
          <w:rFonts w:hint="eastAsia"/>
          <w:sz w:val="24"/>
        </w:rPr>
        <w:t xml:space="preserve">  空调系统冷（热）水总流量的合格指标与判定方法应符合下列规定：</w:t>
      </w:r>
    </w:p>
    <w:p>
      <w:pPr>
        <w:spacing w:line="360" w:lineRule="auto"/>
        <w:ind w:firstLine="480" w:firstLineChars="200"/>
        <w:rPr>
          <w:sz w:val="24"/>
        </w:rPr>
      </w:pPr>
      <w:r>
        <w:rPr>
          <w:rFonts w:hint="eastAsia"/>
          <w:sz w:val="24"/>
        </w:rPr>
        <w:t>1  检测工况下，空调系统冷（热）水总流量与设计流量的允许偏差不应大于10%；</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sz w:val="24"/>
        </w:rPr>
      </w:pPr>
    </w:p>
    <w:p>
      <w:pPr>
        <w:pStyle w:val="3"/>
        <w:rPr>
          <w:rFonts w:ascii="Times New Roman" w:hAnsi="Times New Roman" w:cs="Times New Roman"/>
        </w:rPr>
      </w:pPr>
      <w:bookmarkStart w:id="93" w:name="_Toc17811190"/>
      <w:r>
        <w:rPr>
          <w:rFonts w:ascii="Times New Roman" w:hAnsi="Times New Roman" w:cs="Times New Roman"/>
        </w:rPr>
        <w:t>7.</w:t>
      </w:r>
      <w:r>
        <w:rPr>
          <w:rFonts w:hint="eastAsia" w:ascii="Times New Roman" w:hAnsi="Times New Roman" w:cs="Times New Roman"/>
        </w:rPr>
        <w:t>9</w:t>
      </w:r>
      <w:r>
        <w:rPr>
          <w:rFonts w:ascii="Times New Roman" w:hAnsi="Times New Roman" w:cs="Times New Roman"/>
        </w:rPr>
        <w:t xml:space="preserve">  空调系统冷却水总流量检测</w:t>
      </w:r>
      <w:bookmarkEnd w:id="93"/>
    </w:p>
    <w:p>
      <w:pPr>
        <w:spacing w:line="360" w:lineRule="auto"/>
        <w:rPr>
          <w:sz w:val="24"/>
        </w:rPr>
      </w:pPr>
      <w:r>
        <w:rPr>
          <w:rFonts w:hint="eastAsia"/>
          <w:b/>
          <w:sz w:val="24"/>
        </w:rPr>
        <w:t>7.9.1</w:t>
      </w:r>
      <w:r>
        <w:rPr>
          <w:rFonts w:hint="eastAsia"/>
          <w:sz w:val="24"/>
        </w:rPr>
        <w:t xml:space="preserve">  所有独立的空调系统的冷却水总流量均应进行检测。</w:t>
      </w:r>
    </w:p>
    <w:p>
      <w:pPr>
        <w:tabs>
          <w:tab w:val="left" w:pos="851"/>
          <w:tab w:val="left" w:pos="993"/>
        </w:tabs>
        <w:spacing w:line="360" w:lineRule="auto"/>
        <w:rPr>
          <w:sz w:val="24"/>
        </w:rPr>
      </w:pPr>
      <w:r>
        <w:rPr>
          <w:rFonts w:hint="eastAsia"/>
          <w:b/>
          <w:sz w:val="24"/>
        </w:rPr>
        <w:t>7.9.2</w:t>
      </w:r>
      <w:r>
        <w:rPr>
          <w:rFonts w:hint="eastAsia"/>
          <w:sz w:val="24"/>
        </w:rPr>
        <w:t xml:space="preserve">  空调系统冷却水总流量的检测方法应符合现行行业标准《采暖通风与空气调节工程检测技术规程》JGJ/T 260中水流量检测的规定。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应按现行行业标准《采暖通风与空气调节工程检测技术规程》JGJ/T 260中水流量检测的规定执行。</w:t>
      </w:r>
    </w:p>
    <w:p>
      <w:pPr>
        <w:spacing w:line="360" w:lineRule="auto"/>
        <w:rPr>
          <w:sz w:val="24"/>
        </w:rPr>
      </w:pPr>
      <w:r>
        <w:rPr>
          <w:rFonts w:hint="eastAsia"/>
          <w:b/>
          <w:sz w:val="24"/>
        </w:rPr>
        <w:t>7.9.3</w:t>
      </w:r>
      <w:r>
        <w:rPr>
          <w:rFonts w:hint="eastAsia"/>
          <w:sz w:val="24"/>
        </w:rPr>
        <w:t xml:space="preserve">  空调系统冷却水总流量的合格指标与判定方法应符合下列规定：</w:t>
      </w:r>
    </w:p>
    <w:p>
      <w:pPr>
        <w:spacing w:line="360" w:lineRule="auto"/>
        <w:ind w:firstLine="480" w:firstLineChars="200"/>
        <w:rPr>
          <w:sz w:val="24"/>
        </w:rPr>
      </w:pPr>
      <w:r>
        <w:rPr>
          <w:rFonts w:hint="eastAsia"/>
          <w:sz w:val="24"/>
        </w:rPr>
        <w:t>1  检测工况下，空调系统冷却水总流量与设计流量的允许偏差不应大于10%；</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sz w:val="24"/>
        </w:rPr>
      </w:pPr>
    </w:p>
    <w:p>
      <w:pPr>
        <w:pStyle w:val="3"/>
        <w:rPr>
          <w:rFonts w:ascii="Times New Roman" w:hAnsi="Times New Roman" w:cs="Times New Roman"/>
        </w:rPr>
      </w:pPr>
      <w:bookmarkStart w:id="94" w:name="_Toc17811191"/>
      <w:r>
        <w:rPr>
          <w:rFonts w:ascii="Times New Roman" w:hAnsi="Times New Roman" w:cs="Times New Roman"/>
        </w:rPr>
        <w:t>7.</w:t>
      </w:r>
      <w:r>
        <w:rPr>
          <w:rFonts w:hint="eastAsia" w:ascii="Times New Roman" w:hAnsi="Times New Roman" w:cs="Times New Roman"/>
        </w:rPr>
        <w:t>10</w:t>
      </w:r>
      <w:r>
        <w:rPr>
          <w:rFonts w:ascii="Times New Roman" w:hAnsi="Times New Roman" w:cs="Times New Roman"/>
        </w:rPr>
        <w:t xml:space="preserve"> 空调机组水流量检测</w:t>
      </w:r>
      <w:bookmarkEnd w:id="94"/>
    </w:p>
    <w:p>
      <w:pPr>
        <w:spacing w:line="360" w:lineRule="auto"/>
        <w:rPr>
          <w:sz w:val="24"/>
        </w:rPr>
      </w:pPr>
      <w:r>
        <w:rPr>
          <w:rFonts w:hint="eastAsia"/>
          <w:b/>
          <w:sz w:val="24"/>
        </w:rPr>
        <w:t>7.10.1</w:t>
      </w:r>
      <w:r>
        <w:rPr>
          <w:rFonts w:hint="eastAsia"/>
          <w:sz w:val="24"/>
        </w:rPr>
        <w:t xml:space="preserve">  空调机组水流量的检测应以空调机组数量为受检样本数量基数，最小抽样检测数量按本标准表3.0.3规定执行，且不应少于1台。</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空调机组水流量应按计数方法检测，且抽检数量不应少于1台，当空调机组数量大于等于2台时，最小抽样检测数量应满足本标准表3.0.3的规定。</w:t>
      </w:r>
    </w:p>
    <w:p>
      <w:pPr>
        <w:tabs>
          <w:tab w:val="left" w:pos="851"/>
          <w:tab w:val="left" w:pos="993"/>
        </w:tabs>
        <w:spacing w:line="360" w:lineRule="auto"/>
        <w:rPr>
          <w:sz w:val="24"/>
        </w:rPr>
      </w:pPr>
      <w:r>
        <w:rPr>
          <w:rFonts w:hint="eastAsia"/>
          <w:b/>
          <w:sz w:val="24"/>
        </w:rPr>
        <w:t>7.10.2</w:t>
      </w:r>
      <w:r>
        <w:rPr>
          <w:rFonts w:hint="eastAsia"/>
          <w:sz w:val="24"/>
        </w:rPr>
        <w:t xml:space="preserve">  空调机组水流量的检测方法应符合现行行业标准《采暖通风与空气调节工程检测技术规程》JGJ/T 260中水流量检测的规定。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应按现行行业标准《采暖通风与空气调节工程检测技术规程》JGJ/T 260中水流量检测的规定执行。</w:t>
      </w:r>
    </w:p>
    <w:p>
      <w:pPr>
        <w:spacing w:line="360" w:lineRule="auto"/>
        <w:rPr>
          <w:sz w:val="24"/>
        </w:rPr>
      </w:pPr>
      <w:r>
        <w:rPr>
          <w:rFonts w:hint="eastAsia"/>
          <w:b/>
          <w:sz w:val="24"/>
        </w:rPr>
        <w:t>7.10.3</w:t>
      </w:r>
      <w:r>
        <w:rPr>
          <w:rFonts w:hint="eastAsia"/>
          <w:sz w:val="24"/>
        </w:rPr>
        <w:t xml:space="preserve">  空调机组水流量的合格指标与判定方法应符合下列规定：</w:t>
      </w:r>
    </w:p>
    <w:p>
      <w:pPr>
        <w:spacing w:line="360" w:lineRule="auto"/>
        <w:ind w:firstLine="480" w:firstLineChars="200"/>
        <w:rPr>
          <w:sz w:val="24"/>
        </w:rPr>
      </w:pPr>
      <w:r>
        <w:rPr>
          <w:rFonts w:hint="eastAsia"/>
          <w:sz w:val="24"/>
        </w:rPr>
        <w:t>1  检测工况下，空调机组水流量应符合设计要求，允许偏差不应大于15%；</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无论定流量系统还是变流量系统，空调机组水流量检测时，均应在水泵额定频率状态下进行。</w:t>
      </w:r>
    </w:p>
    <w:p>
      <w:pPr>
        <w:spacing w:line="360" w:lineRule="auto"/>
        <w:rPr>
          <w:sz w:val="24"/>
        </w:rPr>
      </w:pPr>
    </w:p>
    <w:p>
      <w:pPr>
        <w:pStyle w:val="3"/>
        <w:rPr>
          <w:rFonts w:ascii="Times New Roman" w:hAnsi="Times New Roman" w:cs="Times New Roman"/>
        </w:rPr>
      </w:pPr>
      <w:bookmarkStart w:id="95" w:name="_Toc17811192"/>
      <w:r>
        <w:rPr>
          <w:rFonts w:ascii="Times New Roman" w:hAnsi="Times New Roman" w:cs="Times New Roman"/>
        </w:rPr>
        <w:t>7.1</w:t>
      </w:r>
      <w:r>
        <w:rPr>
          <w:rFonts w:hint="eastAsia" w:ascii="Times New Roman" w:hAnsi="Times New Roman" w:cs="Times New Roman"/>
        </w:rPr>
        <w:t>1</w:t>
      </w:r>
      <w:r>
        <w:rPr>
          <w:rFonts w:ascii="Times New Roman" w:hAnsi="Times New Roman" w:cs="Times New Roman"/>
        </w:rPr>
        <w:t xml:space="preserve"> 耗电输冷（热）比检测</w:t>
      </w:r>
      <w:bookmarkEnd w:id="95"/>
    </w:p>
    <w:p>
      <w:pPr>
        <w:spacing w:line="360" w:lineRule="auto"/>
        <w:rPr>
          <w:sz w:val="24"/>
        </w:rPr>
      </w:pPr>
      <w:r>
        <w:rPr>
          <w:rFonts w:hint="eastAsia"/>
          <w:b/>
          <w:sz w:val="24"/>
        </w:rPr>
        <w:t>7.11.1</w:t>
      </w:r>
      <w:r>
        <w:rPr>
          <w:rFonts w:hint="eastAsia"/>
          <w:sz w:val="24"/>
        </w:rPr>
        <w:t xml:space="preserve">  所有独立的空调冷（热）水系统均应进行耗电输冷（热）比检测。</w:t>
      </w:r>
    </w:p>
    <w:p>
      <w:pPr>
        <w:tabs>
          <w:tab w:val="left" w:pos="851"/>
          <w:tab w:val="left" w:pos="993"/>
        </w:tabs>
        <w:spacing w:line="360" w:lineRule="auto"/>
        <w:rPr>
          <w:sz w:val="24"/>
        </w:rPr>
      </w:pPr>
      <w:r>
        <w:rPr>
          <w:rFonts w:hint="eastAsia"/>
          <w:b/>
          <w:sz w:val="24"/>
        </w:rPr>
        <w:t>7.11.2</w:t>
      </w:r>
      <w:r>
        <w:rPr>
          <w:rFonts w:hint="eastAsia"/>
          <w:sz w:val="24"/>
        </w:rPr>
        <w:t xml:space="preserve">  耗电输冷（热）比的检测方法应符合下列规定：</w:t>
      </w:r>
    </w:p>
    <w:p>
      <w:pPr>
        <w:tabs>
          <w:tab w:val="left" w:pos="851"/>
          <w:tab w:val="left" w:pos="993"/>
        </w:tabs>
        <w:spacing w:line="360" w:lineRule="auto"/>
        <w:ind w:firstLine="480" w:firstLineChars="200"/>
        <w:rPr>
          <w:sz w:val="24"/>
        </w:rPr>
      </w:pPr>
      <w:r>
        <w:rPr>
          <w:rFonts w:hint="eastAsia"/>
          <w:sz w:val="24"/>
        </w:rPr>
        <w:t>1  耗电输冷（热）比的检测条件应符合下列规定：</w:t>
      </w:r>
    </w:p>
    <w:p>
      <w:pPr>
        <w:tabs>
          <w:tab w:val="left" w:pos="851"/>
          <w:tab w:val="left" w:pos="993"/>
        </w:tabs>
        <w:spacing w:line="360" w:lineRule="auto"/>
        <w:ind w:firstLine="720" w:firstLineChars="300"/>
        <w:rPr>
          <w:sz w:val="24"/>
        </w:rPr>
      </w:pPr>
      <w:r>
        <w:rPr>
          <w:rFonts w:hint="eastAsia"/>
          <w:sz w:val="24"/>
        </w:rPr>
        <w:t>1） 空调冷（热）源和循环水泵的铭牌参数应符合设计要求；</w:t>
      </w:r>
    </w:p>
    <w:p>
      <w:pPr>
        <w:tabs>
          <w:tab w:val="left" w:pos="851"/>
          <w:tab w:val="left" w:pos="993"/>
        </w:tabs>
        <w:spacing w:line="360" w:lineRule="auto"/>
        <w:ind w:firstLine="720" w:firstLineChars="300"/>
        <w:rPr>
          <w:sz w:val="24"/>
        </w:rPr>
      </w:pPr>
      <w:r>
        <w:rPr>
          <w:rFonts w:hint="eastAsia"/>
          <w:sz w:val="24"/>
        </w:rPr>
        <w:t>2） 空调冷（热）水系统运行正常，系统负荷不宜小于实际运行最大负荷的60%，并处于稳定状态。</w:t>
      </w:r>
    </w:p>
    <w:p>
      <w:pPr>
        <w:tabs>
          <w:tab w:val="left" w:pos="851"/>
          <w:tab w:val="left" w:pos="993"/>
        </w:tabs>
        <w:spacing w:line="360" w:lineRule="auto"/>
        <w:ind w:firstLine="720" w:firstLineChars="300"/>
        <w:rPr>
          <w:sz w:val="24"/>
        </w:rPr>
      </w:pPr>
      <w:r>
        <w:rPr>
          <w:rFonts w:hint="eastAsia"/>
          <w:sz w:val="24"/>
        </w:rPr>
        <w:t>3） 对于变频泵系统，应按工频运行工况检测。</w:t>
      </w:r>
    </w:p>
    <w:p>
      <w:pPr>
        <w:tabs>
          <w:tab w:val="left" w:pos="851"/>
          <w:tab w:val="left" w:pos="993"/>
        </w:tabs>
        <w:spacing w:line="360" w:lineRule="auto"/>
        <w:ind w:firstLine="480" w:firstLineChars="200"/>
        <w:rPr>
          <w:sz w:val="24"/>
        </w:rPr>
      </w:pPr>
      <w:r>
        <w:rPr>
          <w:rFonts w:hint="eastAsia"/>
          <w:sz w:val="24"/>
        </w:rPr>
        <w:t>2  检测工况下，应每隔（5~10）min读1次数，连续测量60min，并应取每次读数的平均值作为检测值。</w:t>
      </w:r>
    </w:p>
    <w:p>
      <w:pPr>
        <w:tabs>
          <w:tab w:val="left" w:pos="851"/>
          <w:tab w:val="left" w:pos="993"/>
        </w:tabs>
        <w:spacing w:line="360" w:lineRule="auto"/>
        <w:ind w:firstLine="480" w:firstLineChars="200"/>
        <w:rPr>
          <w:sz w:val="24"/>
        </w:rPr>
      </w:pPr>
      <w:r>
        <w:rPr>
          <w:rFonts w:hint="eastAsia"/>
          <w:sz w:val="24"/>
        </w:rPr>
        <w:t>3  供冷（热）量测量应按现行行业标准《公共建筑节能检测标准》JGJ/T 177中相关测量方法执行。</w:t>
      </w:r>
    </w:p>
    <w:p>
      <w:pPr>
        <w:tabs>
          <w:tab w:val="left" w:pos="851"/>
          <w:tab w:val="left" w:pos="993"/>
        </w:tabs>
        <w:spacing w:line="360" w:lineRule="auto"/>
        <w:ind w:firstLine="480" w:firstLineChars="200"/>
        <w:rPr>
          <w:sz w:val="24"/>
        </w:rPr>
      </w:pPr>
      <w:r>
        <w:rPr>
          <w:rFonts w:hint="eastAsia"/>
          <w:sz w:val="24"/>
        </w:rPr>
        <w:t>4  循环水泵的输入功率应在电动机的输入线端测量，并应与供冷（热）量的测量时间一致。</w:t>
      </w:r>
    </w:p>
    <w:p>
      <w:pPr>
        <w:tabs>
          <w:tab w:val="left" w:pos="851"/>
          <w:tab w:val="left" w:pos="993"/>
        </w:tabs>
        <w:spacing w:line="360" w:lineRule="auto"/>
        <w:ind w:firstLine="480" w:firstLineChars="200"/>
        <w:rPr>
          <w:sz w:val="24"/>
        </w:rPr>
      </w:pPr>
      <w:r>
        <w:rPr>
          <w:rFonts w:hint="eastAsia"/>
          <w:sz w:val="24"/>
        </w:rPr>
        <w:t>5  耗电输冷（热）比应按下式进行计算：</w:t>
      </w:r>
    </w:p>
    <w:p>
      <w:pPr>
        <w:tabs>
          <w:tab w:val="left" w:pos="851"/>
          <w:tab w:val="left" w:pos="993"/>
        </w:tabs>
        <w:spacing w:line="360" w:lineRule="auto"/>
        <w:ind w:firstLine="480" w:firstLineChars="200"/>
        <w:jc w:val="right"/>
        <w:rPr>
          <w:sz w:val="24"/>
        </w:rPr>
      </w:pPr>
      <w:r>
        <w:rPr>
          <w:rFonts w:hint="eastAsia"/>
          <w:sz w:val="24"/>
        </w:rPr>
        <w:t xml:space="preserve">EC(H)R-a= </w:t>
      </w:r>
      <w:r>
        <w:rPr>
          <w:rFonts w:hint="eastAsia" w:ascii="宋体" w:hAnsi="宋体"/>
          <w:sz w:val="24"/>
        </w:rPr>
        <w:t>∑</w:t>
      </w:r>
      <w:r>
        <w:rPr>
          <w:rFonts w:hint="eastAsia"/>
          <w:sz w:val="24"/>
        </w:rPr>
        <w:t>N /Q                  （7.11.2-1）</w:t>
      </w:r>
    </w:p>
    <w:p>
      <w:pPr>
        <w:tabs>
          <w:tab w:val="left" w:pos="851"/>
          <w:tab w:val="left" w:pos="993"/>
        </w:tabs>
        <w:spacing w:line="360" w:lineRule="auto"/>
        <w:jc w:val="left"/>
        <w:rPr>
          <w:sz w:val="24"/>
        </w:rPr>
      </w:pPr>
      <w:r>
        <w:rPr>
          <w:rFonts w:hint="eastAsia"/>
          <w:sz w:val="24"/>
        </w:rPr>
        <w:t>式中：</w:t>
      </w:r>
      <w:r>
        <w:rPr>
          <w:rFonts w:hint="eastAsia"/>
          <w:sz w:val="24"/>
        </w:rPr>
        <w:tab/>
      </w:r>
      <w:r>
        <w:rPr>
          <w:rFonts w:hint="eastAsia"/>
          <w:sz w:val="24"/>
        </w:rPr>
        <w:t>EC(H)R-a——空调冷（热）水系统耗电输冷（热）比；</w:t>
      </w:r>
    </w:p>
    <w:p>
      <w:pPr>
        <w:tabs>
          <w:tab w:val="left" w:pos="851"/>
          <w:tab w:val="left" w:pos="993"/>
        </w:tabs>
        <w:spacing w:line="360" w:lineRule="auto"/>
        <w:ind w:firstLine="1680" w:firstLineChars="700"/>
        <w:jc w:val="left"/>
        <w:rPr>
          <w:sz w:val="24"/>
        </w:rPr>
      </w:pPr>
      <w:r>
        <w:rPr>
          <w:rFonts w:hint="eastAsia"/>
          <w:sz w:val="24"/>
        </w:rPr>
        <w:t>Q——空调冷（热）水系统的供冷（热）量（kW）；</w:t>
      </w:r>
    </w:p>
    <w:p>
      <w:pPr>
        <w:tabs>
          <w:tab w:val="left" w:pos="851"/>
          <w:tab w:val="left" w:pos="993"/>
        </w:tabs>
        <w:spacing w:line="360" w:lineRule="auto"/>
        <w:ind w:firstLine="1416" w:firstLineChars="590"/>
        <w:rPr>
          <w:sz w:val="24"/>
        </w:rPr>
      </w:pPr>
      <w:r>
        <w:rPr>
          <w:rFonts w:hint="eastAsia" w:ascii="宋体" w:hAnsi="宋体"/>
          <w:sz w:val="24"/>
        </w:rPr>
        <w:t>∑</w:t>
      </w:r>
      <w:r>
        <w:rPr>
          <w:rFonts w:hint="eastAsia"/>
          <w:sz w:val="24"/>
        </w:rPr>
        <w:t>N——所有运行水泵在检测工况下的输入功率之和（kW）。</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空调冷（热）源的铭牌参数应能满足设计要求，循环水泵要具备原设计所要求的流量和扬程。由于当水泵出力仅仅满足部分负荷的条件时，按照本标准的规定计算所得到的耗电输冷（热）比仍然有合格的可能，所以为了杜绝此类情况的发生，本标准要求检测前对水泵的铭牌参数进行校核。</w:t>
      </w:r>
    </w:p>
    <w:p>
      <w:pPr>
        <w:spacing w:line="360" w:lineRule="auto"/>
        <w:ind w:firstLine="420" w:firstLineChars="200"/>
        <w:rPr>
          <w:rFonts w:eastAsia="楷体"/>
          <w:color w:val="3016EE"/>
        </w:rPr>
      </w:pPr>
      <w:r>
        <w:rPr>
          <w:rFonts w:hint="eastAsia" w:eastAsia="楷体"/>
          <w:color w:val="3016EE"/>
        </w:rPr>
        <w:t>从理论上来讲，在系统负荷率为100%时进行耗电输冷（热）比的检测最能体现空调冷（热）水系统在设计工况下的性能，但如果那样的话，检测标准因可操作性差将会失去存在的意义；但如果检测时负荷率太低，又会给系统的正常运行带来一定的调节上的影响，且不符合常规的运行状态。那么，检测时空调冷（热）水系统的负荷率应为多少较合适呢？根据研究和检测结果，空调冷（热）水系统运行负荷宜不小于其实际运行最大负荷的60%。</w:t>
      </w:r>
    </w:p>
    <w:p>
      <w:pPr>
        <w:spacing w:line="360" w:lineRule="auto"/>
        <w:ind w:firstLine="420" w:firstLineChars="200"/>
        <w:rPr>
          <w:rFonts w:eastAsia="楷体"/>
          <w:color w:val="3016EE"/>
        </w:rPr>
      </w:pPr>
      <w:r>
        <w:rPr>
          <w:rFonts w:hint="eastAsia" w:eastAsia="楷体"/>
          <w:color w:val="3016EE"/>
        </w:rPr>
        <w:t>变频泵系统通过调节水泵电机的输入频率来跟踪系统阻力的变化，为空调冷（热）水系统提供恒定的资用压头，这种系统由于采用了变频技术，使得耗电输冷（热）比较低，本标准建议水泵能在最接近设计运行状态下进行检测，这样，系统的耗电输冷（热）比最大，也只有在这种状态下，才能鉴别系统的优劣。</w:t>
      </w:r>
    </w:p>
    <w:p>
      <w:pPr>
        <w:spacing w:line="360" w:lineRule="auto"/>
        <w:ind w:firstLine="420" w:firstLineChars="200"/>
        <w:rPr>
          <w:rFonts w:eastAsia="楷体"/>
          <w:color w:val="3016EE"/>
        </w:rPr>
      </w:pPr>
      <w:r>
        <w:rPr>
          <w:rFonts w:hint="eastAsia" w:eastAsia="楷体"/>
          <w:color w:val="3016EE"/>
        </w:rPr>
        <w:t>供冷（热）量测量应按现行行业标准《公共建筑节能检测标准》JGJ/T 177中冷水（热泵）机组实际性能系数检测时涉及的供冷（热）量测量方法执行。</w:t>
      </w:r>
    </w:p>
    <w:p>
      <w:pPr>
        <w:spacing w:line="360" w:lineRule="auto"/>
        <w:rPr>
          <w:sz w:val="24"/>
        </w:rPr>
      </w:pPr>
      <w:r>
        <w:rPr>
          <w:rFonts w:hint="eastAsia"/>
          <w:b/>
          <w:sz w:val="24"/>
        </w:rPr>
        <w:t>7.11.3</w:t>
      </w:r>
      <w:r>
        <w:rPr>
          <w:rFonts w:hint="eastAsia"/>
          <w:sz w:val="24"/>
        </w:rPr>
        <w:t xml:space="preserve">  耗电输冷（热）比的合格指标与判定方法应符合下列规定：</w:t>
      </w:r>
    </w:p>
    <w:p>
      <w:pPr>
        <w:spacing w:line="360" w:lineRule="auto"/>
        <w:ind w:firstLine="480" w:firstLineChars="200"/>
        <w:rPr>
          <w:sz w:val="24"/>
        </w:rPr>
      </w:pPr>
      <w:r>
        <w:rPr>
          <w:rFonts w:hint="eastAsia"/>
          <w:sz w:val="24"/>
        </w:rPr>
        <w:t>1  检测工况下，空调冷（热）水系统耗电输冷（热）比应符合设计要求，当设计无明确要求时，应满足下式计算结果：</w:t>
      </w:r>
    </w:p>
    <w:p>
      <w:pPr>
        <w:spacing w:line="360" w:lineRule="auto"/>
        <w:ind w:firstLine="480" w:firstLineChars="200"/>
        <w:jc w:val="right"/>
        <w:rPr>
          <w:sz w:val="24"/>
        </w:rPr>
      </w:pPr>
      <w:r>
        <w:rPr>
          <w:rFonts w:hint="eastAsia"/>
          <w:sz w:val="24"/>
        </w:rPr>
        <w:t>EC(H)R-a≤A（B+</w:t>
      </w:r>
      <m:oMath>
        <m:r>
          <m:rPr>
            <m:nor/>
            <m:sty m:val="p"/>
          </m:rPr>
          <w:rPr>
            <w:rFonts w:ascii="Cambria Math" w:hAnsi="Cambria Math"/>
            <w:sz w:val="24"/>
          </w:rPr>
          <m:t>α</m:t>
        </m:r>
      </m:oMath>
      <w:r>
        <w:rPr>
          <w:rFonts w:hint="eastAsia" w:ascii="宋体" w:hAnsi="宋体"/>
          <w:sz w:val="24"/>
        </w:rPr>
        <w:t>∑L</w:t>
      </w:r>
      <w:r>
        <w:rPr>
          <w:rFonts w:hint="eastAsia"/>
          <w:sz w:val="24"/>
        </w:rPr>
        <w:t>）/</w:t>
      </w:r>
      <m:oMath>
        <m:r>
          <m:rPr>
            <m:nor/>
            <m:sty m:val="p"/>
          </m:rPr>
          <w:rPr>
            <w:rFonts w:ascii="Cambria Math" w:hAnsi="Cambria Math"/>
            <w:sz w:val="24"/>
          </w:rPr>
          <m:t>∆</m:t>
        </m:r>
        <m:r>
          <m:rPr>
            <m:nor/>
            <m:sty m:val="p"/>
          </m:rPr>
          <w:rPr>
            <w:rFonts w:hint="eastAsia" w:ascii="Cambria Math" w:hAnsi="Cambria Math"/>
            <w:sz w:val="24"/>
          </w:rPr>
          <m:t>T</m:t>
        </m:r>
      </m:oMath>
      <w:r>
        <w:rPr>
          <w:rFonts w:hint="eastAsia"/>
          <w:sz w:val="24"/>
        </w:rPr>
        <w:t xml:space="preserve">          （7.11.3-1）</w:t>
      </w:r>
    </w:p>
    <w:p>
      <w:pPr>
        <w:tabs>
          <w:tab w:val="left" w:pos="851"/>
          <w:tab w:val="left" w:pos="993"/>
        </w:tabs>
        <w:spacing w:line="360" w:lineRule="auto"/>
        <w:jc w:val="left"/>
        <w:rPr>
          <w:sz w:val="24"/>
        </w:rPr>
      </w:pPr>
      <w:r>
        <w:rPr>
          <w:rFonts w:hint="eastAsia"/>
          <w:sz w:val="24"/>
        </w:rPr>
        <w:t>式中：</w:t>
      </w:r>
      <w:r>
        <w:rPr>
          <w:rFonts w:hint="eastAsia"/>
          <w:sz w:val="24"/>
        </w:rPr>
        <w:tab/>
      </w:r>
      <w:r>
        <w:rPr>
          <w:rFonts w:hint="eastAsia"/>
          <w:sz w:val="24"/>
        </w:rPr>
        <w:t>A——与循环水泵流量有关的计算系数，按表7.11.3-1选取；</w:t>
      </w:r>
    </w:p>
    <w:p>
      <w:pPr>
        <w:tabs>
          <w:tab w:val="left" w:pos="851"/>
          <w:tab w:val="left" w:pos="993"/>
        </w:tabs>
        <w:spacing w:line="360" w:lineRule="auto"/>
        <w:ind w:firstLine="849" w:firstLineChars="354"/>
        <w:jc w:val="left"/>
        <w:rPr>
          <w:sz w:val="24"/>
        </w:rPr>
      </w:pPr>
      <w:r>
        <w:rPr>
          <w:rFonts w:hint="eastAsia"/>
          <w:sz w:val="24"/>
        </w:rPr>
        <w:t>B——与机房及用户的水阻力有关的计算系数，按表7.11.3-2选取；</w:t>
      </w:r>
    </w:p>
    <w:p>
      <w:pPr>
        <w:spacing w:line="360" w:lineRule="auto"/>
        <w:ind w:right="960" w:firstLine="708" w:firstLineChars="295"/>
        <w:rPr>
          <w:rFonts w:ascii="宋体" w:hAnsi="宋体"/>
          <w:sz w:val="24"/>
        </w:rPr>
      </w:pPr>
      <w:r>
        <w:rPr>
          <w:rFonts w:hint="eastAsia"/>
          <w:sz w:val="24"/>
        </w:rPr>
        <w:t xml:space="preserve"> </w:t>
      </w:r>
      <m:oMath>
        <m:r>
          <m:rPr>
            <m:nor/>
            <m:sty m:val="p"/>
          </m:rPr>
          <w:rPr>
            <w:rFonts w:ascii="Cambria Math" w:hAnsi="Cambria Math"/>
            <w:sz w:val="24"/>
          </w:rPr>
          <m:t>α</m:t>
        </m:r>
      </m:oMath>
      <w:r>
        <w:rPr>
          <w:rFonts w:hint="eastAsia"/>
          <w:sz w:val="24"/>
        </w:rPr>
        <w:t>——与</w:t>
      </w:r>
      <w:r>
        <w:rPr>
          <w:rFonts w:hint="eastAsia" w:ascii="宋体" w:hAnsi="宋体"/>
          <w:sz w:val="24"/>
        </w:rPr>
        <w:t>∑L有关的计算系数，按表</w:t>
      </w:r>
      <w:r>
        <w:rPr>
          <w:rFonts w:hint="eastAsia"/>
          <w:sz w:val="24"/>
        </w:rPr>
        <w:t>7.11.3-3或表7.11.3-4选取</w:t>
      </w:r>
      <w:r>
        <w:rPr>
          <w:rFonts w:hint="eastAsia" w:ascii="宋体" w:hAnsi="宋体"/>
          <w:sz w:val="24"/>
        </w:rPr>
        <w:t>；</w:t>
      </w:r>
    </w:p>
    <w:p>
      <w:pPr>
        <w:spacing w:line="360" w:lineRule="auto"/>
        <w:ind w:right="-58" w:firstLine="708" w:firstLineChars="295"/>
        <w:rPr>
          <w:rFonts w:ascii="宋体" w:hAnsi="宋体"/>
          <w:sz w:val="24"/>
        </w:rPr>
      </w:pPr>
      <w:r>
        <w:rPr>
          <w:rFonts w:hint="eastAsia" w:ascii="宋体" w:hAnsi="宋体"/>
          <w:sz w:val="24"/>
        </w:rPr>
        <w:t>∑L——从冷热机房出口至该系统最远用户供回水管道的总输送长度（m）；</w:t>
      </w:r>
    </w:p>
    <w:p>
      <w:pPr>
        <w:spacing w:line="360" w:lineRule="auto"/>
        <w:ind w:right="960" w:firstLine="566" w:firstLineChars="236"/>
        <w:rPr>
          <w:rFonts w:ascii="宋体" w:hAnsi="宋体"/>
          <w:sz w:val="24"/>
        </w:rPr>
      </w:pPr>
      <m:oMath>
        <m:r>
          <m:rPr>
            <m:nor/>
            <m:sty m:val="p"/>
          </m:rPr>
          <w:rPr>
            <w:rFonts w:ascii="Cambria Math" w:hAnsi="Cambria Math"/>
            <w:sz w:val="24"/>
          </w:rPr>
          <m:t>∆</m:t>
        </m:r>
        <m:r>
          <m:rPr>
            <m:nor/>
            <m:sty m:val="p"/>
          </m:rPr>
          <w:rPr>
            <w:rFonts w:hint="eastAsia" w:ascii="Cambria Math" w:hAnsi="Cambria Math"/>
            <w:sz w:val="24"/>
          </w:rPr>
          <m:t>T</m:t>
        </m:r>
      </m:oMath>
      <w:r>
        <w:rPr>
          <w:rFonts w:hint="eastAsia" w:ascii="宋体" w:hAnsi="宋体"/>
          <w:sz w:val="24"/>
        </w:rPr>
        <w:t xml:space="preserve"> ——规定的计算供回水温差（℃），按表</w:t>
      </w:r>
      <w:r>
        <w:rPr>
          <w:rFonts w:hint="eastAsia"/>
          <w:sz w:val="24"/>
        </w:rPr>
        <w:t>7.11.3-5选取。</w:t>
      </w:r>
    </w:p>
    <w:p>
      <w:pPr>
        <w:spacing w:line="360" w:lineRule="auto"/>
        <w:jc w:val="center"/>
        <w:rPr>
          <w:rFonts w:ascii="宋体" w:hAnsi="宋体"/>
          <w:b/>
          <w:bCs/>
          <w:spacing w:val="-10"/>
          <w:szCs w:val="21"/>
        </w:rPr>
      </w:pPr>
      <w:r>
        <w:rPr>
          <w:rFonts w:hint="eastAsia" w:ascii="宋体" w:hAnsi="宋体"/>
          <w:b/>
          <w:bCs/>
          <w:spacing w:val="-10"/>
          <w:szCs w:val="21"/>
        </w:rPr>
        <w:t>表7.11.3-1  A值</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1943"/>
        <w:gridCol w:w="2695"/>
        <w:gridCol w:w="1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jc w:val="center"/>
        </w:trPr>
        <w:tc>
          <w:tcPr>
            <w:tcW w:w="1932" w:type="dxa"/>
            <w:vAlign w:val="center"/>
          </w:tcPr>
          <w:p>
            <w:pPr>
              <w:jc w:val="center"/>
              <w:rPr>
                <w:szCs w:val="21"/>
              </w:rPr>
            </w:pPr>
            <w:r>
              <w:rPr>
                <w:rFonts w:hint="eastAsia"/>
                <w:szCs w:val="21"/>
              </w:rPr>
              <w:t>水泵设计流量</w:t>
            </w:r>
          </w:p>
        </w:tc>
        <w:tc>
          <w:tcPr>
            <w:tcW w:w="1943" w:type="dxa"/>
            <w:vAlign w:val="center"/>
          </w:tcPr>
          <w:p>
            <w:pPr>
              <w:jc w:val="center"/>
              <w:rPr>
                <w:szCs w:val="21"/>
              </w:rPr>
            </w:pPr>
            <w:r>
              <w:rPr>
                <w:rFonts w:hint="eastAsia"/>
                <w:szCs w:val="21"/>
              </w:rPr>
              <w:t>G≤60m</w:t>
            </w:r>
            <w:r>
              <w:rPr>
                <w:rFonts w:hint="eastAsia"/>
                <w:szCs w:val="21"/>
                <w:vertAlign w:val="superscript"/>
              </w:rPr>
              <w:t>3</w:t>
            </w:r>
            <w:r>
              <w:rPr>
                <w:rFonts w:hint="eastAsia"/>
                <w:szCs w:val="21"/>
              </w:rPr>
              <w:t>/h</w:t>
            </w:r>
          </w:p>
        </w:tc>
        <w:tc>
          <w:tcPr>
            <w:tcW w:w="2695" w:type="dxa"/>
            <w:vAlign w:val="center"/>
          </w:tcPr>
          <w:p>
            <w:pPr>
              <w:jc w:val="center"/>
              <w:rPr>
                <w:szCs w:val="21"/>
              </w:rPr>
            </w:pPr>
            <w:r>
              <w:rPr>
                <w:rFonts w:hint="eastAsia"/>
                <w:szCs w:val="21"/>
              </w:rPr>
              <w:t>60 m</w:t>
            </w:r>
            <w:r>
              <w:rPr>
                <w:rFonts w:hint="eastAsia"/>
                <w:szCs w:val="21"/>
                <w:vertAlign w:val="superscript"/>
              </w:rPr>
              <w:t>3</w:t>
            </w:r>
            <w:r>
              <w:rPr>
                <w:rFonts w:hint="eastAsia"/>
                <w:szCs w:val="21"/>
              </w:rPr>
              <w:t>/h＜G≤200m</w:t>
            </w:r>
            <w:r>
              <w:rPr>
                <w:rFonts w:hint="eastAsia"/>
                <w:szCs w:val="21"/>
                <w:vertAlign w:val="superscript"/>
              </w:rPr>
              <w:t>3</w:t>
            </w:r>
            <w:r>
              <w:rPr>
                <w:rFonts w:hint="eastAsia"/>
                <w:szCs w:val="21"/>
              </w:rPr>
              <w:t>/h</w:t>
            </w:r>
          </w:p>
        </w:tc>
        <w:tc>
          <w:tcPr>
            <w:tcW w:w="1952" w:type="dxa"/>
            <w:vAlign w:val="center"/>
          </w:tcPr>
          <w:p>
            <w:pPr>
              <w:jc w:val="center"/>
              <w:rPr>
                <w:szCs w:val="21"/>
              </w:rPr>
            </w:pPr>
            <w:r>
              <w:rPr>
                <w:rFonts w:hint="eastAsia"/>
                <w:szCs w:val="21"/>
              </w:rPr>
              <w:t>G＞200m</w:t>
            </w:r>
            <w:r>
              <w:rPr>
                <w:rFonts w:hint="eastAsia"/>
                <w:szCs w:val="21"/>
                <w:vertAlign w:val="superscript"/>
              </w:rPr>
              <w:t>3</w:t>
            </w:r>
            <w:r>
              <w:rPr>
                <w:rFonts w:hint="eastAsia"/>
                <w:szCs w:val="21"/>
              </w:rPr>
              <w:t>/h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atLeast"/>
          <w:jc w:val="center"/>
        </w:trPr>
        <w:tc>
          <w:tcPr>
            <w:tcW w:w="1932" w:type="dxa"/>
            <w:vAlign w:val="center"/>
          </w:tcPr>
          <w:p>
            <w:pPr>
              <w:jc w:val="center"/>
              <w:rPr>
                <w:szCs w:val="21"/>
              </w:rPr>
            </w:pPr>
            <w:r>
              <w:rPr>
                <w:rFonts w:hint="eastAsia"/>
                <w:szCs w:val="21"/>
              </w:rPr>
              <w:t>A值</w:t>
            </w:r>
          </w:p>
        </w:tc>
        <w:tc>
          <w:tcPr>
            <w:tcW w:w="1943" w:type="dxa"/>
            <w:vAlign w:val="center"/>
          </w:tcPr>
          <w:p>
            <w:pPr>
              <w:jc w:val="center"/>
              <w:rPr>
                <w:szCs w:val="21"/>
              </w:rPr>
            </w:pPr>
            <w:r>
              <w:rPr>
                <w:rFonts w:hint="eastAsia"/>
                <w:szCs w:val="21"/>
              </w:rPr>
              <w:t>0.004225</w:t>
            </w:r>
          </w:p>
        </w:tc>
        <w:tc>
          <w:tcPr>
            <w:tcW w:w="2695" w:type="dxa"/>
            <w:vAlign w:val="center"/>
          </w:tcPr>
          <w:p>
            <w:pPr>
              <w:jc w:val="center"/>
              <w:rPr>
                <w:szCs w:val="21"/>
              </w:rPr>
            </w:pPr>
            <w:r>
              <w:rPr>
                <w:rFonts w:hint="eastAsia"/>
                <w:szCs w:val="21"/>
              </w:rPr>
              <w:t>0.003858</w:t>
            </w:r>
          </w:p>
        </w:tc>
        <w:tc>
          <w:tcPr>
            <w:tcW w:w="1952" w:type="dxa"/>
            <w:vAlign w:val="center"/>
          </w:tcPr>
          <w:p>
            <w:pPr>
              <w:jc w:val="center"/>
              <w:rPr>
                <w:szCs w:val="21"/>
              </w:rPr>
            </w:pPr>
            <w:r>
              <w:rPr>
                <w:rFonts w:hint="eastAsia"/>
                <w:szCs w:val="21"/>
              </w:rPr>
              <w:t>0.003749</w:t>
            </w:r>
          </w:p>
        </w:tc>
      </w:tr>
    </w:tbl>
    <w:p>
      <w:pPr>
        <w:spacing w:line="360" w:lineRule="auto"/>
        <w:jc w:val="center"/>
        <w:rPr>
          <w:rFonts w:ascii="宋体" w:hAnsi="宋体"/>
          <w:bCs/>
          <w:spacing w:val="-10"/>
          <w:szCs w:val="21"/>
        </w:rPr>
      </w:pPr>
    </w:p>
    <w:p>
      <w:pPr>
        <w:spacing w:line="360" w:lineRule="auto"/>
        <w:jc w:val="center"/>
        <w:rPr>
          <w:rFonts w:ascii="宋体" w:hAnsi="宋体"/>
          <w:b/>
          <w:bCs/>
          <w:spacing w:val="-10"/>
          <w:szCs w:val="21"/>
        </w:rPr>
      </w:pPr>
      <w:r>
        <w:rPr>
          <w:rFonts w:hint="eastAsia" w:ascii="宋体" w:hAnsi="宋体"/>
          <w:b/>
          <w:bCs/>
          <w:spacing w:val="-10"/>
          <w:szCs w:val="21"/>
        </w:rPr>
        <w:t>表7.11.3-2  B值</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8"/>
        <w:gridCol w:w="1358"/>
        <w:gridCol w:w="3116"/>
        <w:gridCol w:w="2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jc w:val="center"/>
        </w:trPr>
        <w:tc>
          <w:tcPr>
            <w:tcW w:w="2486" w:type="dxa"/>
            <w:gridSpan w:val="2"/>
            <w:vAlign w:val="center"/>
          </w:tcPr>
          <w:p>
            <w:pPr>
              <w:jc w:val="center"/>
              <w:rPr>
                <w:szCs w:val="21"/>
              </w:rPr>
            </w:pPr>
            <w:r>
              <w:rPr>
                <w:rFonts w:hint="eastAsia"/>
                <w:szCs w:val="21"/>
              </w:rPr>
              <w:t>系统组成</w:t>
            </w:r>
          </w:p>
        </w:tc>
        <w:tc>
          <w:tcPr>
            <w:tcW w:w="3116" w:type="dxa"/>
            <w:vAlign w:val="center"/>
          </w:tcPr>
          <w:p>
            <w:pPr>
              <w:jc w:val="center"/>
              <w:rPr>
                <w:szCs w:val="21"/>
              </w:rPr>
            </w:pPr>
            <w:r>
              <w:rPr>
                <w:rFonts w:hint="eastAsia"/>
                <w:szCs w:val="21"/>
              </w:rPr>
              <w:t>四管制单冷、单热管道B值</w:t>
            </w:r>
          </w:p>
        </w:tc>
        <w:tc>
          <w:tcPr>
            <w:tcW w:w="2920" w:type="dxa"/>
            <w:vAlign w:val="center"/>
          </w:tcPr>
          <w:p>
            <w:pPr>
              <w:jc w:val="center"/>
              <w:rPr>
                <w:szCs w:val="21"/>
              </w:rPr>
            </w:pPr>
            <w:r>
              <w:rPr>
                <w:rFonts w:hint="eastAsia"/>
                <w:szCs w:val="21"/>
              </w:rPr>
              <w:t>两管制热水管道B值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4" w:hRule="atLeast"/>
          <w:jc w:val="center"/>
        </w:trPr>
        <w:tc>
          <w:tcPr>
            <w:tcW w:w="1128" w:type="dxa"/>
            <w:vMerge w:val="restart"/>
            <w:vAlign w:val="center"/>
          </w:tcPr>
          <w:p>
            <w:pPr>
              <w:jc w:val="center"/>
              <w:rPr>
                <w:szCs w:val="21"/>
              </w:rPr>
            </w:pPr>
            <w:r>
              <w:rPr>
                <w:rFonts w:hint="eastAsia"/>
                <w:szCs w:val="21"/>
              </w:rPr>
              <w:t>一级泵</w:t>
            </w:r>
          </w:p>
        </w:tc>
        <w:tc>
          <w:tcPr>
            <w:tcW w:w="1358" w:type="dxa"/>
            <w:vAlign w:val="center"/>
          </w:tcPr>
          <w:p>
            <w:pPr>
              <w:jc w:val="center"/>
              <w:rPr>
                <w:szCs w:val="21"/>
              </w:rPr>
            </w:pPr>
            <w:r>
              <w:rPr>
                <w:rFonts w:hint="eastAsia"/>
                <w:szCs w:val="21"/>
              </w:rPr>
              <w:t>冷水系统</w:t>
            </w:r>
          </w:p>
        </w:tc>
        <w:tc>
          <w:tcPr>
            <w:tcW w:w="3116" w:type="dxa"/>
            <w:vAlign w:val="center"/>
          </w:tcPr>
          <w:p>
            <w:pPr>
              <w:jc w:val="center"/>
              <w:rPr>
                <w:szCs w:val="21"/>
              </w:rPr>
            </w:pPr>
            <w:r>
              <w:rPr>
                <w:rFonts w:hint="eastAsia"/>
                <w:szCs w:val="21"/>
              </w:rPr>
              <w:t>28</w:t>
            </w:r>
          </w:p>
        </w:tc>
        <w:tc>
          <w:tcPr>
            <w:tcW w:w="2920" w:type="dxa"/>
            <w:vAlign w:val="center"/>
          </w:tcPr>
          <w:p>
            <w:pPr>
              <w:jc w:val="center"/>
              <w:rPr>
                <w:szCs w:val="21"/>
              </w:rPr>
            </w:pPr>
            <w:r>
              <w:rPr>
                <w:rFonts w:hint="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jc w:val="center"/>
        </w:trPr>
        <w:tc>
          <w:tcPr>
            <w:tcW w:w="1128" w:type="dxa"/>
            <w:vMerge w:val="continue"/>
            <w:vAlign w:val="center"/>
          </w:tcPr>
          <w:p>
            <w:pPr>
              <w:jc w:val="center"/>
              <w:rPr>
                <w:szCs w:val="21"/>
              </w:rPr>
            </w:pPr>
          </w:p>
        </w:tc>
        <w:tc>
          <w:tcPr>
            <w:tcW w:w="1358" w:type="dxa"/>
            <w:vAlign w:val="center"/>
          </w:tcPr>
          <w:p>
            <w:pPr>
              <w:jc w:val="center"/>
              <w:rPr>
                <w:szCs w:val="21"/>
              </w:rPr>
            </w:pPr>
            <w:r>
              <w:rPr>
                <w:rFonts w:hint="eastAsia"/>
                <w:szCs w:val="21"/>
              </w:rPr>
              <w:t>热水系统</w:t>
            </w:r>
          </w:p>
        </w:tc>
        <w:tc>
          <w:tcPr>
            <w:tcW w:w="3116" w:type="dxa"/>
            <w:vAlign w:val="center"/>
          </w:tcPr>
          <w:p>
            <w:pPr>
              <w:jc w:val="center"/>
              <w:rPr>
                <w:szCs w:val="21"/>
              </w:rPr>
            </w:pPr>
            <w:r>
              <w:rPr>
                <w:rFonts w:hint="eastAsia"/>
                <w:szCs w:val="21"/>
              </w:rPr>
              <w:t>22</w:t>
            </w:r>
          </w:p>
        </w:tc>
        <w:tc>
          <w:tcPr>
            <w:tcW w:w="2920" w:type="dxa"/>
            <w:vAlign w:val="center"/>
          </w:tcPr>
          <w:p>
            <w:pPr>
              <w:jc w:val="center"/>
              <w:rPr>
                <w:szCs w:val="21"/>
              </w:rPr>
            </w:pPr>
            <w:r>
              <w:rPr>
                <w:rFonts w:hint="eastAsia"/>
                <w:szCs w:val="21"/>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 w:hRule="atLeast"/>
          <w:jc w:val="center"/>
        </w:trPr>
        <w:tc>
          <w:tcPr>
            <w:tcW w:w="1128" w:type="dxa"/>
            <w:vMerge w:val="restart"/>
            <w:vAlign w:val="center"/>
          </w:tcPr>
          <w:p>
            <w:pPr>
              <w:jc w:val="center"/>
              <w:rPr>
                <w:szCs w:val="21"/>
              </w:rPr>
            </w:pPr>
            <w:r>
              <w:rPr>
                <w:rFonts w:hint="eastAsia"/>
                <w:szCs w:val="21"/>
              </w:rPr>
              <w:t>二级泵</w:t>
            </w:r>
          </w:p>
        </w:tc>
        <w:tc>
          <w:tcPr>
            <w:tcW w:w="1358" w:type="dxa"/>
            <w:vAlign w:val="center"/>
          </w:tcPr>
          <w:p>
            <w:pPr>
              <w:jc w:val="center"/>
              <w:rPr>
                <w:szCs w:val="21"/>
              </w:rPr>
            </w:pPr>
            <w:r>
              <w:rPr>
                <w:rFonts w:hint="eastAsia"/>
                <w:szCs w:val="21"/>
              </w:rPr>
              <w:t>冷水系统</w:t>
            </w:r>
          </w:p>
        </w:tc>
        <w:tc>
          <w:tcPr>
            <w:tcW w:w="3116" w:type="dxa"/>
            <w:vAlign w:val="center"/>
          </w:tcPr>
          <w:p>
            <w:pPr>
              <w:jc w:val="center"/>
              <w:rPr>
                <w:szCs w:val="21"/>
              </w:rPr>
            </w:pPr>
            <w:r>
              <w:rPr>
                <w:rFonts w:hint="eastAsia"/>
                <w:szCs w:val="21"/>
              </w:rPr>
              <w:t>33</w:t>
            </w:r>
          </w:p>
        </w:tc>
        <w:tc>
          <w:tcPr>
            <w:tcW w:w="2920" w:type="dxa"/>
            <w:vAlign w:val="center"/>
          </w:tcPr>
          <w:p>
            <w:pPr>
              <w:jc w:val="center"/>
              <w:rPr>
                <w:szCs w:val="21"/>
              </w:rPr>
            </w:pPr>
            <w:r>
              <w:rPr>
                <w:rFonts w:hint="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4" w:hRule="atLeast"/>
          <w:jc w:val="center"/>
        </w:trPr>
        <w:tc>
          <w:tcPr>
            <w:tcW w:w="1128" w:type="dxa"/>
            <w:vMerge w:val="continue"/>
            <w:vAlign w:val="center"/>
          </w:tcPr>
          <w:p>
            <w:pPr>
              <w:jc w:val="center"/>
              <w:rPr>
                <w:szCs w:val="21"/>
              </w:rPr>
            </w:pPr>
          </w:p>
        </w:tc>
        <w:tc>
          <w:tcPr>
            <w:tcW w:w="1358" w:type="dxa"/>
            <w:vAlign w:val="center"/>
          </w:tcPr>
          <w:p>
            <w:pPr>
              <w:jc w:val="center"/>
              <w:rPr>
                <w:szCs w:val="21"/>
              </w:rPr>
            </w:pPr>
            <w:r>
              <w:rPr>
                <w:rFonts w:hint="eastAsia"/>
                <w:szCs w:val="21"/>
              </w:rPr>
              <w:t>热水系统</w:t>
            </w:r>
          </w:p>
        </w:tc>
        <w:tc>
          <w:tcPr>
            <w:tcW w:w="3116" w:type="dxa"/>
            <w:vAlign w:val="center"/>
          </w:tcPr>
          <w:p>
            <w:pPr>
              <w:jc w:val="center"/>
              <w:rPr>
                <w:szCs w:val="21"/>
              </w:rPr>
            </w:pPr>
            <w:r>
              <w:rPr>
                <w:rFonts w:hint="eastAsia"/>
                <w:szCs w:val="21"/>
              </w:rPr>
              <w:t>27</w:t>
            </w:r>
          </w:p>
        </w:tc>
        <w:tc>
          <w:tcPr>
            <w:tcW w:w="2920" w:type="dxa"/>
            <w:vAlign w:val="center"/>
          </w:tcPr>
          <w:p>
            <w:pPr>
              <w:jc w:val="center"/>
              <w:rPr>
                <w:szCs w:val="21"/>
              </w:rPr>
            </w:pPr>
            <w:r>
              <w:rPr>
                <w:rFonts w:hint="eastAsia"/>
                <w:szCs w:val="21"/>
              </w:rPr>
              <w:t>25</w:t>
            </w:r>
          </w:p>
        </w:tc>
      </w:tr>
    </w:tbl>
    <w:p>
      <w:pPr>
        <w:spacing w:line="360" w:lineRule="auto"/>
        <w:jc w:val="center"/>
        <w:rPr>
          <w:rFonts w:ascii="宋体" w:hAnsi="宋体"/>
          <w:bCs/>
          <w:spacing w:val="-10"/>
          <w:szCs w:val="21"/>
        </w:rPr>
      </w:pPr>
    </w:p>
    <w:p>
      <w:pPr>
        <w:spacing w:line="360" w:lineRule="auto"/>
        <w:jc w:val="center"/>
        <w:rPr>
          <w:rFonts w:ascii="宋体" w:hAnsi="宋体"/>
          <w:b/>
          <w:bCs/>
          <w:spacing w:val="-10"/>
          <w:szCs w:val="21"/>
        </w:rPr>
      </w:pPr>
      <w:r>
        <w:rPr>
          <w:rFonts w:hint="eastAsia" w:ascii="宋体" w:hAnsi="宋体"/>
          <w:b/>
          <w:bCs/>
          <w:spacing w:val="-10"/>
          <w:szCs w:val="21"/>
        </w:rPr>
        <w:t>表7.11.3-3  四管制冷、热水管道系统的</w:t>
      </w:r>
      <m:oMath>
        <m:r>
          <m:rPr>
            <m:nor/>
            <m:sty m:val="b"/>
          </m:rPr>
          <w:rPr>
            <w:rFonts w:ascii="宋体" w:hAnsi="宋体"/>
            <w:b/>
            <w:bCs/>
            <w:spacing w:val="-10"/>
            <w:szCs w:val="21"/>
          </w:rPr>
          <m:t>α</m:t>
        </m:r>
      </m:oMath>
      <w:r>
        <w:rPr>
          <w:rFonts w:hint="eastAsia" w:ascii="宋体" w:hAnsi="宋体"/>
          <w:b/>
          <w:bCs/>
          <w:spacing w:val="-10"/>
          <w:szCs w:val="21"/>
        </w:rPr>
        <w:t>值</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2137"/>
        <w:gridCol w:w="2647"/>
        <w:gridCol w:w="26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9" w:hRule="atLeast"/>
          <w:jc w:val="center"/>
        </w:trPr>
        <w:tc>
          <w:tcPr>
            <w:tcW w:w="1129" w:type="dxa"/>
            <w:vMerge w:val="restart"/>
            <w:vAlign w:val="center"/>
          </w:tcPr>
          <w:p>
            <w:pPr>
              <w:jc w:val="center"/>
              <w:rPr>
                <w:szCs w:val="21"/>
              </w:rPr>
            </w:pPr>
            <w:r>
              <w:rPr>
                <w:rFonts w:hint="eastAsia"/>
                <w:szCs w:val="21"/>
              </w:rPr>
              <w:t>系统</w:t>
            </w:r>
          </w:p>
        </w:tc>
        <w:tc>
          <w:tcPr>
            <w:tcW w:w="7393" w:type="dxa"/>
            <w:gridSpan w:val="3"/>
            <w:vAlign w:val="center"/>
          </w:tcPr>
          <w:p>
            <w:pPr>
              <w:jc w:val="center"/>
              <w:rPr>
                <w:szCs w:val="21"/>
              </w:rPr>
            </w:pPr>
            <w:r>
              <w:rPr>
                <w:rFonts w:hint="eastAsia"/>
                <w:szCs w:val="21"/>
              </w:rPr>
              <w:t>管道长度</w:t>
            </w:r>
            <w:r>
              <w:rPr>
                <w:rFonts w:hint="eastAsia" w:ascii="宋体" w:hAnsi="宋体"/>
                <w:szCs w:val="21"/>
              </w:rPr>
              <w:t>ΣL</w:t>
            </w:r>
            <w:r>
              <w:rPr>
                <w:rFonts w:hint="eastAsia"/>
                <w:szCs w:val="21"/>
              </w:rPr>
              <w:t>范围</w:t>
            </w:r>
            <w:r>
              <w:rPr>
                <w:rFonts w:hint="eastAsia" w:ascii="宋体" w:hAnsi="宋体"/>
                <w:bCs/>
                <w:spacing w:val="-10"/>
                <w:szCs w:val="21"/>
              </w:rPr>
              <w:t>（</w:t>
            </w:r>
            <w:r>
              <w:rPr>
                <w:bCs/>
                <w:spacing w:val="-10"/>
                <w:szCs w:val="21"/>
              </w:rPr>
              <w:t>m</w:t>
            </w:r>
            <w:r>
              <w:rPr>
                <w:rFonts w:hint="eastAsia" w:ascii="宋体" w:hAnsi="宋体"/>
                <w:bCs/>
                <w:spacing w:val="-1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jc w:val="center"/>
        </w:trPr>
        <w:tc>
          <w:tcPr>
            <w:tcW w:w="1129" w:type="dxa"/>
            <w:vMerge w:val="continue"/>
            <w:vAlign w:val="center"/>
          </w:tcPr>
          <w:p>
            <w:pPr>
              <w:jc w:val="center"/>
              <w:rPr>
                <w:szCs w:val="21"/>
              </w:rPr>
            </w:pPr>
          </w:p>
        </w:tc>
        <w:tc>
          <w:tcPr>
            <w:tcW w:w="2137" w:type="dxa"/>
            <w:vAlign w:val="center"/>
          </w:tcPr>
          <w:p>
            <w:pPr>
              <w:jc w:val="center"/>
              <w:rPr>
                <w:szCs w:val="21"/>
              </w:rPr>
            </w:pPr>
            <w:r>
              <w:rPr>
                <w:rFonts w:hint="eastAsia" w:ascii="宋体" w:hAnsi="宋体"/>
                <w:szCs w:val="21"/>
              </w:rPr>
              <w:t>ΣL</w:t>
            </w:r>
            <w:r>
              <w:rPr>
                <w:rFonts w:hint="eastAsia"/>
                <w:szCs w:val="21"/>
              </w:rPr>
              <w:t>≤400m</w:t>
            </w:r>
          </w:p>
        </w:tc>
        <w:tc>
          <w:tcPr>
            <w:tcW w:w="2647" w:type="dxa"/>
            <w:vAlign w:val="center"/>
          </w:tcPr>
          <w:p>
            <w:pPr>
              <w:jc w:val="center"/>
              <w:rPr>
                <w:szCs w:val="21"/>
              </w:rPr>
            </w:pPr>
            <w:r>
              <w:rPr>
                <w:rFonts w:hint="eastAsia"/>
                <w:szCs w:val="21"/>
              </w:rPr>
              <w:t>400m＜</w:t>
            </w:r>
            <w:r>
              <w:rPr>
                <w:rFonts w:hint="eastAsia" w:ascii="宋体" w:hAnsi="宋体"/>
                <w:szCs w:val="21"/>
              </w:rPr>
              <w:t>ΣL</w:t>
            </w:r>
            <w:r>
              <w:rPr>
                <w:rFonts w:hint="eastAsia"/>
                <w:szCs w:val="21"/>
              </w:rPr>
              <w:t>＜1000m</w:t>
            </w:r>
          </w:p>
        </w:tc>
        <w:tc>
          <w:tcPr>
            <w:tcW w:w="2609" w:type="dxa"/>
            <w:vAlign w:val="center"/>
          </w:tcPr>
          <w:p>
            <w:pPr>
              <w:jc w:val="center"/>
              <w:rPr>
                <w:szCs w:val="21"/>
              </w:rPr>
            </w:pPr>
            <w:r>
              <w:rPr>
                <w:rFonts w:hint="eastAsia" w:ascii="宋体" w:hAnsi="宋体"/>
                <w:szCs w:val="21"/>
              </w:rPr>
              <w:t>ΣL≥1000m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4" w:hRule="atLeast"/>
          <w:jc w:val="center"/>
        </w:trPr>
        <w:tc>
          <w:tcPr>
            <w:tcW w:w="1129" w:type="dxa"/>
            <w:vAlign w:val="center"/>
          </w:tcPr>
          <w:p>
            <w:pPr>
              <w:jc w:val="center"/>
              <w:rPr>
                <w:szCs w:val="21"/>
              </w:rPr>
            </w:pPr>
            <w:r>
              <w:rPr>
                <w:rFonts w:hint="eastAsia"/>
                <w:szCs w:val="21"/>
              </w:rPr>
              <w:t>冷水</w:t>
            </w:r>
          </w:p>
        </w:tc>
        <w:tc>
          <w:tcPr>
            <w:tcW w:w="2137" w:type="dxa"/>
            <w:vAlign w:val="center"/>
          </w:tcPr>
          <w:p>
            <w:pPr>
              <w:jc w:val="center"/>
              <w:rPr>
                <w:szCs w:val="21"/>
              </w:rPr>
            </w:pPr>
            <w:r>
              <w:rPr>
                <w:rFonts w:hint="eastAsia" w:ascii="宋体" w:hAnsi="宋体"/>
                <w:szCs w:val="21"/>
              </w:rPr>
              <w:t>α</w:t>
            </w:r>
            <w:r>
              <w:rPr>
                <w:rFonts w:hint="eastAsia"/>
                <w:szCs w:val="21"/>
              </w:rPr>
              <w:t>=0.02</w:t>
            </w:r>
          </w:p>
        </w:tc>
        <w:tc>
          <w:tcPr>
            <w:tcW w:w="2647" w:type="dxa"/>
            <w:vAlign w:val="center"/>
          </w:tcPr>
          <w:p>
            <w:pPr>
              <w:jc w:val="center"/>
              <w:rPr>
                <w:szCs w:val="21"/>
              </w:rPr>
            </w:pPr>
            <w:r>
              <w:rPr>
                <w:rFonts w:hint="eastAsia" w:ascii="宋体" w:hAnsi="宋体"/>
                <w:szCs w:val="21"/>
              </w:rPr>
              <w:t>α</w:t>
            </w:r>
            <w:r>
              <w:rPr>
                <w:rFonts w:hint="eastAsia"/>
                <w:szCs w:val="21"/>
              </w:rPr>
              <w:t>=0.016+1.6/</w:t>
            </w:r>
            <w:r>
              <w:rPr>
                <w:rFonts w:hint="eastAsia" w:ascii="宋体" w:hAnsi="宋体"/>
                <w:szCs w:val="21"/>
              </w:rPr>
              <w:t>ΣL</w:t>
            </w:r>
          </w:p>
        </w:tc>
        <w:tc>
          <w:tcPr>
            <w:tcW w:w="2609" w:type="dxa"/>
            <w:vAlign w:val="center"/>
          </w:tcPr>
          <w:p>
            <w:pPr>
              <w:jc w:val="center"/>
              <w:rPr>
                <w:szCs w:val="21"/>
              </w:rPr>
            </w:pPr>
            <w:r>
              <w:rPr>
                <w:rFonts w:hint="eastAsia" w:ascii="宋体" w:hAnsi="宋体"/>
                <w:szCs w:val="21"/>
              </w:rPr>
              <w:t>α</w:t>
            </w:r>
            <w:r>
              <w:rPr>
                <w:rFonts w:hint="eastAsia"/>
                <w:szCs w:val="21"/>
              </w:rPr>
              <w:t>=0.013+4.6/</w:t>
            </w:r>
            <w:r>
              <w:rPr>
                <w:rFonts w:hint="eastAsia" w:ascii="宋体" w:hAnsi="宋体"/>
                <w:szCs w:val="21"/>
              </w:rPr>
              <w:t>ΣL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9" w:hRule="atLeast"/>
          <w:jc w:val="center"/>
        </w:trPr>
        <w:tc>
          <w:tcPr>
            <w:tcW w:w="1129" w:type="dxa"/>
            <w:vAlign w:val="center"/>
          </w:tcPr>
          <w:p>
            <w:pPr>
              <w:jc w:val="center"/>
              <w:rPr>
                <w:szCs w:val="21"/>
              </w:rPr>
            </w:pPr>
            <w:r>
              <w:rPr>
                <w:rFonts w:hint="eastAsia"/>
                <w:szCs w:val="21"/>
              </w:rPr>
              <w:t>热水</w:t>
            </w:r>
          </w:p>
        </w:tc>
        <w:tc>
          <w:tcPr>
            <w:tcW w:w="2137" w:type="dxa"/>
            <w:vAlign w:val="center"/>
          </w:tcPr>
          <w:p>
            <w:pPr>
              <w:jc w:val="center"/>
              <w:rPr>
                <w:szCs w:val="21"/>
              </w:rPr>
            </w:pPr>
            <w:r>
              <w:rPr>
                <w:rFonts w:hint="eastAsia" w:ascii="宋体" w:hAnsi="宋体"/>
                <w:szCs w:val="21"/>
              </w:rPr>
              <w:t>α</w:t>
            </w:r>
            <w:r>
              <w:rPr>
                <w:rFonts w:hint="eastAsia"/>
                <w:szCs w:val="21"/>
              </w:rPr>
              <w:t>=0.014</w:t>
            </w:r>
          </w:p>
        </w:tc>
        <w:tc>
          <w:tcPr>
            <w:tcW w:w="2647" w:type="dxa"/>
            <w:vAlign w:val="center"/>
          </w:tcPr>
          <w:p>
            <w:pPr>
              <w:jc w:val="center"/>
              <w:rPr>
                <w:szCs w:val="21"/>
              </w:rPr>
            </w:pPr>
            <w:r>
              <w:rPr>
                <w:rFonts w:hint="eastAsia" w:ascii="宋体" w:hAnsi="宋体"/>
                <w:szCs w:val="21"/>
              </w:rPr>
              <w:t>α</w:t>
            </w:r>
            <w:r>
              <w:rPr>
                <w:rFonts w:hint="eastAsia"/>
                <w:szCs w:val="21"/>
              </w:rPr>
              <w:t>=0.0125+0.6/</w:t>
            </w:r>
            <w:r>
              <w:rPr>
                <w:rFonts w:hint="eastAsia" w:ascii="宋体" w:hAnsi="宋体"/>
                <w:szCs w:val="21"/>
              </w:rPr>
              <w:t>ΣL</w:t>
            </w:r>
          </w:p>
        </w:tc>
        <w:tc>
          <w:tcPr>
            <w:tcW w:w="2609" w:type="dxa"/>
            <w:vAlign w:val="center"/>
          </w:tcPr>
          <w:p>
            <w:pPr>
              <w:jc w:val="center"/>
              <w:rPr>
                <w:szCs w:val="21"/>
              </w:rPr>
            </w:pPr>
            <w:r>
              <w:rPr>
                <w:rFonts w:hint="eastAsia" w:ascii="宋体" w:hAnsi="宋体"/>
                <w:szCs w:val="21"/>
              </w:rPr>
              <w:t>α</w:t>
            </w:r>
            <w:r>
              <w:rPr>
                <w:rFonts w:hint="eastAsia"/>
                <w:szCs w:val="21"/>
              </w:rPr>
              <w:t>=0.009+4.1/</w:t>
            </w:r>
            <w:r>
              <w:rPr>
                <w:rFonts w:hint="eastAsia" w:ascii="宋体" w:hAnsi="宋体"/>
                <w:szCs w:val="21"/>
              </w:rPr>
              <w:t>ΣL</w:t>
            </w:r>
          </w:p>
        </w:tc>
      </w:tr>
    </w:tbl>
    <w:p>
      <w:pPr>
        <w:spacing w:line="360" w:lineRule="auto"/>
        <w:jc w:val="center"/>
        <w:rPr>
          <w:rFonts w:ascii="宋体" w:hAnsi="宋体"/>
          <w:bCs/>
          <w:spacing w:val="-10"/>
          <w:szCs w:val="21"/>
        </w:rPr>
      </w:pPr>
    </w:p>
    <w:p>
      <w:pPr>
        <w:spacing w:line="360" w:lineRule="auto"/>
        <w:jc w:val="center"/>
        <w:rPr>
          <w:rFonts w:ascii="宋体" w:hAnsi="宋体"/>
          <w:bCs/>
          <w:spacing w:val="-10"/>
          <w:szCs w:val="21"/>
        </w:rPr>
      </w:pPr>
    </w:p>
    <w:p>
      <w:pPr>
        <w:spacing w:line="360" w:lineRule="auto"/>
        <w:jc w:val="center"/>
        <w:rPr>
          <w:rFonts w:ascii="宋体" w:hAnsi="宋体"/>
          <w:bCs/>
          <w:spacing w:val="-10"/>
          <w:szCs w:val="21"/>
        </w:rPr>
      </w:pPr>
    </w:p>
    <w:p>
      <w:pPr>
        <w:spacing w:line="360" w:lineRule="auto"/>
        <w:jc w:val="center"/>
        <w:rPr>
          <w:rFonts w:ascii="宋体" w:hAnsi="宋体"/>
          <w:b/>
          <w:bCs/>
          <w:spacing w:val="-10"/>
          <w:szCs w:val="21"/>
        </w:rPr>
      </w:pPr>
      <w:r>
        <w:rPr>
          <w:rFonts w:hint="eastAsia" w:ascii="宋体" w:hAnsi="宋体"/>
          <w:b/>
          <w:bCs/>
          <w:spacing w:val="-10"/>
          <w:szCs w:val="21"/>
        </w:rPr>
        <w:t>表7.11.3-4  两管制冷、热水管道系统的</w:t>
      </w:r>
      <m:oMath>
        <m:r>
          <m:rPr>
            <m:nor/>
            <m:sty m:val="b"/>
          </m:rPr>
          <w:rPr>
            <w:rFonts w:ascii="宋体" w:hAnsi="宋体"/>
            <w:b/>
            <w:bCs/>
            <w:spacing w:val="-10"/>
            <w:szCs w:val="21"/>
          </w:rPr>
          <m:t>α</m:t>
        </m:r>
      </m:oMath>
      <w:r>
        <w:rPr>
          <w:rFonts w:hint="eastAsia" w:ascii="宋体" w:hAnsi="宋体"/>
          <w:b/>
          <w:bCs/>
          <w:spacing w:val="-10"/>
          <w:szCs w:val="21"/>
        </w:rPr>
        <w:t>值</w:t>
      </w:r>
    </w:p>
    <w:tbl>
      <w:tblPr>
        <w:tblStyle w:val="2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181"/>
        <w:gridCol w:w="1900"/>
        <w:gridCol w:w="2367"/>
        <w:gridCol w:w="2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2" w:hRule="atLeast"/>
          <w:jc w:val="center"/>
        </w:trPr>
        <w:tc>
          <w:tcPr>
            <w:tcW w:w="730" w:type="dxa"/>
            <w:vMerge w:val="restart"/>
            <w:shd w:val="clear" w:color="auto" w:fill="auto"/>
            <w:vAlign w:val="center"/>
          </w:tcPr>
          <w:p>
            <w:pPr>
              <w:jc w:val="center"/>
              <w:rPr>
                <w:szCs w:val="21"/>
              </w:rPr>
            </w:pPr>
            <w:r>
              <w:rPr>
                <w:rFonts w:hint="eastAsia"/>
                <w:szCs w:val="21"/>
              </w:rPr>
              <w:t>系统</w:t>
            </w:r>
          </w:p>
        </w:tc>
        <w:tc>
          <w:tcPr>
            <w:tcW w:w="1181" w:type="dxa"/>
            <w:vMerge w:val="restart"/>
            <w:vAlign w:val="center"/>
          </w:tcPr>
          <w:p>
            <w:pPr>
              <w:jc w:val="center"/>
              <w:rPr>
                <w:szCs w:val="21"/>
              </w:rPr>
            </w:pPr>
            <w:r>
              <w:rPr>
                <w:rFonts w:hint="eastAsia"/>
                <w:szCs w:val="21"/>
              </w:rPr>
              <w:t>地区</w:t>
            </w:r>
          </w:p>
        </w:tc>
        <w:tc>
          <w:tcPr>
            <w:tcW w:w="6611" w:type="dxa"/>
            <w:gridSpan w:val="3"/>
            <w:vAlign w:val="center"/>
          </w:tcPr>
          <w:p>
            <w:pPr>
              <w:jc w:val="center"/>
              <w:rPr>
                <w:szCs w:val="21"/>
              </w:rPr>
            </w:pPr>
            <w:r>
              <w:rPr>
                <w:rFonts w:hint="eastAsia"/>
                <w:szCs w:val="21"/>
              </w:rPr>
              <w:t>管道长度</w:t>
            </w:r>
            <w:r>
              <w:rPr>
                <w:rFonts w:hint="eastAsia" w:ascii="宋体" w:hAnsi="宋体"/>
                <w:szCs w:val="21"/>
              </w:rPr>
              <w:t>ΣL</w:t>
            </w:r>
            <w:r>
              <w:rPr>
                <w:rFonts w:hint="eastAsia"/>
                <w:szCs w:val="21"/>
              </w:rPr>
              <w:t>范围</w:t>
            </w:r>
            <w:r>
              <w:rPr>
                <w:rFonts w:hint="eastAsia" w:ascii="宋体" w:hAnsi="宋体"/>
                <w:bCs/>
                <w:spacing w:val="-10"/>
                <w:szCs w:val="21"/>
              </w:rPr>
              <w:t>（</w:t>
            </w:r>
            <w:r>
              <w:rPr>
                <w:bCs/>
                <w:spacing w:val="-10"/>
                <w:szCs w:val="21"/>
              </w:rPr>
              <w:t>m</w:t>
            </w:r>
            <w:r>
              <w:rPr>
                <w:rFonts w:hint="eastAsia" w:ascii="宋体" w:hAnsi="宋体"/>
                <w:bCs/>
                <w:spacing w:val="-1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2" w:hRule="atLeast"/>
          <w:jc w:val="center"/>
        </w:trPr>
        <w:tc>
          <w:tcPr>
            <w:tcW w:w="730" w:type="dxa"/>
            <w:vMerge w:val="continue"/>
            <w:shd w:val="clear" w:color="auto" w:fill="auto"/>
            <w:vAlign w:val="center"/>
          </w:tcPr>
          <w:p>
            <w:pPr>
              <w:jc w:val="center"/>
              <w:rPr>
                <w:szCs w:val="21"/>
              </w:rPr>
            </w:pPr>
          </w:p>
        </w:tc>
        <w:tc>
          <w:tcPr>
            <w:tcW w:w="1181" w:type="dxa"/>
            <w:vMerge w:val="continue"/>
            <w:vAlign w:val="center"/>
          </w:tcPr>
          <w:p>
            <w:pPr>
              <w:jc w:val="center"/>
              <w:rPr>
                <w:szCs w:val="21"/>
              </w:rPr>
            </w:pPr>
          </w:p>
        </w:tc>
        <w:tc>
          <w:tcPr>
            <w:tcW w:w="1900" w:type="dxa"/>
            <w:vAlign w:val="center"/>
          </w:tcPr>
          <w:p>
            <w:pPr>
              <w:jc w:val="center"/>
              <w:rPr>
                <w:szCs w:val="21"/>
              </w:rPr>
            </w:pPr>
            <w:r>
              <w:rPr>
                <w:rFonts w:hint="eastAsia" w:ascii="宋体" w:hAnsi="宋体"/>
                <w:szCs w:val="21"/>
              </w:rPr>
              <w:t>ΣL</w:t>
            </w:r>
            <w:r>
              <w:rPr>
                <w:rFonts w:hint="eastAsia"/>
                <w:szCs w:val="21"/>
              </w:rPr>
              <w:t>≤400m</w:t>
            </w:r>
          </w:p>
        </w:tc>
        <w:tc>
          <w:tcPr>
            <w:tcW w:w="2367" w:type="dxa"/>
            <w:vAlign w:val="center"/>
          </w:tcPr>
          <w:p>
            <w:pPr>
              <w:jc w:val="center"/>
              <w:rPr>
                <w:szCs w:val="21"/>
              </w:rPr>
            </w:pPr>
            <w:r>
              <w:rPr>
                <w:rFonts w:hint="eastAsia"/>
                <w:szCs w:val="21"/>
              </w:rPr>
              <w:t>400m＜</w:t>
            </w:r>
            <w:r>
              <w:rPr>
                <w:rFonts w:hint="eastAsia" w:ascii="宋体" w:hAnsi="宋体"/>
                <w:szCs w:val="21"/>
              </w:rPr>
              <w:t>ΣL</w:t>
            </w:r>
            <w:r>
              <w:rPr>
                <w:rFonts w:hint="eastAsia"/>
                <w:szCs w:val="21"/>
              </w:rPr>
              <w:t>＜1000m</w:t>
            </w:r>
          </w:p>
        </w:tc>
        <w:tc>
          <w:tcPr>
            <w:tcW w:w="2344" w:type="dxa"/>
            <w:vAlign w:val="center"/>
          </w:tcPr>
          <w:p>
            <w:pPr>
              <w:jc w:val="center"/>
              <w:rPr>
                <w:szCs w:val="21"/>
              </w:rPr>
            </w:pPr>
            <w:r>
              <w:rPr>
                <w:rFonts w:hint="eastAsia" w:ascii="宋体" w:hAnsi="宋体"/>
                <w:szCs w:val="21"/>
              </w:rPr>
              <w:t>ΣL≥1000m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2" w:hRule="atLeast"/>
          <w:jc w:val="center"/>
        </w:trPr>
        <w:tc>
          <w:tcPr>
            <w:tcW w:w="730" w:type="dxa"/>
            <w:vMerge w:val="restart"/>
            <w:shd w:val="clear" w:color="auto" w:fill="auto"/>
            <w:vAlign w:val="center"/>
          </w:tcPr>
          <w:p>
            <w:pPr>
              <w:jc w:val="center"/>
              <w:rPr>
                <w:szCs w:val="21"/>
              </w:rPr>
            </w:pPr>
            <w:r>
              <w:rPr>
                <w:rFonts w:hint="eastAsia"/>
                <w:szCs w:val="21"/>
              </w:rPr>
              <w:t>热水</w:t>
            </w:r>
          </w:p>
        </w:tc>
        <w:tc>
          <w:tcPr>
            <w:tcW w:w="1181" w:type="dxa"/>
            <w:vAlign w:val="center"/>
          </w:tcPr>
          <w:p>
            <w:pPr>
              <w:jc w:val="center"/>
              <w:rPr>
                <w:szCs w:val="21"/>
              </w:rPr>
            </w:pPr>
            <w:r>
              <w:rPr>
                <w:rFonts w:hint="eastAsia"/>
                <w:szCs w:val="21"/>
              </w:rPr>
              <w:t>夏热冬冷</w:t>
            </w:r>
          </w:p>
        </w:tc>
        <w:tc>
          <w:tcPr>
            <w:tcW w:w="1900" w:type="dxa"/>
            <w:vAlign w:val="center"/>
          </w:tcPr>
          <w:p>
            <w:pPr>
              <w:jc w:val="center"/>
              <w:rPr>
                <w:szCs w:val="21"/>
              </w:rPr>
            </w:pPr>
            <w:r>
              <w:rPr>
                <w:rFonts w:hint="eastAsia" w:ascii="宋体" w:hAnsi="宋体"/>
                <w:szCs w:val="21"/>
              </w:rPr>
              <w:t>α</w:t>
            </w:r>
            <w:r>
              <w:rPr>
                <w:rFonts w:hint="eastAsia"/>
                <w:szCs w:val="21"/>
              </w:rPr>
              <w:t>=0.0024</w:t>
            </w:r>
          </w:p>
        </w:tc>
        <w:tc>
          <w:tcPr>
            <w:tcW w:w="2367" w:type="dxa"/>
            <w:vAlign w:val="center"/>
          </w:tcPr>
          <w:p>
            <w:pPr>
              <w:jc w:val="center"/>
              <w:rPr>
                <w:szCs w:val="21"/>
              </w:rPr>
            </w:pPr>
            <w:r>
              <w:rPr>
                <w:rFonts w:hint="eastAsia" w:ascii="宋体" w:hAnsi="宋体"/>
                <w:szCs w:val="21"/>
              </w:rPr>
              <w:t>α</w:t>
            </w:r>
            <w:r>
              <w:rPr>
                <w:rFonts w:hint="eastAsia"/>
                <w:szCs w:val="21"/>
              </w:rPr>
              <w:t>=0.002+0.16/</w:t>
            </w:r>
            <w:r>
              <w:rPr>
                <w:rFonts w:hint="eastAsia" w:ascii="宋体" w:hAnsi="宋体"/>
                <w:szCs w:val="21"/>
              </w:rPr>
              <w:t>ΣL</w:t>
            </w:r>
          </w:p>
        </w:tc>
        <w:tc>
          <w:tcPr>
            <w:tcW w:w="2344" w:type="dxa"/>
            <w:vAlign w:val="center"/>
          </w:tcPr>
          <w:p>
            <w:pPr>
              <w:jc w:val="center"/>
              <w:rPr>
                <w:szCs w:val="21"/>
              </w:rPr>
            </w:pPr>
            <w:r>
              <w:rPr>
                <w:rFonts w:hint="eastAsia" w:ascii="宋体" w:hAnsi="宋体"/>
                <w:szCs w:val="21"/>
              </w:rPr>
              <w:t>α</w:t>
            </w:r>
            <w:r>
              <w:rPr>
                <w:rFonts w:hint="eastAsia"/>
                <w:szCs w:val="21"/>
              </w:rPr>
              <w:t>=0.0016+0.56/</w:t>
            </w:r>
            <w:r>
              <w:rPr>
                <w:rFonts w:hint="eastAsia" w:ascii="宋体" w:hAnsi="宋体"/>
                <w:szCs w:val="21"/>
              </w:rPr>
              <w:t>ΣL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jc w:val="center"/>
        </w:trPr>
        <w:tc>
          <w:tcPr>
            <w:tcW w:w="730" w:type="dxa"/>
            <w:vMerge w:val="continue"/>
            <w:shd w:val="clear" w:color="auto" w:fill="auto"/>
            <w:vAlign w:val="center"/>
          </w:tcPr>
          <w:p>
            <w:pPr>
              <w:jc w:val="center"/>
              <w:rPr>
                <w:szCs w:val="21"/>
              </w:rPr>
            </w:pPr>
          </w:p>
        </w:tc>
        <w:tc>
          <w:tcPr>
            <w:tcW w:w="1181" w:type="dxa"/>
            <w:vAlign w:val="center"/>
          </w:tcPr>
          <w:p>
            <w:pPr>
              <w:jc w:val="center"/>
              <w:rPr>
                <w:szCs w:val="21"/>
              </w:rPr>
            </w:pPr>
            <w:r>
              <w:rPr>
                <w:rFonts w:hint="eastAsia"/>
                <w:szCs w:val="21"/>
              </w:rPr>
              <w:t>夏热冬暖</w:t>
            </w:r>
          </w:p>
        </w:tc>
        <w:tc>
          <w:tcPr>
            <w:tcW w:w="1900" w:type="dxa"/>
            <w:vAlign w:val="center"/>
          </w:tcPr>
          <w:p>
            <w:pPr>
              <w:jc w:val="center"/>
              <w:rPr>
                <w:rFonts w:ascii="宋体" w:hAnsi="宋体"/>
                <w:szCs w:val="21"/>
              </w:rPr>
            </w:pPr>
            <w:r>
              <w:rPr>
                <w:rFonts w:hint="eastAsia" w:ascii="宋体" w:hAnsi="宋体"/>
                <w:szCs w:val="21"/>
              </w:rPr>
              <w:t>α</w:t>
            </w:r>
            <w:r>
              <w:rPr>
                <w:rFonts w:hint="eastAsia"/>
                <w:szCs w:val="21"/>
              </w:rPr>
              <w:t>=0.0032</w:t>
            </w:r>
          </w:p>
        </w:tc>
        <w:tc>
          <w:tcPr>
            <w:tcW w:w="2367" w:type="dxa"/>
            <w:vAlign w:val="center"/>
          </w:tcPr>
          <w:p>
            <w:pPr>
              <w:jc w:val="center"/>
              <w:rPr>
                <w:rFonts w:ascii="宋体" w:hAnsi="宋体"/>
                <w:szCs w:val="21"/>
              </w:rPr>
            </w:pPr>
            <w:r>
              <w:rPr>
                <w:rFonts w:hint="eastAsia" w:ascii="宋体" w:hAnsi="宋体"/>
                <w:szCs w:val="21"/>
              </w:rPr>
              <w:t>α</w:t>
            </w:r>
            <w:r>
              <w:rPr>
                <w:rFonts w:hint="eastAsia"/>
                <w:szCs w:val="21"/>
              </w:rPr>
              <w:t>=0.0026+0.24/</w:t>
            </w:r>
            <w:r>
              <w:rPr>
                <w:rFonts w:hint="eastAsia" w:ascii="宋体" w:hAnsi="宋体"/>
                <w:szCs w:val="21"/>
              </w:rPr>
              <w:t>ΣL</w:t>
            </w:r>
          </w:p>
        </w:tc>
        <w:tc>
          <w:tcPr>
            <w:tcW w:w="2344" w:type="dxa"/>
            <w:vAlign w:val="center"/>
          </w:tcPr>
          <w:p>
            <w:pPr>
              <w:jc w:val="center"/>
              <w:rPr>
                <w:rFonts w:ascii="宋体" w:hAnsi="宋体"/>
                <w:szCs w:val="21"/>
              </w:rPr>
            </w:pPr>
            <w:r>
              <w:rPr>
                <w:rFonts w:hint="eastAsia" w:ascii="宋体" w:hAnsi="宋体"/>
                <w:szCs w:val="21"/>
              </w:rPr>
              <w:t>α</w:t>
            </w:r>
            <w:r>
              <w:rPr>
                <w:rFonts w:hint="eastAsia"/>
                <w:szCs w:val="21"/>
              </w:rPr>
              <w:t>=0.0021+0.74/</w:t>
            </w:r>
            <w:r>
              <w:rPr>
                <w:rFonts w:hint="eastAsia" w:ascii="宋体" w:hAnsi="宋体"/>
                <w:szCs w:val="21"/>
              </w:rPr>
              <w:t>ΣL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3" w:hRule="atLeast"/>
          <w:jc w:val="center"/>
        </w:trPr>
        <w:tc>
          <w:tcPr>
            <w:tcW w:w="1911" w:type="dxa"/>
            <w:gridSpan w:val="2"/>
            <w:vAlign w:val="center"/>
          </w:tcPr>
          <w:p>
            <w:pPr>
              <w:jc w:val="center"/>
              <w:rPr>
                <w:rFonts w:ascii="宋体" w:hAnsi="宋体"/>
                <w:bCs/>
                <w:spacing w:val="-10"/>
                <w:szCs w:val="21"/>
              </w:rPr>
            </w:pPr>
            <w:r>
              <w:rPr>
                <w:rFonts w:hint="eastAsia" w:ascii="宋体" w:hAnsi="宋体"/>
                <w:bCs/>
                <w:spacing w:val="-10"/>
                <w:szCs w:val="21"/>
              </w:rPr>
              <w:t>冷水</w:t>
            </w:r>
          </w:p>
        </w:tc>
        <w:tc>
          <w:tcPr>
            <w:tcW w:w="1900" w:type="dxa"/>
            <w:vAlign w:val="center"/>
          </w:tcPr>
          <w:p>
            <w:pPr>
              <w:jc w:val="center"/>
              <w:rPr>
                <w:rFonts w:ascii="宋体" w:hAnsi="宋体"/>
                <w:bCs/>
                <w:spacing w:val="-10"/>
                <w:szCs w:val="21"/>
              </w:rPr>
            </w:pPr>
            <w:r>
              <w:rPr>
                <w:rFonts w:hint="eastAsia" w:ascii="宋体" w:hAnsi="宋体"/>
                <w:szCs w:val="21"/>
              </w:rPr>
              <w:t>α</w:t>
            </w:r>
            <w:r>
              <w:rPr>
                <w:rFonts w:hint="eastAsia"/>
                <w:szCs w:val="21"/>
              </w:rPr>
              <w:t>=0.02</w:t>
            </w:r>
          </w:p>
        </w:tc>
        <w:tc>
          <w:tcPr>
            <w:tcW w:w="2367" w:type="dxa"/>
            <w:vAlign w:val="center"/>
          </w:tcPr>
          <w:p>
            <w:pPr>
              <w:jc w:val="center"/>
              <w:rPr>
                <w:rFonts w:ascii="宋体" w:hAnsi="宋体"/>
                <w:bCs/>
                <w:spacing w:val="-10"/>
                <w:szCs w:val="21"/>
              </w:rPr>
            </w:pPr>
            <w:r>
              <w:rPr>
                <w:rFonts w:hint="eastAsia" w:ascii="宋体" w:hAnsi="宋体"/>
                <w:szCs w:val="21"/>
              </w:rPr>
              <w:t>α</w:t>
            </w:r>
            <w:r>
              <w:rPr>
                <w:rFonts w:hint="eastAsia"/>
                <w:szCs w:val="21"/>
              </w:rPr>
              <w:t>=0.016+1.6/</w:t>
            </w:r>
            <w:r>
              <w:rPr>
                <w:rFonts w:hint="eastAsia" w:ascii="宋体" w:hAnsi="宋体"/>
                <w:szCs w:val="21"/>
              </w:rPr>
              <w:t>ΣL</w:t>
            </w:r>
          </w:p>
        </w:tc>
        <w:tc>
          <w:tcPr>
            <w:tcW w:w="2344" w:type="dxa"/>
            <w:vAlign w:val="center"/>
          </w:tcPr>
          <w:p>
            <w:pPr>
              <w:jc w:val="center"/>
              <w:rPr>
                <w:rFonts w:ascii="宋体" w:hAnsi="宋体"/>
                <w:bCs/>
                <w:spacing w:val="-10"/>
                <w:szCs w:val="21"/>
              </w:rPr>
            </w:pPr>
            <w:r>
              <w:rPr>
                <w:rFonts w:hint="eastAsia" w:ascii="宋体" w:hAnsi="宋体"/>
                <w:szCs w:val="21"/>
              </w:rPr>
              <w:t>α</w:t>
            </w:r>
            <w:r>
              <w:rPr>
                <w:rFonts w:hint="eastAsia"/>
                <w:szCs w:val="21"/>
              </w:rPr>
              <w:t>=0.013+4.6/</w:t>
            </w:r>
            <w:r>
              <w:rPr>
                <w:rFonts w:hint="eastAsia" w:ascii="宋体" w:hAnsi="宋体"/>
                <w:szCs w:val="21"/>
              </w:rPr>
              <w:t>ΣL</w:t>
            </w:r>
          </w:p>
        </w:tc>
      </w:tr>
    </w:tbl>
    <w:p>
      <w:pPr>
        <w:spacing w:line="360" w:lineRule="auto"/>
        <w:jc w:val="center"/>
        <w:rPr>
          <w:rFonts w:ascii="宋体" w:hAnsi="宋体"/>
          <w:bCs/>
          <w:spacing w:val="-10"/>
          <w:szCs w:val="21"/>
        </w:rPr>
      </w:pPr>
    </w:p>
    <w:p>
      <w:pPr>
        <w:spacing w:line="360" w:lineRule="auto"/>
        <w:jc w:val="center"/>
        <w:rPr>
          <w:rFonts w:ascii="宋体" w:hAnsi="宋体"/>
          <w:b/>
          <w:bCs/>
          <w:spacing w:val="-10"/>
          <w:szCs w:val="21"/>
        </w:rPr>
      </w:pPr>
      <w:r>
        <w:rPr>
          <w:rFonts w:hint="eastAsia" w:ascii="宋体" w:hAnsi="宋体"/>
          <w:b/>
          <w:bCs/>
          <w:spacing w:val="-10"/>
          <w:szCs w:val="21"/>
        </w:rPr>
        <w:t xml:space="preserve">表7.11.3-5  </w:t>
      </w:r>
      <m:oMath>
        <m:r>
          <m:rPr>
            <m:nor/>
            <m:sty m:val="b"/>
          </m:rPr>
          <w:rPr>
            <w:rFonts w:ascii="Cambria Math" w:hAnsi="Cambria Math"/>
            <w:b/>
            <w:bCs/>
            <w:spacing w:val="-10"/>
            <w:szCs w:val="21"/>
          </w:rPr>
          <m:t>∆</m:t>
        </m:r>
        <m:r>
          <m:rPr>
            <m:nor/>
            <m:sty m:val="b"/>
          </m:rPr>
          <w:rPr>
            <w:rFonts w:hint="eastAsia" w:ascii="宋体" w:hAnsi="宋体"/>
            <w:b/>
            <w:bCs/>
            <w:spacing w:val="-10"/>
            <w:szCs w:val="21"/>
          </w:rPr>
          <m:t>T</m:t>
        </m:r>
      </m:oMath>
      <w:r>
        <w:rPr>
          <w:rFonts w:hint="eastAsia" w:ascii="宋体" w:hAnsi="宋体"/>
          <w:b/>
          <w:bCs/>
          <w:spacing w:val="-10"/>
          <w:szCs w:val="21"/>
        </w:rPr>
        <w:t xml:space="preserve">值 </w:t>
      </w:r>
      <w:r>
        <w:rPr>
          <w:rFonts w:ascii="宋体" w:hAnsi="宋体"/>
          <w:b/>
          <w:bCs/>
          <w:spacing w:val="-10"/>
          <w:szCs w:val="21"/>
        </w:rPr>
        <w:t>(</w:t>
      </w:r>
      <w:r>
        <w:rPr>
          <w:rFonts w:hint="eastAsia" w:ascii="宋体" w:hAnsi="宋体"/>
          <w:b/>
          <w:bCs/>
          <w:spacing w:val="-10"/>
          <w:szCs w:val="21"/>
        </w:rPr>
        <w:t>℃</w:t>
      </w:r>
      <w:r>
        <w:rPr>
          <w:rFonts w:ascii="宋体" w:hAnsi="宋体"/>
          <w:b/>
          <w:bCs/>
          <w:spacing w:val="-10"/>
          <w:szCs w:val="21"/>
        </w:rPr>
        <w:t>)</w:t>
      </w: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3408"/>
        <w:gridCol w:w="3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7" w:hRule="atLeast"/>
        </w:trPr>
        <w:tc>
          <w:tcPr>
            <w:tcW w:w="1704" w:type="dxa"/>
            <w:vMerge w:val="restart"/>
            <w:vAlign w:val="center"/>
          </w:tcPr>
          <w:p>
            <w:pPr>
              <w:jc w:val="center"/>
              <w:rPr>
                <w:szCs w:val="21"/>
              </w:rPr>
            </w:pPr>
            <w:r>
              <w:rPr>
                <w:rFonts w:hint="eastAsia"/>
                <w:szCs w:val="21"/>
              </w:rPr>
              <w:t>冷水系统</w:t>
            </w:r>
          </w:p>
        </w:tc>
        <w:tc>
          <w:tcPr>
            <w:tcW w:w="6818" w:type="dxa"/>
            <w:gridSpan w:val="2"/>
            <w:vAlign w:val="center"/>
          </w:tcPr>
          <w:p>
            <w:pPr>
              <w:jc w:val="center"/>
              <w:rPr>
                <w:szCs w:val="21"/>
              </w:rPr>
            </w:pPr>
            <w:r>
              <w:rPr>
                <w:rFonts w:hint="eastAsia"/>
                <w:szCs w:val="21"/>
              </w:rPr>
              <w:t>热水系统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1704" w:type="dxa"/>
            <w:vMerge w:val="continue"/>
            <w:vAlign w:val="center"/>
          </w:tcPr>
          <w:p>
            <w:pPr>
              <w:jc w:val="center"/>
              <w:rPr>
                <w:szCs w:val="21"/>
              </w:rPr>
            </w:pPr>
          </w:p>
        </w:tc>
        <w:tc>
          <w:tcPr>
            <w:tcW w:w="3408" w:type="dxa"/>
            <w:vAlign w:val="center"/>
          </w:tcPr>
          <w:p>
            <w:pPr>
              <w:jc w:val="center"/>
              <w:rPr>
                <w:szCs w:val="21"/>
              </w:rPr>
            </w:pPr>
            <w:r>
              <w:rPr>
                <w:rFonts w:hint="eastAsia"/>
                <w:szCs w:val="21"/>
              </w:rPr>
              <w:t>夏热冬冷</w:t>
            </w:r>
          </w:p>
        </w:tc>
        <w:tc>
          <w:tcPr>
            <w:tcW w:w="3410" w:type="dxa"/>
            <w:vAlign w:val="center"/>
          </w:tcPr>
          <w:p>
            <w:pPr>
              <w:jc w:val="center"/>
              <w:rPr>
                <w:szCs w:val="21"/>
              </w:rPr>
            </w:pPr>
            <w:r>
              <w:rPr>
                <w:rFonts w:hint="eastAsia"/>
                <w:szCs w:val="21"/>
              </w:rPr>
              <w:t>夏热冬暖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5" w:hRule="atLeast"/>
        </w:trPr>
        <w:tc>
          <w:tcPr>
            <w:tcW w:w="1704" w:type="dxa"/>
            <w:vAlign w:val="center"/>
          </w:tcPr>
          <w:p>
            <w:pPr>
              <w:jc w:val="center"/>
              <w:rPr>
                <w:szCs w:val="21"/>
              </w:rPr>
            </w:pPr>
            <w:r>
              <w:rPr>
                <w:rFonts w:hint="eastAsia"/>
                <w:szCs w:val="21"/>
              </w:rPr>
              <w:t>5</w:t>
            </w:r>
          </w:p>
        </w:tc>
        <w:tc>
          <w:tcPr>
            <w:tcW w:w="3408" w:type="dxa"/>
            <w:vAlign w:val="center"/>
          </w:tcPr>
          <w:p>
            <w:pPr>
              <w:jc w:val="center"/>
              <w:rPr>
                <w:szCs w:val="21"/>
              </w:rPr>
            </w:pPr>
            <w:r>
              <w:rPr>
                <w:rFonts w:hint="eastAsia"/>
                <w:szCs w:val="21"/>
              </w:rPr>
              <w:t>10</w:t>
            </w:r>
          </w:p>
        </w:tc>
        <w:tc>
          <w:tcPr>
            <w:tcW w:w="3410" w:type="dxa"/>
            <w:vAlign w:val="center"/>
          </w:tcPr>
          <w:p>
            <w:pPr>
              <w:jc w:val="center"/>
              <w:rPr>
                <w:szCs w:val="21"/>
              </w:rPr>
            </w:pPr>
            <w:r>
              <w:rPr>
                <w:rFonts w:hint="eastAsia"/>
                <w:szCs w:val="21"/>
              </w:rPr>
              <w:t>5</w:t>
            </w:r>
          </w:p>
        </w:tc>
      </w:tr>
    </w:tbl>
    <w:p>
      <w:pPr>
        <w:spacing w:line="360" w:lineRule="auto"/>
        <w:ind w:firstLine="480" w:firstLineChars="200"/>
        <w:rPr>
          <w:sz w:val="24"/>
        </w:rPr>
      </w:pPr>
    </w:p>
    <w:p>
      <w:pPr>
        <w:tabs>
          <w:tab w:val="left" w:pos="851"/>
          <w:tab w:val="left" w:pos="993"/>
        </w:tabs>
        <w:spacing w:line="360" w:lineRule="auto"/>
        <w:ind w:firstLine="480" w:firstLineChars="200"/>
        <w:rPr>
          <w:sz w:val="24"/>
        </w:rPr>
      </w:pPr>
      <w:r>
        <w:rPr>
          <w:rFonts w:hint="eastAsia"/>
          <w:sz w:val="24"/>
        </w:rPr>
        <w:t>2  计算公式（7.11.3-1）中的计算参数应符合现行国家标准《公共建筑节能设计标准》GB 50189的规定。</w:t>
      </w:r>
    </w:p>
    <w:p>
      <w:pPr>
        <w:spacing w:line="360" w:lineRule="auto"/>
        <w:ind w:firstLine="480" w:firstLineChars="200"/>
        <w:rPr>
          <w:sz w:val="24"/>
        </w:rPr>
      </w:pPr>
      <w:r>
        <w:rPr>
          <w:rFonts w:hint="eastAsia"/>
          <w:sz w:val="24"/>
        </w:rPr>
        <w:t>3  当检测结果符合本条第1款的规定时，应判定为合格。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计算公式（7.11.3-1）中涉及的计算参数的选取应按现行国家标准《公共建筑节能设计标准》GB 50189的规定执行。</w:t>
      </w:r>
    </w:p>
    <w:p>
      <w:pPr>
        <w:spacing w:line="360" w:lineRule="auto"/>
        <w:rPr>
          <w:sz w:val="24"/>
        </w:rPr>
      </w:pPr>
    </w:p>
    <w:p>
      <w:pPr>
        <w:pStyle w:val="3"/>
        <w:rPr>
          <w:rFonts w:ascii="Times New Roman" w:hAnsi="Times New Roman" w:cs="Times New Roman"/>
          <w:lang w:val="zh-CN"/>
        </w:rPr>
      </w:pPr>
      <w:bookmarkStart w:id="96" w:name="_Toc17811193"/>
      <w:r>
        <w:rPr>
          <w:rFonts w:ascii="Times New Roman" w:hAnsi="Times New Roman" w:cs="Times New Roman"/>
        </w:rPr>
        <w:t>7.1</w:t>
      </w:r>
      <w:r>
        <w:rPr>
          <w:rFonts w:hint="eastAsia" w:ascii="Times New Roman" w:hAnsi="Times New Roman" w:cs="Times New Roman"/>
        </w:rPr>
        <w:t>2</w:t>
      </w:r>
      <w:r>
        <w:rPr>
          <w:rFonts w:ascii="Times New Roman" w:hAnsi="Times New Roman" w:cs="Times New Roman"/>
        </w:rPr>
        <w:t xml:space="preserve"> 蓄冷性能系数检测</w:t>
      </w:r>
      <w:bookmarkEnd w:id="96"/>
    </w:p>
    <w:p>
      <w:pPr>
        <w:spacing w:line="360" w:lineRule="auto"/>
        <w:rPr>
          <w:sz w:val="24"/>
        </w:rPr>
      </w:pPr>
      <w:r>
        <w:rPr>
          <w:rFonts w:hint="eastAsia"/>
          <w:b/>
          <w:sz w:val="24"/>
        </w:rPr>
        <w:t>7.12.1</w:t>
      </w:r>
      <w:r>
        <w:rPr>
          <w:rFonts w:hint="eastAsia"/>
          <w:sz w:val="24"/>
        </w:rPr>
        <w:t xml:space="preserve">  所有独立的蓄冷空调系统均应进行蓄冷性能系数检测。</w:t>
      </w:r>
    </w:p>
    <w:p>
      <w:pPr>
        <w:spacing w:line="360" w:lineRule="auto"/>
        <w:rPr>
          <w:sz w:val="24"/>
        </w:rPr>
      </w:pPr>
      <w:r>
        <w:rPr>
          <w:rFonts w:hint="eastAsia"/>
          <w:b/>
          <w:sz w:val="24"/>
        </w:rPr>
        <w:t>7.12.2</w:t>
      </w:r>
      <w:r>
        <w:rPr>
          <w:rFonts w:hint="eastAsia"/>
          <w:sz w:val="24"/>
        </w:rPr>
        <w:t xml:space="preserve">  蓄冷性能系数的检测方法应符合现行国家标准《蓄冷空调系统的测试和评价方法》GB/T 19412的规定。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应按现行国家标准《蓄冷空调系统的测试和评价方法》GB/T 19412的规定执行。</w:t>
      </w:r>
    </w:p>
    <w:p>
      <w:pPr>
        <w:spacing w:line="360" w:lineRule="auto"/>
        <w:rPr>
          <w:sz w:val="24"/>
        </w:rPr>
      </w:pPr>
      <w:r>
        <w:rPr>
          <w:rFonts w:hint="eastAsia"/>
          <w:b/>
          <w:sz w:val="24"/>
        </w:rPr>
        <w:t>7.12.3</w:t>
      </w:r>
      <w:r>
        <w:rPr>
          <w:rFonts w:hint="eastAsia"/>
          <w:sz w:val="24"/>
        </w:rPr>
        <w:t xml:space="preserve">  蓄冷性能系数的合格指标与判定方法应符合下列规定：</w:t>
      </w:r>
    </w:p>
    <w:p>
      <w:pPr>
        <w:spacing w:line="360" w:lineRule="auto"/>
        <w:ind w:firstLine="480" w:firstLineChars="200"/>
        <w:rPr>
          <w:sz w:val="24"/>
        </w:rPr>
      </w:pPr>
      <w:r>
        <w:rPr>
          <w:rFonts w:hint="eastAsia"/>
          <w:sz w:val="24"/>
        </w:rPr>
        <w:t>1  检测工况下，蓄冷性能系数检测值应符合设计要求；</w:t>
      </w:r>
    </w:p>
    <w:p>
      <w:pPr>
        <w:spacing w:line="360" w:lineRule="auto"/>
        <w:ind w:firstLine="480" w:firstLineChars="200"/>
        <w:rPr>
          <w:sz w:val="24"/>
        </w:rPr>
      </w:pPr>
      <w:r>
        <w:rPr>
          <w:rFonts w:hint="eastAsia"/>
          <w:sz w:val="24"/>
        </w:rPr>
        <w:t>2  当检测结果符合本条第1款的规定时，应判定为合格。</w:t>
      </w:r>
      <w:r>
        <w:rPr>
          <w:sz w:val="24"/>
        </w:rPr>
        <w:br w:type="page"/>
      </w:r>
    </w:p>
    <w:p>
      <w:pPr>
        <w:pStyle w:val="2"/>
        <w:rPr>
          <w:lang w:val="zh-CN"/>
        </w:rPr>
      </w:pPr>
      <w:bookmarkStart w:id="97" w:name="_Toc17811194"/>
      <w:r>
        <w:rPr>
          <w:rFonts w:hint="eastAsia"/>
          <w:lang w:val="zh-CN"/>
        </w:rPr>
        <w:t>8  通风与空调风系统性能检测</w:t>
      </w:r>
      <w:bookmarkEnd w:id="97"/>
    </w:p>
    <w:p>
      <w:pPr>
        <w:pStyle w:val="3"/>
      </w:pPr>
      <w:bookmarkStart w:id="98" w:name="_Toc17811195"/>
      <w:r>
        <w:rPr>
          <w:rFonts w:hint="eastAsia"/>
        </w:rPr>
        <w:t>8.1  一般规定</w:t>
      </w:r>
      <w:bookmarkEnd w:id="98"/>
    </w:p>
    <w:p>
      <w:pPr>
        <w:tabs>
          <w:tab w:val="left" w:pos="851"/>
          <w:tab w:val="left" w:pos="993"/>
        </w:tabs>
        <w:spacing w:line="360" w:lineRule="auto"/>
        <w:rPr>
          <w:sz w:val="24"/>
        </w:rPr>
      </w:pPr>
      <w:r>
        <w:rPr>
          <w:rFonts w:hint="eastAsia"/>
          <w:b/>
          <w:sz w:val="24"/>
        </w:rPr>
        <w:t xml:space="preserve">8.1.1  </w:t>
      </w:r>
      <w:r>
        <w:rPr>
          <w:rFonts w:hint="eastAsia"/>
          <w:sz w:val="24"/>
        </w:rPr>
        <w:t>绿色建筑通风与空调风系统性能检测项目包括：系统总风量（新风量）、风口风量、定风量系统平衡度、风机单位风量耗功率、空调热回收装置交换效率、住宅排气道系统通风性能等检测。</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本条列举了绿色建筑通风系统和空调风系统性能检测涉及的检测项目。</w:t>
      </w:r>
    </w:p>
    <w:p>
      <w:pPr>
        <w:tabs>
          <w:tab w:val="left" w:pos="851"/>
          <w:tab w:val="left" w:pos="993"/>
        </w:tabs>
        <w:spacing w:line="360" w:lineRule="auto"/>
        <w:rPr>
          <w:sz w:val="24"/>
        </w:rPr>
      </w:pPr>
      <w:r>
        <w:rPr>
          <w:rFonts w:hint="eastAsia"/>
          <w:b/>
          <w:sz w:val="24"/>
        </w:rPr>
        <w:t xml:space="preserve">8.1.2  </w:t>
      </w:r>
      <w:r>
        <w:rPr>
          <w:rFonts w:hint="eastAsia"/>
          <w:sz w:val="24"/>
        </w:rPr>
        <w:t>通风与空调风系统各项性能检测均应在系统、设备实际运行状态下进行。</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本标准是对系统、设备实际运行性能进行检测，即根据系统和设备的实际运行状态对其性能进行检测，但可以根据检测条件和要求对末端负荷进行人为调节，以利于实现对系统、设备性能的判别。</w:t>
      </w:r>
    </w:p>
    <w:p>
      <w:pPr>
        <w:tabs>
          <w:tab w:val="left" w:pos="851"/>
          <w:tab w:val="left" w:pos="993"/>
        </w:tabs>
        <w:spacing w:line="360" w:lineRule="auto"/>
        <w:rPr>
          <w:b/>
          <w:sz w:val="24"/>
        </w:rPr>
      </w:pPr>
    </w:p>
    <w:p>
      <w:pPr>
        <w:pStyle w:val="3"/>
        <w:rPr>
          <w:rFonts w:ascii="Times New Roman" w:hAnsi="Times New Roman" w:cs="Times New Roman"/>
        </w:rPr>
      </w:pPr>
      <w:bookmarkStart w:id="99" w:name="_Toc17811196"/>
      <w:r>
        <w:rPr>
          <w:rFonts w:ascii="Times New Roman" w:hAnsi="Times New Roman" w:cs="Times New Roman"/>
        </w:rPr>
        <w:t>8.2  系统总风量（新风量）检测</w:t>
      </w:r>
      <w:bookmarkEnd w:id="99"/>
    </w:p>
    <w:p>
      <w:pPr>
        <w:spacing w:line="360" w:lineRule="auto"/>
        <w:rPr>
          <w:sz w:val="24"/>
        </w:rPr>
      </w:pPr>
      <w:r>
        <w:rPr>
          <w:rFonts w:hint="eastAsia"/>
          <w:b/>
          <w:sz w:val="24"/>
        </w:rPr>
        <w:t>8.2.1</w:t>
      </w:r>
      <w:r>
        <w:rPr>
          <w:rFonts w:hint="eastAsia"/>
          <w:sz w:val="24"/>
        </w:rPr>
        <w:t xml:space="preserve">  系统总风量（新风量）的检测应以系统数量为受检样本数量基数，最小抽样检测数量按本标准表3.0.3规定执行，且不同功能的系统不应少于1个。</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系统总风量和系统新风量应按计数方法检测，且不同功能的系统抽检数量不应少于1个，当系统数量大于等于2个时，最小抽样检测数量应满足本标准表3.0.3的规定。</w:t>
      </w:r>
    </w:p>
    <w:p>
      <w:pPr>
        <w:tabs>
          <w:tab w:val="left" w:pos="851"/>
          <w:tab w:val="left" w:pos="993"/>
        </w:tabs>
        <w:spacing w:line="360" w:lineRule="auto"/>
        <w:rPr>
          <w:sz w:val="24"/>
        </w:rPr>
      </w:pPr>
      <w:r>
        <w:rPr>
          <w:rFonts w:hint="eastAsia"/>
          <w:b/>
          <w:sz w:val="24"/>
        </w:rPr>
        <w:t xml:space="preserve">8.2.2 </w:t>
      </w:r>
      <w:r>
        <w:rPr>
          <w:rFonts w:hint="eastAsia"/>
          <w:sz w:val="24"/>
        </w:rPr>
        <w:t xml:space="preserve"> 系统总风量（新风量）的检测方法应符合现行行业标准《公共建筑节能检测标准》JGJ/T 177中新风量检测的规定。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177中新风量的检测方法执行。</w:t>
      </w:r>
    </w:p>
    <w:p>
      <w:pPr>
        <w:spacing w:line="360" w:lineRule="auto"/>
        <w:rPr>
          <w:sz w:val="24"/>
        </w:rPr>
      </w:pPr>
      <w:r>
        <w:rPr>
          <w:rFonts w:hint="eastAsia"/>
          <w:b/>
          <w:sz w:val="24"/>
        </w:rPr>
        <w:t>8.2.3</w:t>
      </w:r>
      <w:r>
        <w:rPr>
          <w:rFonts w:hint="eastAsia"/>
          <w:sz w:val="24"/>
        </w:rPr>
        <w:t xml:space="preserve">  系统总风量（新风量）的合格指标与判定方法应符合下列规定：</w:t>
      </w:r>
    </w:p>
    <w:p>
      <w:pPr>
        <w:spacing w:line="360" w:lineRule="auto"/>
        <w:ind w:firstLine="480" w:firstLineChars="200"/>
        <w:rPr>
          <w:sz w:val="24"/>
        </w:rPr>
      </w:pPr>
      <w:r>
        <w:rPr>
          <w:rFonts w:hint="eastAsia"/>
          <w:sz w:val="24"/>
        </w:rPr>
        <w:t>1  检测工况下，系统总风量（新风量）检测值应符合设计要求，且允许偏差应为-5%~+10%；</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新风量是指定风量系统的新风量或变风量系统在风机额定频率下的新风量，且新风系统为独立新风系统，直接送新风到房间。</w:t>
      </w:r>
    </w:p>
    <w:p>
      <w:pPr>
        <w:spacing w:line="360" w:lineRule="auto"/>
        <w:rPr>
          <w:sz w:val="24"/>
        </w:rPr>
      </w:pPr>
    </w:p>
    <w:p>
      <w:pPr>
        <w:pStyle w:val="3"/>
        <w:rPr>
          <w:rFonts w:ascii="Times New Roman" w:hAnsi="Times New Roman" w:cs="Times New Roman"/>
        </w:rPr>
      </w:pPr>
      <w:bookmarkStart w:id="100" w:name="_Toc17811197"/>
      <w:r>
        <w:rPr>
          <w:rFonts w:ascii="Times New Roman" w:hAnsi="Times New Roman" w:cs="Times New Roman"/>
        </w:rPr>
        <w:t>8.3  风口风量检测</w:t>
      </w:r>
      <w:bookmarkEnd w:id="100"/>
    </w:p>
    <w:p>
      <w:pPr>
        <w:spacing w:line="360" w:lineRule="auto"/>
        <w:rPr>
          <w:sz w:val="24"/>
        </w:rPr>
      </w:pPr>
      <w:r>
        <w:rPr>
          <w:rFonts w:hint="eastAsia"/>
          <w:b/>
          <w:sz w:val="24"/>
        </w:rPr>
        <w:t>8.3.1</w:t>
      </w:r>
      <w:r>
        <w:rPr>
          <w:rFonts w:hint="eastAsia"/>
          <w:sz w:val="24"/>
        </w:rPr>
        <w:t xml:space="preserve">  风口风量的检测应以系统数量为受检样本数量基数，最小抽样检测数量按本标准表3.0.3规定执行，且不同功能的系统不应少于1个。</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风口风量应按计数方法检测，且以系统数量为受检样本数量基数，不同功能的系统抽检数量不应少于1个，当系统数量大于等于2个时，最小抽样检测数量应满足本标准表3.0.3的规定，对于风口数量较多的大系统，建议风口抽检。</w:t>
      </w:r>
    </w:p>
    <w:p>
      <w:pPr>
        <w:tabs>
          <w:tab w:val="left" w:pos="851"/>
          <w:tab w:val="left" w:pos="993"/>
        </w:tabs>
        <w:spacing w:line="360" w:lineRule="auto"/>
        <w:rPr>
          <w:sz w:val="24"/>
        </w:rPr>
      </w:pPr>
      <w:r>
        <w:rPr>
          <w:rFonts w:hint="eastAsia"/>
          <w:b/>
          <w:sz w:val="24"/>
        </w:rPr>
        <w:t>8.3.2</w:t>
      </w:r>
      <w:r>
        <w:rPr>
          <w:rFonts w:hint="eastAsia"/>
          <w:sz w:val="24"/>
        </w:rPr>
        <w:t xml:space="preserve">  风口风量的检测方法应符合现行行业标准《采暖通风与空气调节工程检测技术规程》JGJ/T 260的规定。</w:t>
      </w:r>
    </w:p>
    <w:p>
      <w:pPr>
        <w:spacing w:line="360" w:lineRule="auto"/>
        <w:rPr>
          <w:rFonts w:eastAsia="楷体"/>
          <w:color w:val="3016EE"/>
        </w:rPr>
      </w:pPr>
      <w:r>
        <w:rPr>
          <w:rFonts w:hint="eastAsia" w:eastAsia="楷体"/>
          <w:color w:val="3016EE"/>
        </w:rPr>
        <w:t>【条文说明】</w:t>
      </w:r>
    </w:p>
    <w:p>
      <w:pPr>
        <w:tabs>
          <w:tab w:val="left" w:pos="851"/>
          <w:tab w:val="left" w:pos="993"/>
        </w:tabs>
        <w:spacing w:line="360" w:lineRule="auto"/>
        <w:ind w:firstLine="420" w:firstLineChars="200"/>
        <w:rPr>
          <w:sz w:val="24"/>
        </w:rPr>
      </w:pPr>
      <w:r>
        <w:rPr>
          <w:rFonts w:hint="eastAsia" w:eastAsia="楷体"/>
          <w:color w:val="3016EE"/>
        </w:rPr>
        <w:t>应按现行行业标准《采暖通风与空气调节工程检测技术规程》JGJ/T 260的规定执行。</w:t>
      </w:r>
    </w:p>
    <w:p>
      <w:pPr>
        <w:tabs>
          <w:tab w:val="left" w:pos="851"/>
          <w:tab w:val="left" w:pos="993"/>
        </w:tabs>
        <w:spacing w:line="360" w:lineRule="auto"/>
        <w:rPr>
          <w:sz w:val="24"/>
        </w:rPr>
      </w:pPr>
      <w:r>
        <w:rPr>
          <w:rFonts w:hint="eastAsia"/>
          <w:b/>
          <w:sz w:val="24"/>
        </w:rPr>
        <w:t>8.3.3</w:t>
      </w:r>
      <w:r>
        <w:rPr>
          <w:rFonts w:hint="eastAsia"/>
          <w:sz w:val="24"/>
        </w:rPr>
        <w:t xml:space="preserve">  风口风量的合格指标与判定方法应符合下列规定：</w:t>
      </w:r>
    </w:p>
    <w:p>
      <w:pPr>
        <w:spacing w:line="360" w:lineRule="auto"/>
        <w:ind w:firstLine="480" w:firstLineChars="200"/>
        <w:rPr>
          <w:sz w:val="24"/>
        </w:rPr>
      </w:pPr>
      <w:r>
        <w:rPr>
          <w:rFonts w:hint="eastAsia"/>
          <w:sz w:val="24"/>
        </w:rPr>
        <w:t>1  风口风量检测值应符合设计要求，且允许偏差不应大于15%；</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sz w:val="24"/>
        </w:rPr>
      </w:pPr>
    </w:p>
    <w:p>
      <w:pPr>
        <w:pStyle w:val="3"/>
        <w:rPr>
          <w:rFonts w:ascii="Times New Roman" w:hAnsi="Times New Roman" w:cs="Times New Roman"/>
        </w:rPr>
      </w:pPr>
      <w:bookmarkStart w:id="101" w:name="_Toc17811198"/>
      <w:r>
        <w:rPr>
          <w:rFonts w:ascii="Times New Roman" w:hAnsi="Times New Roman" w:cs="Times New Roman"/>
        </w:rPr>
        <w:t>8.4  定风量系统平衡度检测</w:t>
      </w:r>
      <w:bookmarkEnd w:id="101"/>
    </w:p>
    <w:p>
      <w:pPr>
        <w:spacing w:line="360" w:lineRule="auto"/>
        <w:rPr>
          <w:sz w:val="24"/>
        </w:rPr>
      </w:pPr>
      <w:r>
        <w:rPr>
          <w:rFonts w:hint="eastAsia"/>
          <w:b/>
          <w:sz w:val="24"/>
        </w:rPr>
        <w:t xml:space="preserve">8.4.1 </w:t>
      </w:r>
      <w:r>
        <w:rPr>
          <w:rFonts w:hint="eastAsia"/>
          <w:sz w:val="24"/>
        </w:rPr>
        <w:t xml:space="preserve"> 定风量系统平衡度的检测数量、检测方法和判定方法应符合现行行业标准《公共建筑节能检测标准》JGJ/T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sz w:val="24"/>
        </w:rPr>
      </w:pPr>
    </w:p>
    <w:p>
      <w:pPr>
        <w:pStyle w:val="3"/>
        <w:rPr>
          <w:rFonts w:ascii="Times New Roman" w:hAnsi="Times New Roman" w:cs="Times New Roman"/>
        </w:rPr>
      </w:pPr>
      <w:bookmarkStart w:id="102" w:name="_Toc17811199"/>
      <w:r>
        <w:rPr>
          <w:rFonts w:ascii="Times New Roman" w:hAnsi="Times New Roman" w:cs="Times New Roman"/>
        </w:rPr>
        <w:t>8.5  风机单位风量耗功率检测</w:t>
      </w:r>
      <w:bookmarkEnd w:id="102"/>
    </w:p>
    <w:p>
      <w:pPr>
        <w:spacing w:line="360" w:lineRule="auto"/>
        <w:rPr>
          <w:sz w:val="24"/>
        </w:rPr>
      </w:pPr>
      <w:r>
        <w:rPr>
          <w:rFonts w:hint="eastAsia"/>
          <w:b/>
          <w:sz w:val="24"/>
        </w:rPr>
        <w:t xml:space="preserve">8.5.1 </w:t>
      </w:r>
      <w:r>
        <w:rPr>
          <w:rFonts w:hint="eastAsia"/>
          <w:sz w:val="24"/>
        </w:rPr>
        <w:t xml:space="preserve"> 风机单位风量耗功率的检测应以风机数量为受检样本数量基数，最小抽样检测数量按本标准表3.0.3规定执行，且不同功能的风机不应少于1台。</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风机单位风量耗功率应按计数方法检测，且不同功能的风机抽检不应少于1个，当风机数量大于等于2个时，最小抽样检测数量应满足本标准表3.0.3的规定。</w:t>
      </w:r>
      <w:r>
        <w:rPr>
          <w:rFonts w:eastAsia="楷体"/>
          <w:color w:val="3016EE"/>
        </w:rPr>
        <w:t xml:space="preserve"> </w:t>
      </w:r>
    </w:p>
    <w:p>
      <w:pPr>
        <w:spacing w:line="360" w:lineRule="auto"/>
        <w:rPr>
          <w:sz w:val="24"/>
        </w:rPr>
      </w:pPr>
      <w:r>
        <w:rPr>
          <w:rFonts w:hint="eastAsia"/>
          <w:b/>
          <w:sz w:val="24"/>
        </w:rPr>
        <w:t>8.5.2</w:t>
      </w:r>
      <w:r>
        <w:rPr>
          <w:rFonts w:hint="eastAsia"/>
          <w:sz w:val="24"/>
        </w:rPr>
        <w:t xml:space="preserve">  风机单位风量耗功率的检测方法和判定方法应符合现行行业标准《公共建筑节能检测标准》JGJ/T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ind w:firstLine="480" w:firstLineChars="200"/>
        <w:rPr>
          <w:sz w:val="24"/>
        </w:rPr>
      </w:pPr>
    </w:p>
    <w:p>
      <w:pPr>
        <w:pStyle w:val="3"/>
        <w:rPr>
          <w:rFonts w:ascii="Times New Roman" w:hAnsi="Times New Roman" w:cs="Times New Roman"/>
          <w:lang w:val="zh-CN"/>
        </w:rPr>
      </w:pPr>
      <w:bookmarkStart w:id="103" w:name="_Toc17811200"/>
      <w:r>
        <w:rPr>
          <w:rFonts w:ascii="Times New Roman" w:hAnsi="Times New Roman" w:cs="Times New Roman"/>
          <w:lang w:val="zh-CN"/>
        </w:rPr>
        <w:t>8.6  空调热回收装置交换效率检测</w:t>
      </w:r>
      <w:bookmarkEnd w:id="103"/>
    </w:p>
    <w:p>
      <w:pPr>
        <w:spacing w:line="360" w:lineRule="auto"/>
        <w:rPr>
          <w:sz w:val="24"/>
        </w:rPr>
      </w:pPr>
      <w:r>
        <w:rPr>
          <w:rFonts w:hint="eastAsia"/>
          <w:b/>
          <w:sz w:val="24"/>
        </w:rPr>
        <w:t xml:space="preserve">8.6.1 </w:t>
      </w:r>
      <w:r>
        <w:rPr>
          <w:rFonts w:hint="eastAsia"/>
          <w:sz w:val="24"/>
        </w:rPr>
        <w:t xml:space="preserve"> 空调热回收装置交换效率包括焓效率和温度效率，焓效率适用于全热交换装置，温度效率适用于显热交换装置。</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焓效率是指对应风量下，新风进、出口温差与新风进口、排风进口温差之比，以百分数表示；温度效率是指对应风量下，新风进、出口焓差与新风进口、排风进口焓差之比，以百分数表示。</w:t>
      </w:r>
    </w:p>
    <w:p>
      <w:pPr>
        <w:spacing w:line="360" w:lineRule="auto"/>
        <w:rPr>
          <w:sz w:val="24"/>
        </w:rPr>
      </w:pPr>
      <w:r>
        <w:rPr>
          <w:rFonts w:hint="eastAsia"/>
          <w:b/>
          <w:sz w:val="24"/>
        </w:rPr>
        <w:t xml:space="preserve">8.6.2 </w:t>
      </w:r>
      <w:r>
        <w:rPr>
          <w:rFonts w:hint="eastAsia"/>
          <w:sz w:val="24"/>
        </w:rPr>
        <w:t xml:space="preserve"> 空调热回收装置交换效率的检测应以装置数量为受检样本数量基数，最小抽样检测数量按本标准表3.0.3规定执行，且不应少于1台。</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空调热回收装置交换效率应按计数方法检测，且抽检数量不应少于1台，当空调热回收装置数量大于等于2台时，最小抽样检测数量应满足本标准表3.0.3的规定。</w:t>
      </w:r>
    </w:p>
    <w:p>
      <w:pPr>
        <w:spacing w:line="360" w:lineRule="auto"/>
        <w:rPr>
          <w:sz w:val="24"/>
        </w:rPr>
      </w:pPr>
      <w:r>
        <w:rPr>
          <w:rFonts w:hint="eastAsia"/>
          <w:b/>
          <w:sz w:val="24"/>
        </w:rPr>
        <w:t>8.6.3</w:t>
      </w:r>
      <w:r>
        <w:rPr>
          <w:rFonts w:hint="eastAsia"/>
          <w:sz w:val="24"/>
        </w:rPr>
        <w:t xml:space="preserve">  空调热回收装置交换效率的检测方法和判定方法应符合现行国家标准《空气-空气能量回收装置》GB/T21087的规定。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应按现行国家标准《空气-空气能量回收装置》GB/T21087的规定执行。</w:t>
      </w:r>
    </w:p>
    <w:p>
      <w:pPr>
        <w:rPr>
          <w:b/>
          <w:bCs/>
          <w:highlight w:val="yellow"/>
        </w:rPr>
      </w:pPr>
    </w:p>
    <w:p>
      <w:pPr>
        <w:pStyle w:val="3"/>
        <w:rPr>
          <w:rFonts w:ascii="Times New Roman" w:hAnsi="Times New Roman" w:cs="Times New Roman"/>
          <w:lang w:val="zh-CN"/>
        </w:rPr>
      </w:pPr>
      <w:bookmarkStart w:id="104" w:name="_Toc17811201"/>
      <w:r>
        <w:rPr>
          <w:rFonts w:ascii="Times New Roman" w:hAnsi="Times New Roman" w:cs="Times New Roman"/>
          <w:lang w:val="zh-CN"/>
        </w:rPr>
        <w:t xml:space="preserve">8.7  </w:t>
      </w:r>
      <w:r>
        <w:rPr>
          <w:rFonts w:ascii="Times New Roman" w:hAnsi="Times New Roman" w:cs="Times New Roman"/>
        </w:rPr>
        <w:t>住宅排气道系统通风性能检测</w:t>
      </w:r>
      <w:bookmarkEnd w:id="104"/>
    </w:p>
    <w:p>
      <w:pPr>
        <w:spacing w:line="360" w:lineRule="auto"/>
        <w:rPr>
          <w:sz w:val="24"/>
        </w:rPr>
      </w:pPr>
      <w:r>
        <w:rPr>
          <w:rFonts w:hint="eastAsia"/>
          <w:b/>
          <w:sz w:val="24"/>
        </w:rPr>
        <w:t xml:space="preserve">8.7.1  </w:t>
      </w:r>
      <w:r>
        <w:rPr>
          <w:rFonts w:hint="eastAsia"/>
          <w:sz w:val="24"/>
        </w:rPr>
        <w:t>排气道系统通风性能的检测应以系统数量为受检样本数量基数，最小抽样检测数量按本标准表3.0.3规定执行，且每种规格型号的系统不应少于1个。</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排气道系统通风性能应按计数方法检测，且每种规格型号的系统抽检不应少于1个，当系统数量大于等于2个时，最小抽样检测数量应满足本标准表3.0.3的规定，</w:t>
      </w:r>
      <w:r>
        <w:rPr>
          <w:rFonts w:eastAsia="楷体"/>
          <w:color w:val="3016EE"/>
        </w:rPr>
        <w:t xml:space="preserve"> </w:t>
      </w:r>
    </w:p>
    <w:p>
      <w:pPr>
        <w:spacing w:line="360" w:lineRule="auto"/>
        <w:rPr>
          <w:sz w:val="24"/>
        </w:rPr>
      </w:pPr>
      <w:r>
        <w:rPr>
          <w:rFonts w:hint="eastAsia"/>
          <w:b/>
          <w:sz w:val="24"/>
        </w:rPr>
        <w:t xml:space="preserve">8.7.2  </w:t>
      </w:r>
      <w:r>
        <w:rPr>
          <w:rFonts w:hint="eastAsia"/>
          <w:sz w:val="24"/>
        </w:rPr>
        <w:t>排气道系统通风性能的检测方法应符合下列规定：</w:t>
      </w:r>
    </w:p>
    <w:p>
      <w:pPr>
        <w:spacing w:line="360" w:lineRule="auto"/>
        <w:rPr>
          <w:sz w:val="24"/>
        </w:rPr>
      </w:pPr>
      <w:r>
        <w:rPr>
          <w:rFonts w:hint="eastAsia"/>
          <w:sz w:val="24"/>
        </w:rPr>
        <w:t xml:space="preserve">    1  排气道系统安装完成，且可以正常使用。</w:t>
      </w:r>
    </w:p>
    <w:p>
      <w:pPr>
        <w:spacing w:line="360" w:lineRule="auto"/>
        <w:ind w:firstLine="480" w:firstLineChars="200"/>
        <w:rPr>
          <w:sz w:val="24"/>
        </w:rPr>
      </w:pPr>
      <w:r>
        <w:rPr>
          <w:rFonts w:hint="eastAsia"/>
          <w:sz w:val="24"/>
        </w:rPr>
        <w:t>2  所用检测设备：风机（风压180Pa～250Pa，风量500m</w:t>
      </w:r>
      <w:r>
        <w:rPr>
          <w:rFonts w:hint="eastAsia"/>
          <w:sz w:val="24"/>
          <w:vertAlign w:val="superscript"/>
        </w:rPr>
        <w:t>3</w:t>
      </w:r>
      <w:r>
        <w:rPr>
          <w:rFonts w:hint="eastAsia"/>
          <w:sz w:val="24"/>
        </w:rPr>
        <w:t>/h）、烟雾弹。</w:t>
      </w:r>
    </w:p>
    <w:p>
      <w:pPr>
        <w:spacing w:line="360" w:lineRule="auto"/>
        <w:ind w:firstLine="480" w:firstLineChars="200"/>
        <w:rPr>
          <w:sz w:val="24"/>
        </w:rPr>
      </w:pPr>
      <w:r>
        <w:rPr>
          <w:rFonts w:hint="eastAsia"/>
          <w:sz w:val="24"/>
        </w:rPr>
        <w:t>3  随机选一楼层，在排气道进气口处连接风机送风口（必要时采用定制的辅助风管进行连接），并做好接口处的密封。</w:t>
      </w:r>
    </w:p>
    <w:p>
      <w:pPr>
        <w:spacing w:line="360" w:lineRule="auto"/>
        <w:ind w:firstLine="480" w:firstLineChars="200"/>
        <w:rPr>
          <w:sz w:val="24"/>
        </w:rPr>
      </w:pPr>
      <w:r>
        <w:rPr>
          <w:rFonts w:hint="eastAsia"/>
          <w:sz w:val="24"/>
        </w:rPr>
        <w:t>4  采用烟雾试验，开启风机连续向排气道内吹入烟雾。</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排气道系统通风性能检测是指现场排气道系统防窜烟、防倒灌性能检测，检测时利用辅助风机和烟雾弹，向排气道内鼓吹烟雾。</w:t>
      </w:r>
    </w:p>
    <w:p>
      <w:pPr>
        <w:tabs>
          <w:tab w:val="left" w:pos="851"/>
          <w:tab w:val="left" w:pos="993"/>
        </w:tabs>
        <w:spacing w:line="360" w:lineRule="auto"/>
        <w:rPr>
          <w:sz w:val="24"/>
        </w:rPr>
      </w:pPr>
      <w:r>
        <w:rPr>
          <w:rFonts w:hint="eastAsia"/>
          <w:b/>
          <w:sz w:val="24"/>
        </w:rPr>
        <w:t>8.7.3</w:t>
      </w:r>
      <w:r>
        <w:rPr>
          <w:rFonts w:hint="eastAsia"/>
          <w:sz w:val="24"/>
        </w:rPr>
        <w:t xml:space="preserve">  排气道系统通风性能的合格指标与判定方法应符合下列规定：</w:t>
      </w:r>
    </w:p>
    <w:p>
      <w:pPr>
        <w:tabs>
          <w:tab w:val="left" w:pos="851"/>
          <w:tab w:val="left" w:pos="993"/>
        </w:tabs>
        <w:spacing w:line="360" w:lineRule="auto"/>
        <w:ind w:firstLine="480"/>
        <w:rPr>
          <w:sz w:val="24"/>
        </w:rPr>
      </w:pPr>
      <w:r>
        <w:rPr>
          <w:rFonts w:hint="eastAsia"/>
          <w:sz w:val="24"/>
        </w:rPr>
        <w:t>1  检测状态下，目测各层排气道接驳处及非开机层进气口处无烟气漏出，即不存在窜烟、倒灌现象。</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通过现场目测，观察各层排气道接驳处及非开机层进气口处是否有烟气漏出和存在窜烟、倒灌现象，并拍照留证，作为主观判断依据。</w:t>
      </w:r>
    </w:p>
    <w:p>
      <w:pPr>
        <w:widowControl/>
        <w:jc w:val="left"/>
        <w:rPr>
          <w:rFonts w:eastAsia="楷体"/>
          <w:color w:val="3016EE"/>
        </w:rPr>
      </w:pPr>
      <w:r>
        <w:rPr>
          <w:rFonts w:eastAsia="楷体"/>
          <w:color w:val="3016EE"/>
        </w:rPr>
        <w:br w:type="page"/>
      </w:r>
    </w:p>
    <w:p>
      <w:pPr>
        <w:pStyle w:val="2"/>
      </w:pPr>
      <w:bookmarkStart w:id="105" w:name="_Toc530472486"/>
      <w:bookmarkStart w:id="106" w:name="_Toc17811202"/>
      <w:r>
        <w:rPr>
          <w:rFonts w:hint="eastAsia"/>
        </w:rPr>
        <w:t>9  给水排水系统检测</w:t>
      </w:r>
      <w:bookmarkEnd w:id="105"/>
      <w:bookmarkEnd w:id="106"/>
    </w:p>
    <w:p>
      <w:pPr>
        <w:pStyle w:val="3"/>
        <w:rPr>
          <w:rFonts w:ascii="Times New Roman" w:hAnsi="Times New Roman" w:cs="Times New Roman"/>
          <w:lang w:val="zh-CN"/>
        </w:rPr>
      </w:pPr>
      <w:bookmarkStart w:id="107" w:name="_Toc17811203"/>
      <w:r>
        <w:rPr>
          <w:rFonts w:hint="eastAsia" w:ascii="Times New Roman" w:hAnsi="Times New Roman" w:cs="Times New Roman"/>
          <w:lang w:val="zh-CN"/>
        </w:rPr>
        <w:t>9</w:t>
      </w:r>
      <w:r>
        <w:rPr>
          <w:rFonts w:ascii="Times New Roman" w:hAnsi="Times New Roman" w:cs="Times New Roman"/>
          <w:lang w:val="zh-CN"/>
        </w:rPr>
        <w:t>.1  一般规定</w:t>
      </w:r>
      <w:bookmarkEnd w:id="107"/>
    </w:p>
    <w:p>
      <w:pPr>
        <w:spacing w:line="360" w:lineRule="auto"/>
        <w:rPr>
          <w:color w:val="000000" w:themeColor="text1"/>
          <w:sz w:val="24"/>
          <w14:textFill>
            <w14:solidFill>
              <w14:schemeClr w14:val="tx1"/>
            </w14:solidFill>
          </w14:textFill>
        </w:rPr>
      </w:pPr>
      <w:r>
        <w:rPr>
          <w:rFonts w:hint="eastAsia"/>
          <w:b/>
          <w:sz w:val="24"/>
        </w:rPr>
        <w:t xml:space="preserve">9.1.1 </w:t>
      </w:r>
      <w:r>
        <w:rPr>
          <w:rFonts w:hint="eastAsia"/>
          <w:color w:val="000000" w:themeColor="text1"/>
          <w:sz w:val="24"/>
          <w14:textFill>
            <w14:solidFill>
              <w14:schemeClr w14:val="tx1"/>
            </w14:solidFill>
          </w14:textFill>
        </w:rPr>
        <w:t xml:space="preserve"> 绿色建筑给水排水系统检测项目包括：生活饮用水水质、循环净化水水质、非传统水源水质、污水排放水质、供水管道漏损等检测。</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本条列举了绿色建筑给水排水系统检测涉及的检测项目。</w:t>
      </w:r>
    </w:p>
    <w:p>
      <w:pPr>
        <w:spacing w:line="360" w:lineRule="auto"/>
        <w:ind w:firstLine="480" w:firstLineChars="200"/>
        <w:rPr>
          <w:color w:val="000000" w:themeColor="text1"/>
          <w:sz w:val="24"/>
          <w14:textFill>
            <w14:solidFill>
              <w14:schemeClr w14:val="tx1"/>
            </w14:solidFill>
          </w14:textFill>
        </w:rPr>
      </w:pPr>
    </w:p>
    <w:p>
      <w:pPr>
        <w:pStyle w:val="3"/>
        <w:rPr>
          <w:rFonts w:ascii="Times New Roman" w:hAnsi="Times New Roman" w:cs="Times New Roman"/>
          <w:color w:val="000000" w:themeColor="text1"/>
          <w14:textFill>
            <w14:solidFill>
              <w14:schemeClr w14:val="tx1"/>
            </w14:solidFill>
          </w14:textFill>
        </w:rPr>
      </w:pPr>
      <w:bookmarkStart w:id="108" w:name="_Toc16776693"/>
      <w:bookmarkStart w:id="109" w:name="_Toc17811204"/>
      <w:r>
        <w:rPr>
          <w:rFonts w:hint="eastAsia" w:ascii="Times New Roman" w:hAnsi="Times New Roman" w:cs="Times New Roman"/>
          <w:color w:val="000000" w:themeColor="text1"/>
          <w:lang w:val="zh-CN"/>
          <w14:textFill>
            <w14:solidFill>
              <w14:schemeClr w14:val="tx1"/>
            </w14:solidFill>
          </w14:textFill>
        </w:rPr>
        <w:t>9</w:t>
      </w:r>
      <w:r>
        <w:rPr>
          <w:rFonts w:ascii="Times New Roman" w:hAnsi="Times New Roman" w:cs="Times New Roman"/>
          <w:color w:val="000000" w:themeColor="text1"/>
          <w:lang w:val="zh-CN"/>
          <w14:textFill>
            <w14:solidFill>
              <w14:schemeClr w14:val="tx1"/>
            </w14:solidFill>
          </w14:textFill>
        </w:rPr>
        <w:t xml:space="preserve">.2  </w:t>
      </w:r>
      <w:r>
        <w:rPr>
          <w:rFonts w:hint="eastAsia" w:ascii="Times New Roman" w:hAnsi="Times New Roman" w:cs="Times New Roman"/>
          <w:color w:val="000000" w:themeColor="text1"/>
          <w14:textFill>
            <w14:solidFill>
              <w14:schemeClr w14:val="tx1"/>
            </w14:solidFill>
          </w14:textFill>
        </w:rPr>
        <w:t>生活饮用水水质</w:t>
      </w:r>
      <w:r>
        <w:rPr>
          <w:rFonts w:ascii="Times New Roman" w:hAnsi="Times New Roman" w:cs="Times New Roman"/>
          <w:color w:val="000000" w:themeColor="text1"/>
          <w14:textFill>
            <w14:solidFill>
              <w14:schemeClr w14:val="tx1"/>
            </w14:solidFill>
          </w14:textFill>
        </w:rPr>
        <w:t>检测</w:t>
      </w:r>
      <w:bookmarkEnd w:id="108"/>
      <w:bookmarkEnd w:id="109"/>
    </w:p>
    <w:p>
      <w:pPr>
        <w:spacing w:line="360" w:lineRule="auto"/>
        <w:rPr>
          <w:sz w:val="24"/>
        </w:rPr>
      </w:pPr>
      <w:r>
        <w:rPr>
          <w:rFonts w:hint="eastAsia"/>
          <w:b/>
          <w:sz w:val="24"/>
        </w:rPr>
        <w:t>9</w:t>
      </w:r>
      <w:r>
        <w:rPr>
          <w:b/>
          <w:sz w:val="24"/>
        </w:rPr>
        <w:t>.2.1</w:t>
      </w:r>
      <w:r>
        <w:rPr>
          <w:rFonts w:hint="eastAsia"/>
          <w:sz w:val="24"/>
        </w:rPr>
        <w:t>生活饮用水水质的检测应以建筑数量为受检样本数量基数，最小抽样检测数量按本标准表3.0.3规定执行，受检样本水质</w:t>
      </w:r>
      <w:r>
        <w:rPr>
          <w:sz w:val="24"/>
        </w:rPr>
        <w:t>不少于</w:t>
      </w:r>
      <w:r>
        <w:rPr>
          <w:rFonts w:hint="eastAsia"/>
          <w:sz w:val="24"/>
        </w:rPr>
        <w:t>1组</w:t>
      </w:r>
      <w:r>
        <w:rPr>
          <w:sz w:val="24"/>
        </w:rPr>
        <w:t>。</w:t>
      </w:r>
      <w:r>
        <w:rPr>
          <w:rFonts w:hint="eastAsia"/>
          <w:sz w:val="24"/>
        </w:rPr>
        <w:t>当受检样本供水</w:t>
      </w:r>
      <w:r>
        <w:rPr>
          <w:sz w:val="24"/>
        </w:rPr>
        <w:t>方式有</w:t>
      </w:r>
      <w:r>
        <w:rPr>
          <w:rFonts w:hint="eastAsia"/>
          <w:sz w:val="24"/>
        </w:rPr>
        <w:t>直</w:t>
      </w:r>
      <w:r>
        <w:rPr>
          <w:sz w:val="24"/>
        </w:rPr>
        <w:t>供水和二次供水</w:t>
      </w:r>
      <w:r>
        <w:rPr>
          <w:rFonts w:hint="eastAsia"/>
          <w:sz w:val="24"/>
        </w:rPr>
        <w:t>时</w:t>
      </w:r>
      <w:r>
        <w:rPr>
          <w:sz w:val="24"/>
        </w:rPr>
        <w:t>，直供水和二次供水</w:t>
      </w:r>
      <w:r>
        <w:rPr>
          <w:rFonts w:hint="eastAsia"/>
          <w:sz w:val="24"/>
        </w:rPr>
        <w:t>水质</w:t>
      </w:r>
      <w:r>
        <w:rPr>
          <w:sz w:val="24"/>
        </w:rPr>
        <w:t>各</w:t>
      </w:r>
      <w:r>
        <w:rPr>
          <w:rFonts w:hint="eastAsia"/>
          <w:sz w:val="24"/>
        </w:rPr>
        <w:t>不少于1组。</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一般</w:t>
      </w:r>
      <w:r>
        <w:rPr>
          <w:rFonts w:eastAsia="楷体"/>
          <w:color w:val="3016EE"/>
        </w:rPr>
        <w:t>建筑</w:t>
      </w:r>
      <w:r>
        <w:rPr>
          <w:rFonts w:hint="eastAsia" w:eastAsia="楷体"/>
          <w:color w:val="3016EE"/>
        </w:rPr>
        <w:t>楼层1-3层内</w:t>
      </w:r>
      <w:r>
        <w:rPr>
          <w:rFonts w:eastAsia="楷体"/>
          <w:color w:val="3016EE"/>
        </w:rPr>
        <w:t>的供水方式为</w:t>
      </w:r>
      <w:r>
        <w:rPr>
          <w:rFonts w:hint="eastAsia" w:eastAsia="楷体"/>
          <w:color w:val="3016EE"/>
        </w:rPr>
        <w:t>直供水</w:t>
      </w:r>
      <w:r>
        <w:rPr>
          <w:rFonts w:eastAsia="楷体"/>
          <w:color w:val="3016EE"/>
        </w:rPr>
        <w:t>，三层以上为二次供水</w:t>
      </w:r>
      <w:r>
        <w:rPr>
          <w:rFonts w:hint="eastAsia" w:eastAsia="楷体"/>
          <w:color w:val="3016EE"/>
        </w:rPr>
        <w:t>。为了保证</w:t>
      </w:r>
      <w:r>
        <w:rPr>
          <w:rFonts w:eastAsia="楷体"/>
          <w:color w:val="3016EE"/>
        </w:rPr>
        <w:t>整栋建筑水质的质量，需对</w:t>
      </w:r>
      <w:r>
        <w:rPr>
          <w:rFonts w:hint="eastAsia" w:eastAsia="楷体"/>
          <w:color w:val="3016EE"/>
        </w:rPr>
        <w:t>直供水和</w:t>
      </w:r>
      <w:r>
        <w:rPr>
          <w:rFonts w:eastAsia="楷体"/>
          <w:color w:val="3016EE"/>
        </w:rPr>
        <w:t>二次供水水质</w:t>
      </w:r>
      <w:r>
        <w:rPr>
          <w:rFonts w:hint="eastAsia" w:eastAsia="楷体"/>
          <w:color w:val="3016EE"/>
        </w:rPr>
        <w:t>抽样</w:t>
      </w:r>
      <w:r>
        <w:rPr>
          <w:rFonts w:eastAsia="楷体"/>
          <w:color w:val="3016EE"/>
        </w:rPr>
        <w:t>检测。</w:t>
      </w:r>
    </w:p>
    <w:p>
      <w:pPr>
        <w:spacing w:line="360" w:lineRule="auto"/>
        <w:rPr>
          <w:sz w:val="24"/>
        </w:rPr>
      </w:pPr>
      <w:r>
        <w:rPr>
          <w:b/>
          <w:sz w:val="24"/>
        </w:rPr>
        <w:t>9</w:t>
      </w:r>
      <w:r>
        <w:rPr>
          <w:rFonts w:hint="eastAsia"/>
          <w:b/>
          <w:sz w:val="24"/>
        </w:rPr>
        <w:t>.2.</w:t>
      </w:r>
      <w:r>
        <w:rPr>
          <w:b/>
          <w:sz w:val="24"/>
        </w:rPr>
        <w:t>2</w:t>
      </w:r>
      <w:r>
        <w:rPr>
          <w:rFonts w:hint="eastAsia"/>
          <w:sz w:val="24"/>
        </w:rPr>
        <w:t xml:space="preserve">  生活饮用水水质的检测方法应符合现行国家标准《生活饮用水标准检验方法》GB</w:t>
      </w:r>
      <w:r>
        <w:rPr>
          <w:sz w:val="24"/>
        </w:rPr>
        <w:t>/</w:t>
      </w:r>
      <w:r>
        <w:rPr>
          <w:rFonts w:hint="eastAsia"/>
          <w:sz w:val="24"/>
        </w:rPr>
        <w:t>T 5750的规定。</w:t>
      </w:r>
    </w:p>
    <w:p>
      <w:pPr>
        <w:spacing w:line="360" w:lineRule="auto"/>
        <w:rPr>
          <w:color w:val="000000" w:themeColor="text1"/>
          <w:sz w:val="24"/>
          <w14:textFill>
            <w14:solidFill>
              <w14:schemeClr w14:val="tx1"/>
            </w14:solidFill>
          </w14:textFill>
        </w:rPr>
      </w:pPr>
      <w:r>
        <w:rPr>
          <w:b/>
          <w:sz w:val="24"/>
        </w:rPr>
        <w:t>9</w:t>
      </w:r>
      <w:r>
        <w:rPr>
          <w:rFonts w:hint="eastAsia"/>
          <w:b/>
          <w:sz w:val="24"/>
        </w:rPr>
        <w:t>.2.</w:t>
      </w:r>
      <w:r>
        <w:rPr>
          <w:b/>
          <w:sz w:val="24"/>
        </w:rPr>
        <w:t>3</w:t>
      </w:r>
      <w:r>
        <w:rPr>
          <w:rFonts w:hint="eastAsia"/>
          <w:sz w:val="24"/>
        </w:rPr>
        <w:t xml:space="preserve">  生活饮用水水质</w:t>
      </w:r>
      <w:r>
        <w:rPr>
          <w:rFonts w:hint="eastAsia"/>
          <w:color w:val="000000" w:themeColor="text1"/>
          <w:sz w:val="24"/>
          <w14:textFill>
            <w14:solidFill>
              <w14:schemeClr w14:val="tx1"/>
            </w14:solidFill>
          </w14:textFill>
        </w:rPr>
        <w:t>的合格指标与判定方法应符合下列</w:t>
      </w:r>
      <w:r>
        <w:rPr>
          <w:color w:val="000000" w:themeColor="text1"/>
          <w:sz w:val="24"/>
          <w14:textFill>
            <w14:solidFill>
              <w14:schemeClr w14:val="tx1"/>
            </w14:solidFill>
          </w14:textFill>
        </w:rPr>
        <w:t>规定：</w:t>
      </w:r>
    </w:p>
    <w:p>
      <w:pPr>
        <w:spacing w:line="360" w:lineRule="auto"/>
        <w:ind w:firstLine="720" w:firstLineChars="300"/>
        <w:rPr>
          <w:sz w:val="24"/>
        </w:rPr>
      </w:pP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 xml:space="preserve"> </w:t>
      </w:r>
      <w:r>
        <w:rPr>
          <w:rFonts w:hint="eastAsia"/>
          <w:sz w:val="24"/>
        </w:rPr>
        <w:t>生活饮用水水质的</w:t>
      </w:r>
      <w:r>
        <w:rPr>
          <w:sz w:val="24"/>
        </w:rPr>
        <w:t>常规指标应符</w:t>
      </w:r>
      <w:r>
        <w:rPr>
          <w:color w:val="000000" w:themeColor="text1"/>
          <w:sz w:val="24"/>
          <w14:textFill>
            <w14:solidFill>
              <w14:schemeClr w14:val="tx1"/>
            </w14:solidFill>
          </w14:textFill>
        </w:rPr>
        <w:t>合</w:t>
      </w:r>
      <w:r>
        <w:rPr>
          <w:rFonts w:hint="eastAsia"/>
          <w:color w:val="000000" w:themeColor="text1"/>
          <w:sz w:val="24"/>
          <w14:textFill>
            <w14:solidFill>
              <w14:schemeClr w14:val="tx1"/>
            </w14:solidFill>
          </w14:textFill>
        </w:rPr>
        <w:t>现行国家标</w:t>
      </w:r>
      <w:r>
        <w:rPr>
          <w:rFonts w:hint="eastAsia"/>
          <w:sz w:val="24"/>
        </w:rPr>
        <w:t>准《生活饮用水水质标准》GB5749的规定。</w:t>
      </w:r>
    </w:p>
    <w:p>
      <w:pPr>
        <w:spacing w:line="360" w:lineRule="auto"/>
        <w:ind w:firstLine="720" w:firstLineChars="3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eastAsia="楷体"/>
          <w:color w:val="3016EE"/>
        </w:rPr>
        <w:t>生活饮用水用水点出水水质的常规指标应符合现行国家标准《生活饮用水卫生标准》</w:t>
      </w:r>
      <w:r>
        <w:rPr>
          <w:rFonts w:hint="eastAsia" w:eastAsia="楷体"/>
          <w:color w:val="3016EE"/>
        </w:rPr>
        <w:t>GB 5749</w:t>
      </w:r>
      <w:r>
        <w:rPr>
          <w:rFonts w:eastAsia="楷体"/>
          <w:color w:val="3016EE"/>
        </w:rPr>
        <w:t>的规定。</w:t>
      </w:r>
    </w:p>
    <w:p>
      <w:pPr>
        <w:spacing w:line="360" w:lineRule="auto"/>
        <w:ind w:firstLine="420" w:firstLineChars="200"/>
        <w:rPr>
          <w:rFonts w:eastAsia="楷体"/>
          <w:color w:val="3016EE"/>
        </w:rPr>
      </w:pPr>
    </w:p>
    <w:p>
      <w:pPr>
        <w:pStyle w:val="3"/>
      </w:pPr>
      <w:bookmarkStart w:id="110" w:name="_Toc16776694"/>
      <w:bookmarkStart w:id="111" w:name="_Toc17811205"/>
      <w:r>
        <w:rPr>
          <w:rFonts w:hint="eastAsia"/>
        </w:rPr>
        <w:t>9.3  循环净化水水质检测</w:t>
      </w:r>
      <w:bookmarkEnd w:id="110"/>
      <w:bookmarkEnd w:id="111"/>
    </w:p>
    <w:p>
      <w:pPr>
        <w:spacing w:line="360" w:lineRule="auto"/>
        <w:rPr>
          <w:sz w:val="24"/>
        </w:rPr>
      </w:pPr>
      <w:r>
        <w:rPr>
          <w:rFonts w:hint="eastAsia"/>
          <w:b/>
          <w:sz w:val="24"/>
        </w:rPr>
        <w:t>9</w:t>
      </w:r>
      <w:r>
        <w:rPr>
          <w:b/>
          <w:sz w:val="24"/>
        </w:rPr>
        <w:t>.</w:t>
      </w:r>
      <w:r>
        <w:rPr>
          <w:rFonts w:hint="eastAsia"/>
          <w:b/>
          <w:sz w:val="24"/>
        </w:rPr>
        <w:t>3</w:t>
      </w:r>
      <w:r>
        <w:rPr>
          <w:b/>
          <w:sz w:val="24"/>
        </w:rPr>
        <w:t>.1</w:t>
      </w:r>
      <w:r>
        <w:rPr>
          <w:rFonts w:hint="eastAsia"/>
          <w:sz w:val="24"/>
        </w:rPr>
        <w:t>游泳</w:t>
      </w:r>
      <w:r>
        <w:rPr>
          <w:sz w:val="24"/>
        </w:rPr>
        <w:t>场所</w:t>
      </w:r>
      <w:r>
        <w:rPr>
          <w:rFonts w:hint="eastAsia"/>
          <w:sz w:val="24"/>
        </w:rPr>
        <w:t>循环净化水水质的检测应以游泳池（馆）数量为受检样本数量基数，最小抽样检测数量按本标准表3.0.3规定执行，且</w:t>
      </w:r>
      <w:r>
        <w:rPr>
          <w:sz w:val="24"/>
        </w:rPr>
        <w:t>各种</w:t>
      </w:r>
      <w:r>
        <w:rPr>
          <w:rFonts w:hint="eastAsia"/>
          <w:sz w:val="24"/>
        </w:rPr>
        <w:t>受检样本水质</w:t>
      </w:r>
      <w:r>
        <w:rPr>
          <w:sz w:val="24"/>
        </w:rPr>
        <w:t>不少于</w:t>
      </w:r>
      <w:r>
        <w:rPr>
          <w:rFonts w:hint="eastAsia"/>
          <w:sz w:val="24"/>
        </w:rPr>
        <w:t>1组</w:t>
      </w:r>
      <w:r>
        <w:rPr>
          <w:sz w:val="24"/>
        </w:rPr>
        <w:t>。</w:t>
      </w:r>
    </w:p>
    <w:p>
      <w:pPr>
        <w:pStyle w:val="27"/>
        <w:ind w:firstLine="0" w:firstLineChars="0"/>
      </w:pPr>
      <w:r>
        <w:rPr>
          <w:rFonts w:hint="eastAsia"/>
        </w:rPr>
        <w:t>【条文说明】</w:t>
      </w:r>
    </w:p>
    <w:p>
      <w:pPr>
        <w:pStyle w:val="27"/>
        <w:ind w:firstLine="420"/>
      </w:pPr>
      <w:r>
        <w:rPr>
          <w:rFonts w:hint="eastAsia"/>
        </w:rPr>
        <w:t>对于游泳</w:t>
      </w:r>
      <w:r>
        <w:t>场所</w:t>
      </w:r>
      <w:r>
        <w:rPr>
          <w:rFonts w:hint="eastAsia"/>
        </w:rPr>
        <w:t>循环净化水水质检测</w:t>
      </w:r>
      <w:r>
        <w:t>，以单个游泳池为受</w:t>
      </w:r>
      <w:r>
        <w:rPr>
          <w:rFonts w:hint="eastAsia"/>
        </w:rPr>
        <w:t>检</w:t>
      </w:r>
      <w:r>
        <w:t>样本数量基数，</w:t>
      </w:r>
      <w:r>
        <w:rPr>
          <w:rFonts w:hint="eastAsia"/>
        </w:rPr>
        <w:t>如</w:t>
      </w:r>
      <w:r>
        <w:t>儿童池、成人池等，均视为单个游泳池。</w:t>
      </w:r>
      <w:r>
        <w:rPr>
          <w:rFonts w:hint="eastAsia"/>
        </w:rPr>
        <w:t>各种</w:t>
      </w:r>
      <w:r>
        <w:t>不同游泳池抽检水质不少于</w:t>
      </w:r>
      <w:r>
        <w:rPr>
          <w:rFonts w:hint="eastAsia"/>
        </w:rPr>
        <w:t>1组</w:t>
      </w:r>
      <w:r>
        <w:t>。</w:t>
      </w:r>
    </w:p>
    <w:p>
      <w:pPr>
        <w:spacing w:line="360" w:lineRule="auto"/>
        <w:rPr>
          <w:sz w:val="24"/>
        </w:rPr>
      </w:pPr>
      <w:r>
        <w:rPr>
          <w:b/>
          <w:sz w:val="24"/>
        </w:rPr>
        <w:t>9</w:t>
      </w:r>
      <w:r>
        <w:rPr>
          <w:rFonts w:hint="eastAsia"/>
          <w:b/>
          <w:sz w:val="24"/>
        </w:rPr>
        <w:t>.3.</w:t>
      </w:r>
      <w:r>
        <w:rPr>
          <w:b/>
          <w:sz w:val="24"/>
        </w:rPr>
        <w:t>2</w:t>
      </w:r>
      <w:r>
        <w:rPr>
          <w:rFonts w:hint="eastAsia"/>
          <w:sz w:val="24"/>
        </w:rPr>
        <w:t xml:space="preserve">  游泳</w:t>
      </w:r>
      <w:r>
        <w:rPr>
          <w:sz w:val="24"/>
        </w:rPr>
        <w:t>场所</w:t>
      </w:r>
      <w:r>
        <w:rPr>
          <w:rFonts w:hint="eastAsia"/>
          <w:sz w:val="24"/>
        </w:rPr>
        <w:t>循环净化水水质的检测方法应符合下列</w:t>
      </w:r>
      <w:r>
        <w:rPr>
          <w:sz w:val="24"/>
        </w:rPr>
        <w:t>规定：</w:t>
      </w:r>
    </w:p>
    <w:p>
      <w:pPr>
        <w:pStyle w:val="27"/>
        <w:ind w:firstLine="480"/>
        <w:rPr>
          <w:rFonts w:eastAsia="宋体"/>
          <w:color w:val="auto"/>
          <w:sz w:val="24"/>
        </w:rPr>
      </w:pPr>
      <w:r>
        <w:rPr>
          <w:rFonts w:hint="eastAsia" w:eastAsia="宋体"/>
          <w:color w:val="auto"/>
          <w:sz w:val="24"/>
        </w:rPr>
        <w:t>1</w:t>
      </w:r>
      <w:r>
        <w:rPr>
          <w:rFonts w:eastAsia="宋体"/>
          <w:color w:val="auto"/>
          <w:sz w:val="24"/>
        </w:rPr>
        <w:t xml:space="preserve"> 池</w:t>
      </w:r>
      <w:r>
        <w:rPr>
          <w:rFonts w:hint="eastAsia" w:eastAsia="宋体"/>
          <w:color w:val="auto"/>
          <w:sz w:val="24"/>
        </w:rPr>
        <w:t>水</w:t>
      </w:r>
      <w:r>
        <w:rPr>
          <w:rFonts w:eastAsia="宋体"/>
          <w:color w:val="auto"/>
          <w:sz w:val="24"/>
        </w:rPr>
        <w:t>温度、</w:t>
      </w:r>
      <w:r>
        <w:rPr>
          <w:rFonts w:hint="eastAsia" w:eastAsia="宋体"/>
          <w:color w:val="auto"/>
          <w:sz w:val="24"/>
        </w:rPr>
        <w:t>池水</w:t>
      </w:r>
      <w:r>
        <w:rPr>
          <w:rFonts w:eastAsia="宋体"/>
          <w:color w:val="auto"/>
          <w:sz w:val="24"/>
        </w:rPr>
        <w:t>透明度</w:t>
      </w:r>
      <w:r>
        <w:rPr>
          <w:rFonts w:hint="eastAsia" w:eastAsia="宋体"/>
          <w:color w:val="auto"/>
          <w:sz w:val="24"/>
        </w:rPr>
        <w:t>的</w:t>
      </w:r>
      <w:r>
        <w:rPr>
          <w:rFonts w:eastAsia="宋体"/>
          <w:color w:val="auto"/>
          <w:sz w:val="24"/>
        </w:rPr>
        <w:t>检测方法应符合</w:t>
      </w:r>
      <w:r>
        <w:rPr>
          <w:rFonts w:hint="eastAsia" w:eastAsia="宋体"/>
          <w:color w:val="auto"/>
          <w:sz w:val="24"/>
        </w:rPr>
        <w:t>现行国家标准《公共场所卫生检验方法 第1部分：物理因素》GB/T 18204.1的</w:t>
      </w:r>
      <w:r>
        <w:rPr>
          <w:rFonts w:eastAsia="宋体"/>
          <w:color w:val="auto"/>
          <w:sz w:val="24"/>
        </w:rPr>
        <w:t>规定；</w:t>
      </w:r>
    </w:p>
    <w:p>
      <w:pPr>
        <w:pStyle w:val="27"/>
        <w:ind w:firstLine="480"/>
        <w:rPr>
          <w:rFonts w:eastAsia="宋体"/>
          <w:color w:val="auto"/>
          <w:sz w:val="24"/>
        </w:rPr>
      </w:pPr>
      <w:r>
        <w:rPr>
          <w:rFonts w:eastAsia="宋体"/>
          <w:color w:val="auto"/>
          <w:sz w:val="24"/>
        </w:rPr>
        <w:t xml:space="preserve">2 </w:t>
      </w:r>
      <w:r>
        <w:rPr>
          <w:rFonts w:hint="eastAsia" w:eastAsia="宋体"/>
          <w:color w:val="auto"/>
          <w:sz w:val="24"/>
        </w:rPr>
        <w:t>尿素的</w:t>
      </w:r>
      <w:r>
        <w:rPr>
          <w:rFonts w:eastAsia="宋体"/>
          <w:color w:val="auto"/>
          <w:sz w:val="24"/>
        </w:rPr>
        <w:t>检测方法应符合</w:t>
      </w:r>
      <w:r>
        <w:rPr>
          <w:rFonts w:hint="eastAsia" w:eastAsia="宋体"/>
          <w:color w:val="auto"/>
          <w:sz w:val="24"/>
        </w:rPr>
        <w:t>现行国家标准《公共场所卫生检验方法 第2部分：化学污染物》GB/T 18204.2的</w:t>
      </w:r>
      <w:r>
        <w:rPr>
          <w:rFonts w:eastAsia="宋体"/>
          <w:color w:val="auto"/>
          <w:sz w:val="24"/>
        </w:rPr>
        <w:t>规定；</w:t>
      </w:r>
    </w:p>
    <w:p>
      <w:pPr>
        <w:pStyle w:val="27"/>
        <w:ind w:firstLine="480"/>
        <w:rPr>
          <w:rFonts w:eastAsia="宋体"/>
          <w:color w:val="auto"/>
          <w:sz w:val="24"/>
        </w:rPr>
      </w:pPr>
      <w:r>
        <w:rPr>
          <w:rFonts w:eastAsia="宋体"/>
          <w:color w:val="auto"/>
          <w:sz w:val="24"/>
        </w:rPr>
        <w:t xml:space="preserve">3 </w:t>
      </w:r>
      <w:r>
        <w:rPr>
          <w:rFonts w:hint="eastAsia" w:eastAsia="宋体"/>
          <w:color w:val="auto"/>
          <w:sz w:val="24"/>
        </w:rPr>
        <w:t>细菌的</w:t>
      </w:r>
      <w:r>
        <w:rPr>
          <w:rFonts w:eastAsia="宋体"/>
          <w:color w:val="auto"/>
          <w:sz w:val="24"/>
        </w:rPr>
        <w:t>检测方法应符合</w:t>
      </w:r>
      <w:r>
        <w:rPr>
          <w:rFonts w:hint="eastAsia" w:eastAsia="宋体"/>
          <w:color w:val="auto"/>
          <w:sz w:val="24"/>
        </w:rPr>
        <w:t>现行国家标准《游泳池水微生物检验方法细菌总数测定》GB/T 18204.9的</w:t>
      </w:r>
      <w:r>
        <w:rPr>
          <w:rFonts w:eastAsia="宋体"/>
          <w:color w:val="auto"/>
          <w:sz w:val="24"/>
        </w:rPr>
        <w:t>规定；</w:t>
      </w:r>
    </w:p>
    <w:p>
      <w:pPr>
        <w:pStyle w:val="27"/>
        <w:ind w:firstLine="480"/>
        <w:rPr>
          <w:rFonts w:eastAsia="宋体"/>
          <w:color w:val="auto"/>
          <w:sz w:val="24"/>
        </w:rPr>
      </w:pPr>
      <w:r>
        <w:rPr>
          <w:rFonts w:eastAsia="宋体"/>
          <w:color w:val="auto"/>
          <w:sz w:val="24"/>
        </w:rPr>
        <w:t xml:space="preserve">4 </w:t>
      </w:r>
      <w:r>
        <w:rPr>
          <w:rFonts w:hint="eastAsia" w:eastAsia="宋体"/>
          <w:color w:val="auto"/>
          <w:sz w:val="24"/>
        </w:rPr>
        <w:t>大肠菌群的</w:t>
      </w:r>
      <w:r>
        <w:rPr>
          <w:rFonts w:eastAsia="宋体"/>
          <w:color w:val="auto"/>
          <w:sz w:val="24"/>
        </w:rPr>
        <w:t>检测方法应符合</w:t>
      </w:r>
      <w:r>
        <w:rPr>
          <w:rFonts w:hint="eastAsia" w:eastAsia="宋体"/>
          <w:color w:val="auto"/>
          <w:sz w:val="24"/>
        </w:rPr>
        <w:t>现行国家标准《游泳池水微生物检验方法大肠菌群测定》GB/T 18204.1</w:t>
      </w:r>
      <w:r>
        <w:rPr>
          <w:rFonts w:eastAsia="宋体"/>
          <w:color w:val="auto"/>
          <w:sz w:val="24"/>
        </w:rPr>
        <w:t>0</w:t>
      </w:r>
      <w:r>
        <w:rPr>
          <w:rFonts w:hint="eastAsia" w:eastAsia="宋体"/>
          <w:color w:val="auto"/>
          <w:sz w:val="24"/>
        </w:rPr>
        <w:t>的</w:t>
      </w:r>
      <w:r>
        <w:rPr>
          <w:rFonts w:eastAsia="宋体"/>
          <w:color w:val="auto"/>
          <w:sz w:val="24"/>
        </w:rPr>
        <w:t>规定</w:t>
      </w:r>
      <w:r>
        <w:rPr>
          <w:rFonts w:hint="eastAsia" w:eastAsia="宋体"/>
          <w:color w:val="auto"/>
          <w:sz w:val="24"/>
        </w:rPr>
        <w:t>。</w:t>
      </w:r>
    </w:p>
    <w:p>
      <w:pPr>
        <w:pStyle w:val="27"/>
        <w:ind w:firstLine="0" w:firstLineChars="0"/>
      </w:pPr>
      <w:r>
        <w:rPr>
          <w:rFonts w:hint="eastAsia"/>
        </w:rPr>
        <w:t>【条文说明】</w:t>
      </w:r>
    </w:p>
    <w:p>
      <w:pPr>
        <w:pStyle w:val="27"/>
        <w:ind w:firstLine="420"/>
      </w:pPr>
      <w:r>
        <w:rPr>
          <w:rFonts w:hint="eastAsia"/>
        </w:rPr>
        <w:t>本条</w:t>
      </w:r>
      <w:r>
        <w:t>主要对</w:t>
      </w:r>
      <w:r>
        <w:rPr>
          <w:rFonts w:hint="eastAsia"/>
        </w:rPr>
        <w:t>游泳</w:t>
      </w:r>
      <w:r>
        <w:t>场所</w:t>
      </w:r>
      <w:r>
        <w:rPr>
          <w:rFonts w:hint="eastAsia"/>
        </w:rPr>
        <w:t>循环净化水水质的</w:t>
      </w:r>
      <w:r>
        <w:t>池</w:t>
      </w:r>
      <w:r>
        <w:rPr>
          <w:rFonts w:hint="eastAsia"/>
        </w:rPr>
        <w:t>水</w:t>
      </w:r>
      <w:r>
        <w:t>温度、</w:t>
      </w:r>
      <w:r>
        <w:rPr>
          <w:rFonts w:hint="eastAsia"/>
        </w:rPr>
        <w:t>池水</w:t>
      </w:r>
      <w:r>
        <w:t>透明度</w:t>
      </w:r>
      <w:r>
        <w:rPr>
          <w:rFonts w:hint="eastAsia"/>
        </w:rPr>
        <w:t>、尿素、细菌、大肠菌群等5个</w:t>
      </w:r>
      <w:r>
        <w:t>比较重要指标</w:t>
      </w:r>
      <w:r>
        <w:rPr>
          <w:rFonts w:hint="eastAsia"/>
        </w:rPr>
        <w:t>的</w:t>
      </w:r>
      <w:r>
        <w:t>检测方法</w:t>
      </w:r>
      <w:r>
        <w:rPr>
          <w:rFonts w:hint="eastAsia"/>
        </w:rPr>
        <w:t>进行明确</w:t>
      </w:r>
      <w:r>
        <w:t>，其他</w:t>
      </w:r>
      <w:r>
        <w:rPr>
          <w:rFonts w:hint="eastAsia"/>
        </w:rPr>
        <w:t>水质</w:t>
      </w:r>
      <w:r>
        <w:t>指标</w:t>
      </w:r>
      <w:r>
        <w:rPr>
          <w:rFonts w:hint="eastAsia"/>
        </w:rPr>
        <w:t>的</w:t>
      </w:r>
      <w:r>
        <w:t>检测方法可参考其他相关标准。</w:t>
      </w:r>
    </w:p>
    <w:p>
      <w:pPr>
        <w:spacing w:line="360" w:lineRule="auto"/>
        <w:rPr>
          <w:color w:val="000000" w:themeColor="text1"/>
          <w:sz w:val="24"/>
          <w14:textFill>
            <w14:solidFill>
              <w14:schemeClr w14:val="tx1"/>
            </w14:solidFill>
          </w14:textFill>
        </w:rPr>
      </w:pPr>
      <w:r>
        <w:rPr>
          <w:b/>
          <w:sz w:val="24"/>
        </w:rPr>
        <w:t>9</w:t>
      </w:r>
      <w:r>
        <w:rPr>
          <w:rFonts w:hint="eastAsia"/>
          <w:b/>
          <w:sz w:val="24"/>
        </w:rPr>
        <w:t>.3.</w:t>
      </w:r>
      <w:r>
        <w:rPr>
          <w:b/>
          <w:sz w:val="24"/>
        </w:rPr>
        <w:t>3</w:t>
      </w:r>
      <w:r>
        <w:rPr>
          <w:rFonts w:hint="eastAsia"/>
          <w:sz w:val="24"/>
        </w:rPr>
        <w:t xml:space="preserve">  游泳</w:t>
      </w:r>
      <w:r>
        <w:rPr>
          <w:sz w:val="24"/>
        </w:rPr>
        <w:t>场所</w:t>
      </w:r>
      <w:r>
        <w:rPr>
          <w:rFonts w:hint="eastAsia"/>
          <w:sz w:val="24"/>
        </w:rPr>
        <w:t>循环净化水水质</w:t>
      </w:r>
      <w:r>
        <w:rPr>
          <w:rFonts w:hint="eastAsia"/>
          <w:color w:val="000000" w:themeColor="text1"/>
          <w:sz w:val="24"/>
          <w14:textFill>
            <w14:solidFill>
              <w14:schemeClr w14:val="tx1"/>
            </w14:solidFill>
          </w14:textFill>
        </w:rPr>
        <w:t>的合格指标与判定方法应符合下列</w:t>
      </w:r>
      <w:r>
        <w:rPr>
          <w:color w:val="000000" w:themeColor="text1"/>
          <w:sz w:val="24"/>
          <w14:textFill>
            <w14:solidFill>
              <w14:schemeClr w14:val="tx1"/>
            </w14:solidFill>
          </w14:textFill>
        </w:rPr>
        <w:t>规定：</w:t>
      </w:r>
    </w:p>
    <w:p>
      <w:pPr>
        <w:spacing w:line="360" w:lineRule="auto"/>
        <w:ind w:firstLine="480" w:firstLineChars="200"/>
        <w:rPr>
          <w:sz w:val="24"/>
        </w:rPr>
      </w:pP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 xml:space="preserve"> </w:t>
      </w:r>
      <w:r>
        <w:rPr>
          <w:rFonts w:hint="eastAsia"/>
          <w:sz w:val="24"/>
        </w:rPr>
        <w:t>游泳</w:t>
      </w:r>
      <w:r>
        <w:rPr>
          <w:sz w:val="24"/>
        </w:rPr>
        <w:t>场所</w:t>
      </w:r>
      <w:r>
        <w:rPr>
          <w:rFonts w:hint="eastAsia"/>
          <w:sz w:val="24"/>
        </w:rPr>
        <w:t>循环净化水水质</w:t>
      </w:r>
      <w:r>
        <w:rPr>
          <w:sz w:val="24"/>
        </w:rPr>
        <w:t>应符</w:t>
      </w:r>
      <w:r>
        <w:rPr>
          <w:color w:val="000000" w:themeColor="text1"/>
          <w:sz w:val="24"/>
          <w14:textFill>
            <w14:solidFill>
              <w14:schemeClr w14:val="tx1"/>
            </w14:solidFill>
          </w14:textFill>
        </w:rPr>
        <w:t>合</w:t>
      </w:r>
      <w:r>
        <w:rPr>
          <w:rFonts w:hint="eastAsia"/>
          <w:color w:val="000000" w:themeColor="text1"/>
          <w:sz w:val="24"/>
          <w14:textFill>
            <w14:solidFill>
              <w14:schemeClr w14:val="tx1"/>
            </w14:solidFill>
          </w14:textFill>
        </w:rPr>
        <w:t>现行国家标</w:t>
      </w:r>
      <w:r>
        <w:rPr>
          <w:rFonts w:hint="eastAsia"/>
          <w:sz w:val="24"/>
        </w:rPr>
        <w:t>准《游泳场所卫生标准》GB 9667的规定。</w:t>
      </w:r>
    </w:p>
    <w:p>
      <w:pPr>
        <w:spacing w:line="360" w:lineRule="auto"/>
        <w:ind w:firstLine="480" w:firstLineChars="20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2 </w:t>
      </w:r>
      <w:r>
        <w:rPr>
          <w:rFonts w:hint="eastAsia"/>
          <w:color w:val="000000" w:themeColor="text1"/>
          <w:sz w:val="24"/>
          <w14:textFill>
            <w14:solidFill>
              <w14:schemeClr w14:val="tx1"/>
            </w14:solidFill>
          </w14:textFill>
        </w:rPr>
        <w:t xml:space="preserve"> 当检测结果符合本条第</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款的规定时，应判定为合格。</w:t>
      </w:r>
    </w:p>
    <w:p>
      <w:pPr>
        <w:spacing w:line="360" w:lineRule="auto"/>
        <w:ind w:firstLine="480" w:firstLineChars="200"/>
        <w:rPr>
          <w:color w:val="000000" w:themeColor="text1"/>
          <w:sz w:val="24"/>
          <w14:textFill>
            <w14:solidFill>
              <w14:schemeClr w14:val="tx1"/>
            </w14:solidFill>
          </w14:textFill>
        </w:rPr>
      </w:pPr>
    </w:p>
    <w:p>
      <w:pPr>
        <w:pStyle w:val="3"/>
      </w:pPr>
      <w:bookmarkStart w:id="112" w:name="_Toc16776695"/>
      <w:bookmarkStart w:id="113" w:name="_Toc17811206"/>
      <w:r>
        <w:rPr>
          <w:rFonts w:hint="eastAsia"/>
        </w:rPr>
        <w:t>9.4  非传统水源水质检测</w:t>
      </w:r>
      <w:bookmarkEnd w:id="112"/>
      <w:bookmarkEnd w:id="113"/>
    </w:p>
    <w:p>
      <w:pPr>
        <w:spacing w:line="360" w:lineRule="auto"/>
        <w:rPr>
          <w:color w:val="000000" w:themeColor="text1"/>
          <w:sz w:val="24"/>
          <w14:textFill>
            <w14:solidFill>
              <w14:schemeClr w14:val="tx1"/>
            </w14:solidFill>
          </w14:textFill>
        </w:rPr>
      </w:pPr>
      <w:r>
        <w:rPr>
          <w:rFonts w:hint="eastAsia"/>
          <w:b/>
          <w:sz w:val="24"/>
        </w:rPr>
        <w:t>9.</w:t>
      </w:r>
      <w:r>
        <w:rPr>
          <w:b/>
          <w:sz w:val="24"/>
        </w:rPr>
        <w:t>4</w:t>
      </w:r>
      <w:r>
        <w:rPr>
          <w:rFonts w:hint="eastAsia"/>
          <w:b/>
          <w:sz w:val="24"/>
        </w:rPr>
        <w:t>.</w:t>
      </w:r>
      <w:r>
        <w:rPr>
          <w:b/>
          <w:sz w:val="24"/>
        </w:rPr>
        <w:t>1</w:t>
      </w:r>
      <w:r>
        <w:rPr>
          <w:rFonts w:hint="eastAsia"/>
          <w:b/>
          <w:sz w:val="24"/>
        </w:rPr>
        <w:t xml:space="preserve"> </w:t>
      </w:r>
      <w:r>
        <w:rPr>
          <w:b/>
          <w:sz w:val="24"/>
        </w:rPr>
        <w:t xml:space="preserve"> </w:t>
      </w:r>
      <w:r>
        <w:rPr>
          <w:rFonts w:hint="eastAsia"/>
          <w:color w:val="000000" w:themeColor="text1"/>
          <w:sz w:val="24"/>
          <w14:textFill>
            <w14:solidFill>
              <w14:schemeClr w14:val="tx1"/>
            </w14:solidFill>
          </w14:textFill>
        </w:rPr>
        <w:t>不同使用用途的非传统水源水质的抽检数量不应少于1次。</w:t>
      </w:r>
    </w:p>
    <w:p>
      <w:pPr>
        <w:spacing w:line="360" w:lineRule="auto"/>
        <w:rPr>
          <w:sz w:val="24"/>
        </w:rPr>
      </w:pPr>
      <w:r>
        <w:rPr>
          <w:b/>
          <w:sz w:val="24"/>
        </w:rPr>
        <w:t>9</w:t>
      </w:r>
      <w:r>
        <w:rPr>
          <w:rFonts w:hint="eastAsia"/>
          <w:b/>
          <w:sz w:val="24"/>
        </w:rPr>
        <w:t>.</w:t>
      </w:r>
      <w:r>
        <w:rPr>
          <w:b/>
          <w:sz w:val="24"/>
        </w:rPr>
        <w:t>4</w:t>
      </w:r>
      <w:r>
        <w:rPr>
          <w:rFonts w:hint="eastAsia"/>
          <w:b/>
          <w:sz w:val="24"/>
        </w:rPr>
        <w:t>.</w:t>
      </w:r>
      <w:r>
        <w:rPr>
          <w:b/>
          <w:sz w:val="24"/>
        </w:rPr>
        <w:t>2</w:t>
      </w:r>
      <w:r>
        <w:rPr>
          <w:rFonts w:hint="eastAsia"/>
          <w:sz w:val="24"/>
        </w:rPr>
        <w:t xml:space="preserve">  非传统水源水质的检测方法应符合下列规定：</w:t>
      </w:r>
    </w:p>
    <w:p>
      <w:pPr>
        <w:spacing w:line="360" w:lineRule="auto"/>
        <w:ind w:firstLine="480" w:firstLineChars="200"/>
        <w:rPr>
          <w:sz w:val="24"/>
        </w:rPr>
      </w:pPr>
      <w:r>
        <w:rPr>
          <w:sz w:val="24"/>
        </w:rPr>
        <w:t xml:space="preserve">1 </w:t>
      </w:r>
      <w:r>
        <w:rPr>
          <w:rFonts w:hint="eastAsia"/>
          <w:sz w:val="24"/>
        </w:rPr>
        <w:t>当非传统水源用于车辆清洗、厕所便器冲洗、道路清扫、消防、城市绿化、建筑施工杂用水等时，非传统水源的检测方法应符合现行国家标准《城市污水再生利用城市杂用水水质》</w:t>
      </w:r>
      <w:r>
        <w:rPr>
          <w:sz w:val="24"/>
        </w:rPr>
        <w:t>GB/T 18920</w:t>
      </w:r>
      <w:r>
        <w:rPr>
          <w:rFonts w:hint="eastAsia"/>
          <w:sz w:val="24"/>
        </w:rPr>
        <w:t>的规定。</w:t>
      </w:r>
    </w:p>
    <w:p>
      <w:pPr>
        <w:spacing w:line="360" w:lineRule="auto"/>
        <w:ind w:firstLine="480" w:firstLineChars="200"/>
        <w:rPr>
          <w:sz w:val="24"/>
        </w:rPr>
      </w:pPr>
      <w:r>
        <w:rPr>
          <w:sz w:val="24"/>
        </w:rPr>
        <w:t xml:space="preserve">2 </w:t>
      </w:r>
      <w:r>
        <w:rPr>
          <w:rFonts w:hint="eastAsia"/>
          <w:sz w:val="24"/>
        </w:rPr>
        <w:t>当非传统水源用于景观和湿地环境等时，非传统水源的检测方法应符合现行国家标准《城市污水再生利用景观环境用水水质》</w:t>
      </w:r>
      <w:r>
        <w:rPr>
          <w:sz w:val="24"/>
        </w:rPr>
        <w:t>GB/T 18921</w:t>
      </w:r>
      <w:r>
        <w:rPr>
          <w:rFonts w:hint="eastAsia"/>
          <w:sz w:val="24"/>
        </w:rPr>
        <w:t>的规定。</w:t>
      </w:r>
    </w:p>
    <w:p>
      <w:pPr>
        <w:pStyle w:val="27"/>
        <w:ind w:firstLine="0" w:firstLineChars="0"/>
      </w:pPr>
      <w:r>
        <w:rPr>
          <w:rFonts w:hint="eastAsia"/>
        </w:rPr>
        <w:t>【条文说明】</w:t>
      </w:r>
    </w:p>
    <w:p>
      <w:pPr>
        <w:pStyle w:val="27"/>
        <w:ind w:firstLine="420"/>
      </w:pPr>
      <w:r>
        <w:rPr>
          <w:rFonts w:hint="eastAsia"/>
        </w:rPr>
        <w:t>《城市污水再生利用城市杂用水水质》</w:t>
      </w:r>
      <w:r>
        <w:t>GB/T 18920</w:t>
      </w:r>
      <w:r>
        <w:rPr>
          <w:rFonts w:hint="eastAsia"/>
        </w:rPr>
        <w:t>和《城市污水再生利用景观环境用水水质》</w:t>
      </w:r>
      <w:r>
        <w:t>GB/T 18921</w:t>
      </w:r>
      <w:r>
        <w:rPr>
          <w:rFonts w:hint="eastAsia"/>
        </w:rPr>
        <w:t>对</w:t>
      </w:r>
      <w:r>
        <w:t>水质指标的方法进行了明确规定</w:t>
      </w:r>
      <w:r>
        <w:rPr>
          <w:rFonts w:hint="eastAsia"/>
        </w:rPr>
        <w:t>（其引用了</w:t>
      </w:r>
      <w:r>
        <w:t>相关检测方法</w:t>
      </w:r>
      <w:r>
        <w:rPr>
          <w:rFonts w:hint="eastAsia"/>
        </w:rPr>
        <w:t>）</w:t>
      </w:r>
      <w:r>
        <w:t>。</w:t>
      </w:r>
    </w:p>
    <w:p>
      <w:pPr>
        <w:spacing w:line="360" w:lineRule="auto"/>
        <w:rPr>
          <w:sz w:val="24"/>
        </w:rPr>
      </w:pPr>
      <w:r>
        <w:rPr>
          <w:b/>
          <w:sz w:val="24"/>
        </w:rPr>
        <w:t>9</w:t>
      </w:r>
      <w:r>
        <w:rPr>
          <w:rFonts w:hint="eastAsia"/>
          <w:b/>
          <w:sz w:val="24"/>
        </w:rPr>
        <w:t>.</w:t>
      </w:r>
      <w:r>
        <w:rPr>
          <w:b/>
          <w:sz w:val="24"/>
        </w:rPr>
        <w:t>4</w:t>
      </w:r>
      <w:r>
        <w:rPr>
          <w:rFonts w:hint="eastAsia"/>
          <w:b/>
          <w:sz w:val="24"/>
        </w:rPr>
        <w:t>.</w:t>
      </w:r>
      <w:r>
        <w:rPr>
          <w:b/>
          <w:sz w:val="24"/>
        </w:rPr>
        <w:t>3</w:t>
      </w:r>
      <w:r>
        <w:rPr>
          <w:rFonts w:hint="eastAsia"/>
          <w:sz w:val="24"/>
        </w:rPr>
        <w:t xml:space="preserve">  非传统水源水质的合格指标与判定方法应符合下列</w:t>
      </w:r>
      <w:r>
        <w:rPr>
          <w:sz w:val="24"/>
        </w:rPr>
        <w:t>规定：</w:t>
      </w:r>
    </w:p>
    <w:p>
      <w:pPr>
        <w:spacing w:line="360" w:lineRule="auto"/>
        <w:ind w:firstLine="360" w:firstLineChars="150"/>
        <w:rPr>
          <w:sz w:val="24"/>
        </w:rPr>
      </w:pPr>
      <w:r>
        <w:rPr>
          <w:sz w:val="24"/>
        </w:rPr>
        <w:t xml:space="preserve">1 </w:t>
      </w:r>
      <w:r>
        <w:rPr>
          <w:rFonts w:hint="eastAsia"/>
          <w:sz w:val="24"/>
        </w:rPr>
        <w:t>当非传统水源用于车辆清洗、厕所便器冲洗、道路清扫、消防、城市绿化、建筑施工杂用水等时，非传统水源水质</w:t>
      </w:r>
      <w:r>
        <w:rPr>
          <w:sz w:val="24"/>
        </w:rPr>
        <w:t>应符合</w:t>
      </w:r>
      <w:r>
        <w:rPr>
          <w:rFonts w:hint="eastAsia"/>
          <w:sz w:val="24"/>
        </w:rPr>
        <w:t>现行国家标准《城市污水再生利用城市杂用水水质》</w:t>
      </w:r>
      <w:r>
        <w:rPr>
          <w:sz w:val="24"/>
        </w:rPr>
        <w:t>GB/T 18920</w:t>
      </w:r>
      <w:r>
        <w:rPr>
          <w:rFonts w:hint="eastAsia"/>
          <w:sz w:val="24"/>
        </w:rPr>
        <w:t>的规定。</w:t>
      </w:r>
    </w:p>
    <w:p>
      <w:pPr>
        <w:spacing w:line="360" w:lineRule="auto"/>
        <w:ind w:firstLine="360" w:firstLineChars="150"/>
        <w:rPr>
          <w:sz w:val="24"/>
        </w:rPr>
      </w:pPr>
      <w:r>
        <w:rPr>
          <w:sz w:val="24"/>
        </w:rPr>
        <w:t xml:space="preserve">2 </w:t>
      </w:r>
      <w:r>
        <w:rPr>
          <w:rFonts w:hint="eastAsia"/>
          <w:sz w:val="24"/>
        </w:rPr>
        <w:t>当用于车辆清洗、厕所便器冲洗、道路清扫、消防、城市绿化、建筑施工杂用水等非传统水源水质检测结果符合本条第</w:t>
      </w:r>
      <w:r>
        <w:rPr>
          <w:sz w:val="24"/>
        </w:rPr>
        <w:t>1</w:t>
      </w:r>
      <w:r>
        <w:rPr>
          <w:rFonts w:hint="eastAsia"/>
          <w:sz w:val="24"/>
        </w:rPr>
        <w:t>款的规定时，应判定为合格。</w:t>
      </w:r>
    </w:p>
    <w:p>
      <w:pPr>
        <w:spacing w:line="360" w:lineRule="auto"/>
        <w:ind w:firstLine="360" w:firstLineChars="150"/>
        <w:rPr>
          <w:sz w:val="24"/>
        </w:rPr>
      </w:pPr>
      <w:r>
        <w:rPr>
          <w:sz w:val="24"/>
        </w:rPr>
        <w:t xml:space="preserve">3 </w:t>
      </w:r>
      <w:r>
        <w:rPr>
          <w:rFonts w:hint="eastAsia"/>
          <w:sz w:val="24"/>
        </w:rPr>
        <w:t>当非传统水源用于景观和湿地环境等时，非传统水源水质</w:t>
      </w:r>
      <w:r>
        <w:rPr>
          <w:sz w:val="24"/>
        </w:rPr>
        <w:t>应符合</w:t>
      </w:r>
      <w:r>
        <w:rPr>
          <w:rFonts w:hint="eastAsia"/>
          <w:sz w:val="24"/>
        </w:rPr>
        <w:t>现行国家标准《城市污水再生利用景观环境用水水质》</w:t>
      </w:r>
      <w:r>
        <w:rPr>
          <w:sz w:val="24"/>
        </w:rPr>
        <w:t>GB/T 1892</w:t>
      </w:r>
      <w:r>
        <w:rPr>
          <w:color w:val="000000" w:themeColor="text1"/>
          <w:sz w:val="24"/>
          <w14:textFill>
            <w14:solidFill>
              <w14:schemeClr w14:val="tx1"/>
            </w14:solidFill>
          </w14:textFill>
        </w:rPr>
        <w:t>1</w:t>
      </w:r>
      <w:r>
        <w:rPr>
          <w:rFonts w:hint="eastAsia"/>
          <w:sz w:val="24"/>
        </w:rPr>
        <w:t>的规定。</w:t>
      </w:r>
    </w:p>
    <w:p>
      <w:pPr>
        <w:spacing w:line="360" w:lineRule="auto"/>
        <w:ind w:firstLine="360" w:firstLineChars="150"/>
        <w:rPr>
          <w:color w:val="000000" w:themeColor="text1"/>
          <w:sz w:val="24"/>
          <w14:textFill>
            <w14:solidFill>
              <w14:schemeClr w14:val="tx1"/>
            </w14:solidFill>
          </w14:textFill>
        </w:rPr>
      </w:pPr>
      <w:r>
        <w:rPr>
          <w:color w:val="000000" w:themeColor="text1"/>
          <w:sz w:val="24"/>
          <w14:textFill>
            <w14:solidFill>
              <w14:schemeClr w14:val="tx1"/>
            </w14:solidFill>
          </w14:textFill>
        </w:rPr>
        <w:t xml:space="preserve">4 </w:t>
      </w:r>
      <w:r>
        <w:rPr>
          <w:rFonts w:hint="eastAsia"/>
          <w:color w:val="000000" w:themeColor="text1"/>
          <w:sz w:val="24"/>
          <w14:textFill>
            <w14:solidFill>
              <w14:schemeClr w14:val="tx1"/>
            </w14:solidFill>
          </w14:textFill>
        </w:rPr>
        <w:t>当用于景观和湿地环</w:t>
      </w:r>
      <w:r>
        <w:rPr>
          <w:rFonts w:hint="eastAsia"/>
          <w:sz w:val="24"/>
        </w:rPr>
        <w:t>境等</w:t>
      </w:r>
      <w:r>
        <w:rPr>
          <w:rFonts w:hint="eastAsia"/>
          <w:color w:val="000000" w:themeColor="text1"/>
          <w:sz w:val="24"/>
          <w14:textFill>
            <w14:solidFill>
              <w14:schemeClr w14:val="tx1"/>
            </w14:solidFill>
          </w14:textFill>
        </w:rPr>
        <w:t>非传统水源水质检测结果符合本条第</w:t>
      </w:r>
      <w:r>
        <w:rPr>
          <w:color w:val="000000" w:themeColor="text1"/>
          <w:sz w:val="24"/>
          <w14:textFill>
            <w14:solidFill>
              <w14:schemeClr w14:val="tx1"/>
            </w14:solidFill>
          </w14:textFill>
        </w:rPr>
        <w:t>3</w:t>
      </w:r>
      <w:r>
        <w:rPr>
          <w:rFonts w:hint="eastAsia"/>
          <w:color w:val="000000" w:themeColor="text1"/>
          <w:sz w:val="24"/>
          <w14:textFill>
            <w14:solidFill>
              <w14:schemeClr w14:val="tx1"/>
            </w14:solidFill>
          </w14:textFill>
        </w:rPr>
        <w:t>款的规定时，应判定为合格。</w:t>
      </w:r>
    </w:p>
    <w:p>
      <w:pPr>
        <w:pStyle w:val="27"/>
        <w:ind w:firstLine="0" w:firstLineChars="0"/>
      </w:pPr>
      <w:r>
        <w:rPr>
          <w:rFonts w:hint="eastAsia"/>
        </w:rPr>
        <w:t>【条文说明】</w:t>
      </w:r>
    </w:p>
    <w:p>
      <w:pPr>
        <w:pStyle w:val="27"/>
        <w:ind w:firstLine="420"/>
      </w:pPr>
      <w:r>
        <w:rPr>
          <w:rFonts w:hint="eastAsia"/>
        </w:rPr>
        <w:t>《城市污水再生利用城市杂用水水质》</w:t>
      </w:r>
      <w:r>
        <w:t>GB/T 18920</w:t>
      </w:r>
      <w:r>
        <w:rPr>
          <w:rFonts w:hint="eastAsia"/>
        </w:rPr>
        <w:t>和《城市污水再生利用景观环境用水水质》</w:t>
      </w:r>
      <w:r>
        <w:t>GB/T 18921</w:t>
      </w:r>
      <w:r>
        <w:rPr>
          <w:rFonts w:hint="eastAsia"/>
        </w:rPr>
        <w:t>对不同使用</w:t>
      </w:r>
      <w:r>
        <w:t>用途的</w:t>
      </w:r>
      <w:r>
        <w:rPr>
          <w:rFonts w:hint="eastAsia"/>
        </w:rPr>
        <w:t>水质</w:t>
      </w:r>
      <w:r>
        <w:t>指标</w:t>
      </w:r>
      <w:r>
        <w:rPr>
          <w:rFonts w:hint="eastAsia"/>
        </w:rPr>
        <w:t>限值</w:t>
      </w:r>
      <w:r>
        <w:t>进行了明确规定</w:t>
      </w:r>
      <w:r>
        <w:rPr>
          <w:rFonts w:hint="eastAsia"/>
        </w:rPr>
        <w:t>，在检测结果合格判定</w:t>
      </w:r>
      <w:r>
        <w:t>时，需要加以注意。</w:t>
      </w:r>
    </w:p>
    <w:p>
      <w:pPr>
        <w:spacing w:line="360" w:lineRule="auto"/>
        <w:ind w:firstLine="960" w:firstLineChars="400"/>
        <w:rPr>
          <w:color w:val="000000" w:themeColor="text1"/>
          <w:sz w:val="24"/>
          <w14:textFill>
            <w14:solidFill>
              <w14:schemeClr w14:val="tx1"/>
            </w14:solidFill>
          </w14:textFill>
        </w:rPr>
      </w:pPr>
    </w:p>
    <w:p>
      <w:pPr>
        <w:pStyle w:val="3"/>
        <w:rPr>
          <w:rFonts w:ascii="Times New Roman" w:hAnsi="Times New Roman" w:cs="Times New Roman"/>
          <w:color w:val="000000" w:themeColor="text1"/>
          <w:lang w:val="zh-CN"/>
          <w14:textFill>
            <w14:solidFill>
              <w14:schemeClr w14:val="tx1"/>
            </w14:solidFill>
          </w14:textFill>
        </w:rPr>
      </w:pPr>
      <w:bookmarkStart w:id="114" w:name="_Toc16776696"/>
      <w:bookmarkStart w:id="115" w:name="_Toc17811207"/>
      <w:r>
        <w:rPr>
          <w:rFonts w:hint="eastAsia" w:ascii="Times New Roman" w:hAnsi="Times New Roman" w:cs="Times New Roman"/>
          <w:color w:val="000000" w:themeColor="text1"/>
          <w:lang w:val="zh-CN"/>
          <w14:textFill>
            <w14:solidFill>
              <w14:schemeClr w14:val="tx1"/>
            </w14:solidFill>
          </w14:textFill>
        </w:rPr>
        <w:t>9</w:t>
      </w:r>
      <w:r>
        <w:rPr>
          <w:rFonts w:ascii="Times New Roman" w:hAnsi="Times New Roman" w:cs="Times New Roman"/>
          <w:color w:val="000000" w:themeColor="text1"/>
          <w:lang w:val="zh-CN"/>
          <w14:textFill>
            <w14:solidFill>
              <w14:schemeClr w14:val="tx1"/>
            </w14:solidFill>
          </w14:textFill>
        </w:rPr>
        <w:t>.</w:t>
      </w:r>
      <w:r>
        <w:rPr>
          <w:rFonts w:hint="eastAsia" w:ascii="Times New Roman" w:hAnsi="Times New Roman" w:cs="Times New Roman"/>
          <w:color w:val="000000" w:themeColor="text1"/>
          <w:lang w:val="zh-CN"/>
          <w14:textFill>
            <w14:solidFill>
              <w14:schemeClr w14:val="tx1"/>
            </w14:solidFill>
          </w14:textFill>
        </w:rPr>
        <w:t>5</w:t>
      </w:r>
      <w:r>
        <w:rPr>
          <w:rFonts w:ascii="Times New Roman" w:hAnsi="Times New Roman" w:cs="Times New Roman"/>
          <w:color w:val="000000" w:themeColor="text1"/>
          <w:lang w:val="zh-CN"/>
          <w14:textFill>
            <w14:solidFill>
              <w14:schemeClr w14:val="tx1"/>
            </w14:solidFill>
          </w14:textFill>
        </w:rPr>
        <w:t xml:space="preserve"> </w:t>
      </w:r>
      <w:r>
        <w:rPr>
          <w:rFonts w:hint="eastAsia" w:ascii="Times New Roman" w:hAnsi="Times New Roman" w:cs="Times New Roman"/>
          <w:color w:val="000000" w:themeColor="text1"/>
          <w:lang w:val="zh-CN"/>
          <w14:textFill>
            <w14:solidFill>
              <w14:schemeClr w14:val="tx1"/>
            </w14:solidFill>
          </w14:textFill>
        </w:rPr>
        <w:t xml:space="preserve"> </w:t>
      </w:r>
      <w:r>
        <w:rPr>
          <w:rFonts w:ascii="Times New Roman" w:hAnsi="Times New Roman" w:cs="Times New Roman"/>
          <w:color w:val="000000" w:themeColor="text1"/>
          <w:lang w:val="zh-CN"/>
          <w14:textFill>
            <w14:solidFill>
              <w14:schemeClr w14:val="tx1"/>
            </w14:solidFill>
          </w14:textFill>
        </w:rPr>
        <w:t>污水排放水质检测</w:t>
      </w:r>
      <w:bookmarkEnd w:id="114"/>
      <w:bookmarkEnd w:id="115"/>
    </w:p>
    <w:p>
      <w:pPr>
        <w:spacing w:line="360" w:lineRule="auto"/>
        <w:rPr>
          <w:color w:val="000000" w:themeColor="text1"/>
          <w:sz w:val="24"/>
          <w14:textFill>
            <w14:solidFill>
              <w14:schemeClr w14:val="tx1"/>
            </w14:solidFill>
          </w14:textFill>
        </w:rPr>
      </w:pPr>
      <w:r>
        <w:rPr>
          <w:rFonts w:hint="eastAsia"/>
          <w:b/>
          <w:sz w:val="24"/>
        </w:rPr>
        <w:t>9.</w:t>
      </w:r>
      <w:r>
        <w:rPr>
          <w:b/>
          <w:sz w:val="24"/>
        </w:rPr>
        <w:t>5</w:t>
      </w:r>
      <w:r>
        <w:rPr>
          <w:rFonts w:hint="eastAsia"/>
          <w:b/>
          <w:sz w:val="24"/>
        </w:rPr>
        <w:t>.</w:t>
      </w:r>
      <w:r>
        <w:rPr>
          <w:b/>
          <w:sz w:val="24"/>
        </w:rPr>
        <w:t>1</w:t>
      </w:r>
      <w:r>
        <w:rPr>
          <w:rFonts w:hint="eastAsia"/>
          <w:b/>
          <w:sz w:val="24"/>
        </w:rPr>
        <w:t xml:space="preserve"> </w:t>
      </w:r>
      <w:r>
        <w:rPr>
          <w:b/>
          <w:sz w:val="24"/>
        </w:rPr>
        <w:t xml:space="preserve"> </w:t>
      </w:r>
      <w:r>
        <w:rPr>
          <w:rFonts w:hint="eastAsia"/>
          <w:color w:val="000000" w:themeColor="text1"/>
          <w:sz w:val="24"/>
          <w14:textFill>
            <w14:solidFill>
              <w14:schemeClr w14:val="tx1"/>
            </w14:solidFill>
          </w14:textFill>
        </w:rPr>
        <w:t>不同种污水排放口的水质抽样数量不应少于1次。</w:t>
      </w:r>
    </w:p>
    <w:p>
      <w:pPr>
        <w:pStyle w:val="27"/>
        <w:ind w:firstLine="0" w:firstLineChars="0"/>
      </w:pPr>
      <w:r>
        <w:rPr>
          <w:rFonts w:hint="eastAsia"/>
        </w:rPr>
        <w:t>【条文说明】</w:t>
      </w:r>
    </w:p>
    <w:p>
      <w:pPr>
        <w:pStyle w:val="27"/>
        <w:ind w:firstLine="420"/>
      </w:pPr>
      <w:r>
        <w:rPr>
          <w:rFonts w:hint="eastAsia"/>
        </w:rPr>
        <w:t>对于</w:t>
      </w:r>
      <w:r>
        <w:t>有多种污水排放的，</w:t>
      </w:r>
      <w:r>
        <w:rPr>
          <w:rFonts w:hint="eastAsia"/>
        </w:rPr>
        <w:t>各种</w:t>
      </w:r>
      <w:r>
        <w:t>污水的抽检数量</w:t>
      </w:r>
      <w:r>
        <w:rPr>
          <w:rFonts w:hint="eastAsia"/>
        </w:rPr>
        <w:t>不少于1次</w:t>
      </w:r>
      <w:r>
        <w:t>（</w:t>
      </w:r>
      <w:r>
        <w:rPr>
          <w:rFonts w:hint="eastAsia"/>
        </w:rPr>
        <w:t>组</w:t>
      </w:r>
      <w:r>
        <w:t>）</w:t>
      </w:r>
      <w:r>
        <w:rPr>
          <w:rFonts w:hint="eastAsia"/>
        </w:rPr>
        <w:t>。</w:t>
      </w:r>
    </w:p>
    <w:p>
      <w:pPr>
        <w:spacing w:line="360" w:lineRule="auto"/>
        <w:rPr>
          <w:color w:val="000000" w:themeColor="text1"/>
          <w:sz w:val="24"/>
          <w14:textFill>
            <w14:solidFill>
              <w14:schemeClr w14:val="tx1"/>
            </w14:solidFill>
          </w14:textFill>
        </w:rPr>
      </w:pPr>
      <w:r>
        <w:rPr>
          <w:rFonts w:hint="eastAsia"/>
          <w:b/>
          <w:sz w:val="24"/>
        </w:rPr>
        <w:t>9</w:t>
      </w:r>
      <w:r>
        <w:rPr>
          <w:b/>
          <w:sz w:val="24"/>
        </w:rPr>
        <w:t>.5.</w:t>
      </w:r>
      <w:r>
        <w:rPr>
          <w:rFonts w:hint="eastAsia"/>
          <w:b/>
          <w:sz w:val="24"/>
        </w:rPr>
        <w:t xml:space="preserve">2 </w:t>
      </w:r>
      <w:r>
        <w:rPr>
          <w:b/>
          <w:sz w:val="24"/>
        </w:rPr>
        <w:t xml:space="preserve"> </w:t>
      </w:r>
      <w:r>
        <w:rPr>
          <w:rFonts w:hint="eastAsia"/>
          <w:color w:val="000000" w:themeColor="text1"/>
          <w:sz w:val="24"/>
          <w14:textFill>
            <w14:solidFill>
              <w14:schemeClr w14:val="tx1"/>
            </w14:solidFill>
          </w14:textFill>
        </w:rPr>
        <w:t>污水排放水质的检测方法应符合现行国家标准《污水综合排放标准》</w:t>
      </w:r>
      <w:r>
        <w:rPr>
          <w:color w:val="000000" w:themeColor="text1"/>
          <w:sz w:val="24"/>
          <w14:textFill>
            <w14:solidFill>
              <w14:schemeClr w14:val="tx1"/>
            </w14:solidFill>
          </w14:textFill>
        </w:rPr>
        <w:t>GB 8978</w:t>
      </w:r>
      <w:r>
        <w:rPr>
          <w:rFonts w:hint="eastAsia"/>
          <w:color w:val="000000" w:themeColor="text1"/>
          <w:sz w:val="24"/>
          <w14:textFill>
            <w14:solidFill>
              <w14:schemeClr w14:val="tx1"/>
            </w14:solidFill>
          </w14:textFill>
        </w:rPr>
        <w:t>的规定。</w:t>
      </w:r>
    </w:p>
    <w:p>
      <w:pPr>
        <w:pStyle w:val="27"/>
        <w:ind w:firstLine="0" w:firstLineChars="0"/>
      </w:pPr>
      <w:r>
        <w:rPr>
          <w:rFonts w:hint="eastAsia"/>
        </w:rPr>
        <w:t>【条文说明】</w:t>
      </w:r>
    </w:p>
    <w:p>
      <w:pPr>
        <w:pStyle w:val="27"/>
        <w:ind w:firstLine="420"/>
      </w:pPr>
      <w:r>
        <w:rPr>
          <w:rFonts w:hint="eastAsia"/>
        </w:rPr>
        <w:t>《污水综合排放标准》</w:t>
      </w:r>
      <w:r>
        <w:t>GB 8978</w:t>
      </w:r>
      <w:r>
        <w:rPr>
          <w:rFonts w:hint="eastAsia"/>
        </w:rPr>
        <w:t>中</w:t>
      </w:r>
      <w:r>
        <w:t>明确了各项水质</w:t>
      </w:r>
      <w:r>
        <w:rPr>
          <w:rFonts w:hint="eastAsia"/>
        </w:rPr>
        <w:t>检测项目</w:t>
      </w:r>
      <w:r>
        <w:t>的检测</w:t>
      </w:r>
      <w:r>
        <w:rPr>
          <w:rFonts w:hint="eastAsia"/>
        </w:rPr>
        <w:t>方法。</w:t>
      </w:r>
    </w:p>
    <w:p>
      <w:pPr>
        <w:spacing w:line="360" w:lineRule="auto"/>
        <w:rPr>
          <w:sz w:val="24"/>
        </w:rPr>
      </w:pPr>
      <w:r>
        <w:rPr>
          <w:b/>
          <w:sz w:val="24"/>
        </w:rPr>
        <w:t>9</w:t>
      </w:r>
      <w:r>
        <w:rPr>
          <w:rFonts w:hint="eastAsia"/>
          <w:b/>
          <w:sz w:val="24"/>
        </w:rPr>
        <w:t>.</w:t>
      </w:r>
      <w:r>
        <w:rPr>
          <w:b/>
          <w:sz w:val="24"/>
        </w:rPr>
        <w:t>5</w:t>
      </w:r>
      <w:r>
        <w:rPr>
          <w:rFonts w:hint="eastAsia"/>
          <w:b/>
          <w:sz w:val="24"/>
        </w:rPr>
        <w:t>.</w:t>
      </w:r>
      <w:r>
        <w:rPr>
          <w:b/>
          <w:sz w:val="24"/>
        </w:rPr>
        <w:t>3</w:t>
      </w:r>
      <w:r>
        <w:rPr>
          <w:rFonts w:hint="eastAsia"/>
          <w:sz w:val="24"/>
        </w:rPr>
        <w:t xml:space="preserve">  </w:t>
      </w:r>
      <w:r>
        <w:rPr>
          <w:rFonts w:hint="eastAsia"/>
          <w:color w:val="000000" w:themeColor="text1"/>
          <w:sz w:val="24"/>
          <w14:textFill>
            <w14:solidFill>
              <w14:schemeClr w14:val="tx1"/>
            </w14:solidFill>
          </w14:textFill>
        </w:rPr>
        <w:t>污水排放水质</w:t>
      </w:r>
      <w:r>
        <w:rPr>
          <w:rFonts w:hint="eastAsia"/>
          <w:sz w:val="24"/>
        </w:rPr>
        <w:t>的合格指标与判定方法应符合下列</w:t>
      </w:r>
      <w:r>
        <w:rPr>
          <w:sz w:val="24"/>
        </w:rPr>
        <w:t>规定：</w:t>
      </w:r>
    </w:p>
    <w:p>
      <w:pPr>
        <w:spacing w:line="360" w:lineRule="auto"/>
        <w:ind w:firstLine="360" w:firstLineChars="150"/>
        <w:rPr>
          <w:sz w:val="24"/>
        </w:rPr>
      </w:pPr>
      <w:r>
        <w:rPr>
          <w:sz w:val="24"/>
        </w:rPr>
        <w:t>1</w:t>
      </w:r>
      <w:r>
        <w:rPr>
          <w:rFonts w:hint="eastAsia"/>
          <w:color w:val="000000" w:themeColor="text1"/>
          <w:sz w:val="24"/>
          <w14:textFill>
            <w14:solidFill>
              <w14:schemeClr w14:val="tx1"/>
            </w14:solidFill>
          </w14:textFill>
        </w:rPr>
        <w:t>污水排放水质</w:t>
      </w:r>
      <w:r>
        <w:rPr>
          <w:sz w:val="24"/>
        </w:rPr>
        <w:t>应符合现行</w:t>
      </w:r>
      <w:r>
        <w:rPr>
          <w:color w:val="000000" w:themeColor="text1"/>
          <w:sz w:val="24"/>
          <w14:textFill>
            <w14:solidFill>
              <w14:schemeClr w14:val="tx1"/>
            </w14:solidFill>
          </w14:textFill>
        </w:rPr>
        <w:t>广东省地方标准《</w:t>
      </w:r>
      <w:r>
        <w:rPr>
          <w:rFonts w:hint="eastAsia"/>
          <w:color w:val="000000" w:themeColor="text1"/>
          <w:sz w:val="24"/>
          <w14:textFill>
            <w14:solidFill>
              <w14:schemeClr w14:val="tx1"/>
            </w14:solidFill>
          </w14:textFill>
        </w:rPr>
        <w:t>水污染物</w:t>
      </w:r>
      <w:r>
        <w:rPr>
          <w:color w:val="000000" w:themeColor="text1"/>
          <w:sz w:val="24"/>
          <w14:textFill>
            <w14:solidFill>
              <w14:schemeClr w14:val="tx1"/>
            </w14:solidFill>
          </w14:textFill>
        </w:rPr>
        <w:t>排放限值》</w:t>
      </w:r>
      <w:r>
        <w:rPr>
          <w:rFonts w:hint="eastAsia"/>
          <w:color w:val="000000" w:themeColor="text1"/>
          <w:sz w:val="24"/>
          <w14:textFill>
            <w14:solidFill>
              <w14:schemeClr w14:val="tx1"/>
            </w14:solidFill>
          </w14:textFill>
        </w:rPr>
        <w:t>DB44</w:t>
      </w:r>
      <w:r>
        <w:rPr>
          <w:color w:val="000000" w:themeColor="text1"/>
          <w:sz w:val="24"/>
          <w14:textFill>
            <w14:solidFill>
              <w14:schemeClr w14:val="tx1"/>
            </w14:solidFill>
          </w14:textFill>
        </w:rPr>
        <w:t>/26</w:t>
      </w:r>
      <w:r>
        <w:rPr>
          <w:rFonts w:hint="eastAsia"/>
          <w:color w:val="000000" w:themeColor="text1"/>
          <w:sz w:val="24"/>
          <w14:textFill>
            <w14:solidFill>
              <w14:schemeClr w14:val="tx1"/>
            </w14:solidFill>
          </w14:textFill>
        </w:rPr>
        <w:t>和</w:t>
      </w:r>
      <w:r>
        <w:rPr>
          <w:rFonts w:hint="eastAsia"/>
          <w:sz w:val="24"/>
        </w:rPr>
        <w:t>现行国家标准</w:t>
      </w:r>
      <w:r>
        <w:rPr>
          <w:rFonts w:hint="eastAsia"/>
          <w:color w:val="000000" w:themeColor="text1"/>
          <w:sz w:val="24"/>
          <w14:textFill>
            <w14:solidFill>
              <w14:schemeClr w14:val="tx1"/>
            </w14:solidFill>
          </w14:textFill>
        </w:rPr>
        <w:t>《污水综合排放标准》</w:t>
      </w:r>
      <w:r>
        <w:rPr>
          <w:color w:val="000000" w:themeColor="text1"/>
          <w:sz w:val="24"/>
          <w14:textFill>
            <w14:solidFill>
              <w14:schemeClr w14:val="tx1"/>
            </w14:solidFill>
          </w14:textFill>
        </w:rPr>
        <w:t>GB8978</w:t>
      </w:r>
      <w:r>
        <w:rPr>
          <w:rFonts w:hint="eastAsia"/>
          <w:sz w:val="24"/>
        </w:rPr>
        <w:t>的规定。</w:t>
      </w:r>
    </w:p>
    <w:p>
      <w:pPr>
        <w:spacing w:line="360" w:lineRule="auto"/>
        <w:ind w:firstLine="360" w:firstLineChars="150"/>
        <w:rPr>
          <w:sz w:val="24"/>
        </w:rPr>
      </w:pPr>
      <w:r>
        <w:rPr>
          <w:sz w:val="24"/>
        </w:rPr>
        <w:t xml:space="preserve">2 </w:t>
      </w:r>
      <w:r>
        <w:rPr>
          <w:rFonts w:hint="eastAsia"/>
          <w:sz w:val="24"/>
        </w:rPr>
        <w:t>当检测结果符合本条第</w:t>
      </w:r>
      <w:r>
        <w:rPr>
          <w:sz w:val="24"/>
        </w:rPr>
        <w:t>1</w:t>
      </w:r>
      <w:r>
        <w:rPr>
          <w:rFonts w:hint="eastAsia"/>
          <w:sz w:val="24"/>
        </w:rPr>
        <w:t>款的规定时，应判定为合格。</w:t>
      </w:r>
    </w:p>
    <w:p>
      <w:pPr>
        <w:pStyle w:val="27"/>
        <w:ind w:firstLine="0" w:firstLineChars="0"/>
      </w:pPr>
      <w:r>
        <w:rPr>
          <w:rFonts w:hint="eastAsia"/>
        </w:rPr>
        <w:t>【条文说明】</w:t>
      </w:r>
    </w:p>
    <w:p>
      <w:pPr>
        <w:pStyle w:val="27"/>
        <w:ind w:firstLine="420"/>
      </w:pPr>
      <w:r>
        <w:t>生产污水、生活污水</w:t>
      </w:r>
      <w:r>
        <w:rPr>
          <w:rFonts w:hint="eastAsia"/>
        </w:rPr>
        <w:t>等各种污水水质应同时满足广东省和国家排放标准的相关规定。</w:t>
      </w:r>
    </w:p>
    <w:p>
      <w:pPr>
        <w:rPr>
          <w:color w:val="000000" w:themeColor="text1"/>
          <w14:textFill>
            <w14:solidFill>
              <w14:schemeClr w14:val="tx1"/>
            </w14:solidFill>
          </w14:textFill>
        </w:rPr>
      </w:pPr>
    </w:p>
    <w:p>
      <w:pPr>
        <w:pStyle w:val="3"/>
        <w:rPr>
          <w:color w:val="000000" w:themeColor="text1"/>
          <w14:textFill>
            <w14:solidFill>
              <w14:schemeClr w14:val="tx1"/>
            </w14:solidFill>
          </w14:textFill>
        </w:rPr>
      </w:pPr>
      <w:bookmarkStart w:id="116" w:name="_Toc530472489"/>
      <w:bookmarkStart w:id="117" w:name="_Toc17811208"/>
      <w:r>
        <w:rPr>
          <w:rFonts w:hint="eastAsia" w:ascii="Times New Roman" w:hAnsi="Times New Roman" w:cs="Times New Roman"/>
          <w:color w:val="000000" w:themeColor="text1"/>
          <w14:textFill>
            <w14:solidFill>
              <w14:schemeClr w14:val="tx1"/>
            </w14:solidFill>
          </w14:textFill>
        </w:rPr>
        <w:t>9</w:t>
      </w:r>
      <w:r>
        <w:rPr>
          <w:rFonts w:ascii="Times New Roman" w:hAnsi="Times New Roman" w:cs="Times New Roman"/>
          <w:color w:val="000000" w:themeColor="text1"/>
          <w14:textFill>
            <w14:solidFill>
              <w14:schemeClr w14:val="tx1"/>
            </w14:solidFill>
          </w14:textFill>
        </w:rPr>
        <w:t>.</w:t>
      </w:r>
      <w:r>
        <w:rPr>
          <w:rFonts w:hint="eastAsia" w:ascii="Times New Roman" w:hAnsi="Times New Roman" w:cs="Times New Roman"/>
          <w:color w:val="000000" w:themeColor="text1"/>
          <w14:textFill>
            <w14:solidFill>
              <w14:schemeClr w14:val="tx1"/>
            </w14:solidFill>
          </w14:textFill>
        </w:rPr>
        <w:t>6</w:t>
      </w:r>
      <w:r>
        <w:rPr>
          <w:rFonts w:hint="eastAsia"/>
          <w:color w:val="000000" w:themeColor="text1"/>
          <w14:textFill>
            <w14:solidFill>
              <w14:schemeClr w14:val="tx1"/>
            </w14:solidFill>
          </w14:textFill>
        </w:rPr>
        <w:t xml:space="preserve">  供水管道漏损</w:t>
      </w:r>
      <w:bookmarkEnd w:id="116"/>
      <w:r>
        <w:rPr>
          <w:rFonts w:hint="eastAsia"/>
          <w:color w:val="000000" w:themeColor="text1"/>
          <w14:textFill>
            <w14:solidFill>
              <w14:schemeClr w14:val="tx1"/>
            </w14:solidFill>
          </w14:textFill>
        </w:rPr>
        <w:t>检测</w:t>
      </w:r>
      <w:bookmarkEnd w:id="117"/>
      <w:r>
        <w:rPr>
          <w:rFonts w:hint="eastAsia"/>
          <w:color w:val="000000" w:themeColor="text1"/>
          <w14:textFill>
            <w14:solidFill>
              <w14:schemeClr w14:val="tx1"/>
            </w14:solidFill>
          </w14:textFill>
        </w:rPr>
        <w:t xml:space="preserve"> </w:t>
      </w:r>
    </w:p>
    <w:p>
      <w:pPr>
        <w:spacing w:line="360" w:lineRule="auto"/>
        <w:rPr>
          <w:sz w:val="24"/>
        </w:rPr>
      </w:pPr>
      <w:r>
        <w:rPr>
          <w:rFonts w:hint="eastAsia"/>
          <w:b/>
          <w:sz w:val="24"/>
        </w:rPr>
        <w:t xml:space="preserve">9.6.1 </w:t>
      </w:r>
      <w:r>
        <w:rPr>
          <w:rFonts w:hint="eastAsia"/>
          <w:sz w:val="24"/>
        </w:rPr>
        <w:t xml:space="preserve"> 建筑项目总水表至用户之间的所有室外埋地供水管道均应进行管道漏损检测。</w:t>
      </w:r>
    </w:p>
    <w:p>
      <w:pPr>
        <w:spacing w:line="360" w:lineRule="auto"/>
        <w:rPr>
          <w:sz w:val="24"/>
        </w:rPr>
      </w:pPr>
      <w:r>
        <w:rPr>
          <w:rFonts w:hint="eastAsia"/>
          <w:b/>
          <w:sz w:val="24"/>
        </w:rPr>
        <w:t>9.6.2</w:t>
      </w:r>
      <w:r>
        <w:rPr>
          <w:rFonts w:hint="eastAsia"/>
          <w:sz w:val="24"/>
        </w:rPr>
        <w:t xml:space="preserve">  管道漏损的检测方法应符合现行行业标准《城镇供水管网漏水探测技术规程》CJJ159的规定。</w:t>
      </w:r>
    </w:p>
    <w:p>
      <w:pPr>
        <w:spacing w:line="360" w:lineRule="auto"/>
        <w:rPr>
          <w:rFonts w:eastAsia="楷体"/>
          <w:color w:val="3016EE"/>
        </w:rPr>
      </w:pPr>
      <w:r>
        <w:rPr>
          <w:rFonts w:hint="eastAsia" w:eastAsia="楷体"/>
          <w:color w:val="3016EE"/>
        </w:rPr>
        <w:t>【条文说明】</w:t>
      </w:r>
    </w:p>
    <w:p>
      <w:pPr>
        <w:tabs>
          <w:tab w:val="left" w:pos="851"/>
          <w:tab w:val="left" w:pos="993"/>
        </w:tabs>
        <w:spacing w:line="360" w:lineRule="auto"/>
        <w:ind w:firstLine="420" w:firstLineChars="200"/>
        <w:rPr>
          <w:sz w:val="24"/>
        </w:rPr>
      </w:pPr>
      <w:r>
        <w:rPr>
          <w:rFonts w:hint="eastAsia" w:eastAsia="楷体"/>
          <w:color w:val="3016EE"/>
        </w:rPr>
        <w:t>应按现行行业标准《城镇供水管网漏水探测技术规程》CJJ159的规定执行，并根据现场实际情况，选择合适、合理的检测方法。</w:t>
      </w:r>
    </w:p>
    <w:p>
      <w:pPr>
        <w:spacing w:line="360" w:lineRule="auto"/>
        <w:rPr>
          <w:sz w:val="24"/>
        </w:rPr>
      </w:pPr>
      <w:r>
        <w:rPr>
          <w:rFonts w:hint="eastAsia"/>
          <w:b/>
          <w:sz w:val="24"/>
        </w:rPr>
        <w:t>9.6.3</w:t>
      </w:r>
      <w:r>
        <w:rPr>
          <w:rFonts w:hint="eastAsia"/>
          <w:sz w:val="24"/>
        </w:rPr>
        <w:t xml:space="preserve">  管道漏损的合格指标与判定方法应符合下列规定：</w:t>
      </w:r>
    </w:p>
    <w:p>
      <w:pPr>
        <w:spacing w:line="360" w:lineRule="auto"/>
        <w:ind w:firstLine="480" w:firstLineChars="200"/>
        <w:rPr>
          <w:sz w:val="24"/>
        </w:rPr>
      </w:pPr>
      <w:r>
        <w:rPr>
          <w:rFonts w:hint="eastAsia"/>
          <w:sz w:val="24"/>
        </w:rPr>
        <w:t>1  检测工况下，埋地供水管道应无漏水点；</w:t>
      </w:r>
    </w:p>
    <w:p>
      <w:pPr>
        <w:spacing w:line="360" w:lineRule="auto"/>
        <w:ind w:firstLine="480" w:firstLineChars="200"/>
        <w:rPr>
          <w:sz w:val="24"/>
        </w:rPr>
      </w:pPr>
      <w:r>
        <w:rPr>
          <w:rFonts w:hint="eastAsia"/>
          <w:sz w:val="24"/>
        </w:rPr>
        <w:t>2  当检测结果符合本条第1款的规定时，得到结论：检测工况下，埋地供水管道没有漏水点。</w:t>
      </w:r>
    </w:p>
    <w:p>
      <w:pPr>
        <w:spacing w:line="360" w:lineRule="auto"/>
        <w:ind w:firstLine="480" w:firstLineChars="200"/>
        <w:rPr>
          <w:sz w:val="24"/>
        </w:rPr>
      </w:pPr>
    </w:p>
    <w:p>
      <w:pPr>
        <w:widowControl/>
        <w:jc w:val="left"/>
        <w:rPr>
          <w:b/>
          <w:sz w:val="32"/>
        </w:rPr>
      </w:pPr>
      <w:r>
        <w:rPr>
          <w:b/>
          <w:sz w:val="32"/>
        </w:rPr>
        <w:br w:type="page"/>
      </w:r>
    </w:p>
    <w:p>
      <w:pPr>
        <w:pStyle w:val="2"/>
      </w:pPr>
      <w:bookmarkStart w:id="118" w:name="_Toc17811209"/>
      <w:bookmarkStart w:id="119" w:name="_Toc530472491"/>
      <w:r>
        <w:rPr>
          <w:rFonts w:hint="eastAsia"/>
        </w:rPr>
        <w:t>10  供配电系统检测</w:t>
      </w:r>
      <w:bookmarkEnd w:id="118"/>
      <w:bookmarkEnd w:id="119"/>
    </w:p>
    <w:p>
      <w:pPr>
        <w:pStyle w:val="3"/>
      </w:pPr>
      <w:bookmarkStart w:id="120" w:name="_Toc17811210"/>
      <w:bookmarkStart w:id="121" w:name="_Toc530472492"/>
      <w:r>
        <w:rPr>
          <w:rFonts w:hint="eastAsia" w:ascii="Times New Roman" w:hAnsi="Times New Roman" w:cs="Times New Roman"/>
        </w:rPr>
        <w:t>10</w:t>
      </w:r>
      <w:r>
        <w:rPr>
          <w:rFonts w:ascii="Times New Roman" w:hAnsi="Times New Roman" w:cs="Times New Roman"/>
        </w:rPr>
        <w:t>.1</w:t>
      </w:r>
      <w:r>
        <w:rPr>
          <w:rFonts w:hint="eastAsia"/>
        </w:rPr>
        <w:t xml:space="preserve">  一般规定</w:t>
      </w:r>
      <w:bookmarkEnd w:id="120"/>
      <w:bookmarkEnd w:id="121"/>
      <w:r>
        <w:rPr>
          <w:rFonts w:hint="eastAsia"/>
        </w:rPr>
        <w:t xml:space="preserve"> </w:t>
      </w:r>
    </w:p>
    <w:p>
      <w:pPr>
        <w:spacing w:line="360" w:lineRule="auto"/>
        <w:rPr>
          <w:sz w:val="24"/>
        </w:rPr>
      </w:pPr>
      <w:r>
        <w:rPr>
          <w:rFonts w:hint="eastAsia"/>
          <w:b/>
          <w:sz w:val="24"/>
        </w:rPr>
        <w:t>10.1.</w:t>
      </w:r>
      <w:r>
        <w:rPr>
          <w:b/>
          <w:sz w:val="24"/>
        </w:rPr>
        <w:t xml:space="preserve">1 </w:t>
      </w:r>
      <w:r>
        <w:rPr>
          <w:rFonts w:hint="eastAsia"/>
          <w:b/>
          <w:sz w:val="24"/>
        </w:rPr>
        <w:t xml:space="preserve"> </w:t>
      </w:r>
      <w:r>
        <w:rPr>
          <w:rFonts w:hint="eastAsia"/>
          <w:sz w:val="24"/>
        </w:rPr>
        <w:t>绿色建筑供配电系统电能质量检测项目包括：三相电压不平衡、谐波电压及谐波电流、功率因数、电压偏差、分项计量电能回路用电量校核等检测，各类参数测量宜选择在配电室内低压配电柜断路器下端进行。</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本条列举了绿色建筑供配电系统电能质量检测涉及的检测项目。</w:t>
      </w:r>
    </w:p>
    <w:p>
      <w:pPr>
        <w:spacing w:line="360" w:lineRule="auto"/>
        <w:rPr>
          <w:sz w:val="24"/>
        </w:rPr>
      </w:pPr>
      <w:r>
        <w:rPr>
          <w:rFonts w:hint="eastAsia"/>
          <w:b/>
          <w:sz w:val="24"/>
        </w:rPr>
        <w:t xml:space="preserve">10.1.2  </w:t>
      </w:r>
      <w:r>
        <w:rPr>
          <w:rFonts w:hint="eastAsia"/>
          <w:sz w:val="24"/>
        </w:rPr>
        <w:t>电能质量检测应在负荷率大于20%的配电回路，且应在负载正常使用的时间内进行。应采用A级或B级的仪器并配置不小于0.5级的互感器进行测量；当对测量结果有异议时，应采用A级测量仪器进行复检。</w:t>
      </w:r>
    </w:p>
    <w:p>
      <w:pPr>
        <w:spacing w:line="360" w:lineRule="auto"/>
        <w:rPr>
          <w:rFonts w:eastAsia="楷体"/>
          <w:color w:val="3016EE"/>
        </w:rPr>
      </w:pPr>
      <w:r>
        <w:rPr>
          <w:rFonts w:hint="eastAsia" w:eastAsia="楷体"/>
          <w:color w:val="3016EE"/>
        </w:rPr>
        <w:t>【条文说明】</w:t>
      </w:r>
    </w:p>
    <w:p>
      <w:pPr>
        <w:tabs>
          <w:tab w:val="left" w:pos="851"/>
          <w:tab w:val="left" w:pos="993"/>
        </w:tabs>
        <w:spacing w:line="360" w:lineRule="auto"/>
        <w:ind w:firstLine="420" w:firstLineChars="200"/>
        <w:rPr>
          <w:sz w:val="24"/>
        </w:rPr>
      </w:pPr>
      <w:r>
        <w:rPr>
          <w:rFonts w:hint="eastAsia" w:eastAsia="楷体"/>
          <w:color w:val="3016EE"/>
        </w:rPr>
        <w:t>要求在负荷率大于20%的回路进行测量，主要是考虑测量精度，如果负荷率太低，测量结果不能正确反映出供配电系统电能质量的问题。B级仪器可用于统计调查、故障检修，以及其他无需更高不确定度指标的应用，其测量不确定度和测量间隔时间等由制造商规定，且测量不确定度不应超过满刻度的±2.0%。A级仪器用于要求必须进行精确测量的地方，例如：在合同中应用，验证与标准的符合性，解决纠纷等。当对相同的信号进行测量时，使用两台符合A级要求的不同仪器对一个参数进行的任何测量，均在所规定的不确定度内得出一致的结果，且测量不确定度不应超过满刻度的±0.1%。</w:t>
      </w:r>
    </w:p>
    <w:p>
      <w:pPr>
        <w:spacing w:line="360" w:lineRule="auto"/>
        <w:ind w:firstLine="480" w:firstLineChars="200"/>
        <w:rPr>
          <w:sz w:val="24"/>
        </w:rPr>
      </w:pPr>
    </w:p>
    <w:p>
      <w:pPr>
        <w:pStyle w:val="3"/>
      </w:pPr>
      <w:bookmarkStart w:id="122" w:name="_Toc17811211"/>
      <w:r>
        <w:rPr>
          <w:rFonts w:hint="eastAsia" w:ascii="Times New Roman" w:hAnsi="Times New Roman" w:cs="Times New Roman"/>
        </w:rPr>
        <w:t>10</w:t>
      </w:r>
      <w:r>
        <w:rPr>
          <w:rFonts w:ascii="Times New Roman" w:hAnsi="Times New Roman" w:cs="Times New Roman"/>
        </w:rPr>
        <w:t>.2</w:t>
      </w:r>
      <w:r>
        <w:rPr>
          <w:rFonts w:hint="eastAsia"/>
        </w:rPr>
        <w:t xml:space="preserve">  三相电压不平衡检测</w:t>
      </w:r>
      <w:bookmarkEnd w:id="122"/>
    </w:p>
    <w:p>
      <w:pPr>
        <w:spacing w:line="360" w:lineRule="auto"/>
        <w:rPr>
          <w:sz w:val="24"/>
        </w:rPr>
      </w:pPr>
      <w:r>
        <w:rPr>
          <w:rFonts w:hint="eastAsia"/>
          <w:b/>
          <w:sz w:val="24"/>
        </w:rPr>
        <w:t xml:space="preserve">10.2.1 </w:t>
      </w:r>
      <w:r>
        <w:rPr>
          <w:rFonts w:hint="eastAsia"/>
          <w:sz w:val="24"/>
        </w:rPr>
        <w:t xml:space="preserve"> 三相电压不平衡的检测数量、检测方法和判定方法应符合现行行业标准《公共建筑节能检测标准》JGJ/T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ind w:firstLine="480" w:firstLineChars="200"/>
        <w:rPr>
          <w:sz w:val="24"/>
        </w:rPr>
      </w:pPr>
    </w:p>
    <w:p>
      <w:pPr>
        <w:pStyle w:val="3"/>
      </w:pPr>
      <w:bookmarkStart w:id="123" w:name="_Toc17811212"/>
      <w:r>
        <w:rPr>
          <w:rFonts w:hint="eastAsia" w:ascii="Times New Roman" w:hAnsi="Times New Roman" w:cs="Times New Roman"/>
        </w:rPr>
        <w:t>10</w:t>
      </w:r>
      <w:r>
        <w:rPr>
          <w:rFonts w:ascii="Times New Roman" w:hAnsi="Times New Roman" w:cs="Times New Roman"/>
        </w:rPr>
        <w:t>.3</w:t>
      </w:r>
      <w:r>
        <w:rPr>
          <w:rFonts w:hint="eastAsia"/>
        </w:rPr>
        <w:t xml:space="preserve">  谐波电压及谐波电流检测</w:t>
      </w:r>
      <w:bookmarkEnd w:id="123"/>
    </w:p>
    <w:p>
      <w:pPr>
        <w:spacing w:line="360" w:lineRule="auto"/>
        <w:rPr>
          <w:sz w:val="24"/>
        </w:rPr>
      </w:pPr>
      <w:r>
        <w:rPr>
          <w:rFonts w:hint="eastAsia"/>
          <w:b/>
          <w:sz w:val="24"/>
        </w:rPr>
        <w:t xml:space="preserve">10.3.1 </w:t>
      </w:r>
      <w:r>
        <w:rPr>
          <w:rFonts w:hint="eastAsia"/>
          <w:sz w:val="24"/>
        </w:rPr>
        <w:t xml:space="preserve"> 谐波电压及谐波电流的检测数量应符合下列规定：</w:t>
      </w:r>
    </w:p>
    <w:p>
      <w:pPr>
        <w:spacing w:line="360" w:lineRule="auto"/>
        <w:ind w:firstLine="480" w:firstLineChars="200"/>
        <w:rPr>
          <w:sz w:val="24"/>
        </w:rPr>
      </w:pPr>
      <w:r>
        <w:rPr>
          <w:rFonts w:hint="eastAsia"/>
          <w:sz w:val="24"/>
        </w:rPr>
        <w:t>1  变压器出线回路应全部检测；</w:t>
      </w:r>
    </w:p>
    <w:p>
      <w:pPr>
        <w:spacing w:line="360" w:lineRule="auto"/>
        <w:ind w:firstLine="480" w:firstLineChars="200"/>
        <w:rPr>
          <w:sz w:val="24"/>
        </w:rPr>
      </w:pPr>
      <w:r>
        <w:rPr>
          <w:rFonts w:hint="eastAsia"/>
          <w:sz w:val="24"/>
        </w:rPr>
        <w:t>2  照明回路应抽测5%，且不得少于2个回路；</w:t>
      </w:r>
    </w:p>
    <w:p>
      <w:pPr>
        <w:spacing w:line="360" w:lineRule="auto"/>
        <w:ind w:firstLine="480" w:firstLineChars="200"/>
        <w:rPr>
          <w:sz w:val="24"/>
        </w:rPr>
      </w:pPr>
      <w:r>
        <w:rPr>
          <w:rFonts w:hint="eastAsia"/>
          <w:sz w:val="24"/>
        </w:rPr>
        <w:t>3  配置变频设备的动力回路应抽测2%，且不得少于1个回路；</w:t>
      </w:r>
    </w:p>
    <w:p>
      <w:pPr>
        <w:spacing w:line="360" w:lineRule="auto"/>
        <w:ind w:firstLine="480" w:firstLineChars="200"/>
        <w:rPr>
          <w:sz w:val="24"/>
        </w:rPr>
      </w:pPr>
      <w:r>
        <w:rPr>
          <w:rFonts w:hint="eastAsia"/>
          <w:sz w:val="24"/>
        </w:rPr>
        <w:t>4  配置大型UPS的回路应抽测2%，且不得少于1个回路。</w:t>
      </w:r>
    </w:p>
    <w:p>
      <w:pPr>
        <w:spacing w:line="360" w:lineRule="auto"/>
        <w:rPr>
          <w:sz w:val="24"/>
        </w:rPr>
      </w:pPr>
      <w:r>
        <w:rPr>
          <w:rFonts w:hint="eastAsia"/>
          <w:b/>
          <w:sz w:val="24"/>
        </w:rPr>
        <w:t xml:space="preserve">10.3.2 </w:t>
      </w:r>
      <w:r>
        <w:rPr>
          <w:rFonts w:hint="eastAsia"/>
          <w:sz w:val="24"/>
        </w:rPr>
        <w:t xml:space="preserve"> 谐波电压及谐波电流的检测方法和判定方法应符合现行行业标准《公共建筑节能检测标准》JGJ/T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ind w:firstLine="480" w:firstLineChars="200"/>
        <w:rPr>
          <w:sz w:val="24"/>
        </w:rPr>
      </w:pPr>
    </w:p>
    <w:p>
      <w:pPr>
        <w:pStyle w:val="3"/>
      </w:pPr>
      <w:bookmarkStart w:id="124" w:name="_Toc17811213"/>
      <w:r>
        <w:rPr>
          <w:rFonts w:hint="eastAsia" w:ascii="Times New Roman" w:hAnsi="Times New Roman" w:cs="Times New Roman"/>
        </w:rPr>
        <w:t>10</w:t>
      </w:r>
      <w:r>
        <w:rPr>
          <w:rFonts w:ascii="Times New Roman" w:hAnsi="Times New Roman" w:cs="Times New Roman"/>
        </w:rPr>
        <w:t xml:space="preserve">.4 </w:t>
      </w:r>
      <w:r>
        <w:rPr>
          <w:rFonts w:hint="eastAsia"/>
        </w:rPr>
        <w:t xml:space="preserve"> 功率因数检测</w:t>
      </w:r>
      <w:bookmarkEnd w:id="124"/>
    </w:p>
    <w:p>
      <w:pPr>
        <w:spacing w:line="360" w:lineRule="auto"/>
        <w:rPr>
          <w:sz w:val="24"/>
        </w:rPr>
      </w:pPr>
      <w:r>
        <w:rPr>
          <w:rFonts w:hint="eastAsia"/>
          <w:b/>
          <w:sz w:val="24"/>
        </w:rPr>
        <w:t xml:space="preserve">10.4.1 </w:t>
      </w:r>
      <w:r>
        <w:rPr>
          <w:rFonts w:hint="eastAsia"/>
          <w:sz w:val="24"/>
        </w:rPr>
        <w:t xml:space="preserve"> 功率因数的检测数量、检测方法和判定方法应符合现行行业标准《公共建筑节能检测标准》JGJ/T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ind w:firstLine="480" w:firstLineChars="200"/>
        <w:rPr>
          <w:sz w:val="24"/>
        </w:rPr>
      </w:pPr>
    </w:p>
    <w:p>
      <w:pPr>
        <w:pStyle w:val="3"/>
      </w:pPr>
      <w:bookmarkStart w:id="125" w:name="_Toc17811214"/>
      <w:r>
        <w:rPr>
          <w:rFonts w:hint="eastAsia" w:ascii="Times New Roman" w:hAnsi="Times New Roman" w:cs="Times New Roman"/>
        </w:rPr>
        <w:t>10</w:t>
      </w:r>
      <w:r>
        <w:rPr>
          <w:rFonts w:ascii="Times New Roman" w:hAnsi="Times New Roman" w:cs="Times New Roman"/>
        </w:rPr>
        <w:t>.5</w:t>
      </w:r>
      <w:r>
        <w:rPr>
          <w:rFonts w:hint="eastAsia"/>
        </w:rPr>
        <w:t xml:space="preserve">  电压偏差检测</w:t>
      </w:r>
      <w:bookmarkEnd w:id="125"/>
    </w:p>
    <w:p>
      <w:pPr>
        <w:spacing w:line="360" w:lineRule="auto"/>
        <w:rPr>
          <w:sz w:val="24"/>
        </w:rPr>
      </w:pPr>
      <w:r>
        <w:rPr>
          <w:rFonts w:hint="eastAsia"/>
          <w:b/>
          <w:sz w:val="24"/>
        </w:rPr>
        <w:t>10.5.1</w:t>
      </w:r>
      <w:r>
        <w:rPr>
          <w:rFonts w:hint="eastAsia"/>
          <w:sz w:val="24"/>
        </w:rPr>
        <w:t xml:space="preserve">  电压偏差的检测数量、检测方法和判定方法应符合现行行业标准《公共建筑节能检测标准》JGJ/T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ind w:firstLine="480" w:firstLineChars="200"/>
        <w:rPr>
          <w:sz w:val="24"/>
        </w:rPr>
      </w:pPr>
    </w:p>
    <w:p>
      <w:pPr>
        <w:pStyle w:val="3"/>
      </w:pPr>
      <w:bookmarkStart w:id="126" w:name="_Toc530472493"/>
      <w:bookmarkStart w:id="127" w:name="_Toc17811215"/>
      <w:r>
        <w:rPr>
          <w:rFonts w:hint="eastAsia" w:ascii="Times New Roman" w:hAnsi="Times New Roman" w:cs="Times New Roman"/>
        </w:rPr>
        <w:t>10</w:t>
      </w:r>
      <w:r>
        <w:rPr>
          <w:rFonts w:ascii="Times New Roman" w:hAnsi="Times New Roman" w:cs="Times New Roman"/>
        </w:rPr>
        <w:t>.6</w:t>
      </w:r>
      <w:r>
        <w:rPr>
          <w:rFonts w:hint="eastAsia"/>
        </w:rPr>
        <w:t xml:space="preserve">  分项计量电能回路用电量校核</w:t>
      </w:r>
      <w:bookmarkEnd w:id="126"/>
      <w:r>
        <w:rPr>
          <w:rFonts w:hint="eastAsia"/>
        </w:rPr>
        <w:t>检测</w:t>
      </w:r>
      <w:bookmarkEnd w:id="127"/>
      <w:r>
        <w:rPr>
          <w:rFonts w:hint="eastAsia"/>
        </w:rPr>
        <w:t xml:space="preserve"> </w:t>
      </w:r>
    </w:p>
    <w:p>
      <w:pPr>
        <w:spacing w:line="360" w:lineRule="auto"/>
        <w:rPr>
          <w:sz w:val="24"/>
        </w:rPr>
      </w:pPr>
      <w:r>
        <w:rPr>
          <w:rFonts w:hint="eastAsia"/>
          <w:b/>
          <w:sz w:val="24"/>
        </w:rPr>
        <w:t xml:space="preserve">10.6.1 </w:t>
      </w:r>
      <w:r>
        <w:rPr>
          <w:rFonts w:hint="eastAsia"/>
          <w:sz w:val="24"/>
        </w:rPr>
        <w:t xml:space="preserve"> 分项计量电能回路用电量校核的检测数量、检测方法和判定方法应符合现行行业标准《公共建筑节能检测标准》JGJ/T 177的规定。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widowControl/>
        <w:jc w:val="left"/>
        <w:rPr>
          <w:sz w:val="24"/>
        </w:rPr>
      </w:pPr>
      <w:r>
        <w:rPr>
          <w:sz w:val="24"/>
        </w:rPr>
        <w:br w:type="page"/>
      </w:r>
    </w:p>
    <w:p>
      <w:pPr>
        <w:pStyle w:val="2"/>
      </w:pPr>
      <w:bookmarkStart w:id="128" w:name="_Toc17811216"/>
      <w:r>
        <w:rPr>
          <w:rFonts w:hint="eastAsia"/>
        </w:rPr>
        <w:t>11 照明系统检测</w:t>
      </w:r>
      <w:bookmarkEnd w:id="128"/>
    </w:p>
    <w:p>
      <w:pPr>
        <w:pStyle w:val="3"/>
        <w:rPr>
          <w:rFonts w:ascii="Times New Roman" w:hAnsi="Times New Roman" w:cs="Times New Roman"/>
          <w:lang w:val="zh-CN"/>
        </w:rPr>
      </w:pPr>
      <w:bookmarkStart w:id="129" w:name="_Toc17811217"/>
      <w:r>
        <w:rPr>
          <w:rFonts w:hint="eastAsia" w:ascii="Times New Roman" w:hAnsi="Times New Roman" w:cs="Times New Roman"/>
          <w:lang w:val="zh-CN"/>
        </w:rPr>
        <w:t>11</w:t>
      </w:r>
      <w:r>
        <w:rPr>
          <w:rFonts w:ascii="Times New Roman" w:hAnsi="Times New Roman" w:cs="Times New Roman"/>
          <w:lang w:val="zh-CN"/>
        </w:rPr>
        <w:t>.1  一般规定</w:t>
      </w:r>
      <w:bookmarkEnd w:id="129"/>
    </w:p>
    <w:p>
      <w:pPr>
        <w:spacing w:line="360" w:lineRule="auto"/>
        <w:rPr>
          <w:sz w:val="24"/>
        </w:rPr>
      </w:pPr>
      <w:r>
        <w:rPr>
          <w:rFonts w:hint="eastAsia"/>
          <w:b/>
          <w:sz w:val="24"/>
        </w:rPr>
        <w:t>11.1.1</w:t>
      </w:r>
      <w:r>
        <w:rPr>
          <w:rFonts w:hint="eastAsia"/>
          <w:sz w:val="24"/>
        </w:rPr>
        <w:t xml:space="preserve">  绿色建筑照明系统检测项目包括：照度值、照度均匀度、一般显色指数、照明功率密度值、统一眩光值、公共区照明控制等检测。</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eastAsia="楷体"/>
          <w:color w:val="3016EE"/>
        </w:rPr>
        <w:t>本条</w:t>
      </w:r>
      <w:r>
        <w:rPr>
          <w:rFonts w:hint="eastAsia" w:eastAsia="楷体"/>
          <w:color w:val="3016EE"/>
        </w:rPr>
        <w:t>列举</w:t>
      </w:r>
      <w:r>
        <w:rPr>
          <w:rFonts w:eastAsia="楷体"/>
          <w:color w:val="3016EE"/>
        </w:rPr>
        <w:t>了绿色建筑</w:t>
      </w:r>
      <w:r>
        <w:rPr>
          <w:rFonts w:hint="eastAsia" w:eastAsia="楷体"/>
          <w:color w:val="3016EE"/>
        </w:rPr>
        <w:t>照明系统</w:t>
      </w:r>
      <w:r>
        <w:rPr>
          <w:rFonts w:eastAsia="楷体"/>
          <w:color w:val="3016EE"/>
        </w:rPr>
        <w:t>检测涉及的检测项目。</w:t>
      </w:r>
    </w:p>
    <w:p>
      <w:pPr>
        <w:spacing w:line="360" w:lineRule="auto"/>
        <w:rPr>
          <w:sz w:val="24"/>
        </w:rPr>
      </w:pPr>
      <w:r>
        <w:rPr>
          <w:rFonts w:hint="eastAsia"/>
          <w:b/>
          <w:sz w:val="24"/>
        </w:rPr>
        <w:t>11.1.2</w:t>
      </w:r>
      <w:r>
        <w:rPr>
          <w:rFonts w:hint="eastAsia"/>
          <w:sz w:val="24"/>
        </w:rPr>
        <w:t xml:space="preserve">  </w:t>
      </w:r>
      <w:r>
        <w:rPr>
          <w:rFonts w:hint="eastAsia" w:ascii="宋体" w:cs="宋体" w:hAnsiTheme="minorHAnsi"/>
          <w:kern w:val="0"/>
          <w:sz w:val="24"/>
        </w:rPr>
        <w:t>一般显色指数、照明功率密度值的测试空间，宜与照度值测试的空间一致</w:t>
      </w:r>
      <w:r>
        <w:rPr>
          <w:rFonts w:hint="eastAsia"/>
          <w:sz w:val="24"/>
        </w:rPr>
        <w:t>。</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一般显色指数、照明功率密度值和照度值宜在相同的房间或场所进行测试</w:t>
      </w:r>
      <w:r>
        <w:rPr>
          <w:rFonts w:eastAsia="楷体"/>
          <w:color w:val="3016EE"/>
        </w:rPr>
        <w:t>。</w:t>
      </w:r>
    </w:p>
    <w:p>
      <w:pPr>
        <w:spacing w:line="360" w:lineRule="auto"/>
        <w:rPr>
          <w:sz w:val="24"/>
        </w:rPr>
      </w:pPr>
    </w:p>
    <w:p>
      <w:pPr>
        <w:pStyle w:val="3"/>
        <w:rPr>
          <w:rFonts w:ascii="Times New Roman" w:hAnsi="Times New Roman" w:cs="Times New Roman"/>
          <w:lang w:val="zh-CN"/>
        </w:rPr>
      </w:pPr>
      <w:bookmarkStart w:id="130" w:name="_Toc17811218"/>
      <w:r>
        <w:rPr>
          <w:rFonts w:hint="eastAsia" w:ascii="Times New Roman" w:hAnsi="Times New Roman" w:cs="Times New Roman"/>
          <w:lang w:val="zh-CN"/>
        </w:rPr>
        <w:t>11</w:t>
      </w:r>
      <w:r>
        <w:rPr>
          <w:rFonts w:ascii="Times New Roman" w:hAnsi="Times New Roman" w:cs="Times New Roman"/>
          <w:lang w:val="zh-CN"/>
        </w:rPr>
        <w:t>.</w:t>
      </w:r>
      <w:r>
        <w:rPr>
          <w:rFonts w:hint="eastAsia" w:ascii="Times New Roman" w:hAnsi="Times New Roman" w:cs="Times New Roman"/>
          <w:lang w:val="zh-CN"/>
        </w:rPr>
        <w:t>2</w:t>
      </w:r>
      <w:r>
        <w:rPr>
          <w:rFonts w:ascii="Times New Roman" w:hAnsi="Times New Roman" w:cs="Times New Roman"/>
          <w:lang w:val="zh-CN"/>
        </w:rPr>
        <w:t xml:space="preserve">  </w:t>
      </w:r>
      <w:r>
        <w:rPr>
          <w:rFonts w:hint="eastAsia" w:ascii="Times New Roman" w:hAnsi="Times New Roman" w:cs="Times New Roman"/>
          <w:lang w:val="zh-CN"/>
        </w:rPr>
        <w:t>照度值检测</w:t>
      </w:r>
      <w:bookmarkEnd w:id="130"/>
    </w:p>
    <w:p>
      <w:pPr>
        <w:spacing w:line="360" w:lineRule="auto"/>
        <w:rPr>
          <w:sz w:val="24"/>
        </w:rPr>
      </w:pPr>
      <w:r>
        <w:rPr>
          <w:rFonts w:hint="eastAsia"/>
          <w:b/>
          <w:sz w:val="24"/>
        </w:rPr>
        <w:t>11.2.1</w:t>
      </w:r>
      <w:r>
        <w:rPr>
          <w:rFonts w:hint="eastAsia"/>
          <w:sz w:val="24"/>
        </w:rPr>
        <w:t xml:space="preserve">  每种典型功能的房间或场所不应少于2个，且均匀分布，并具有代表性。</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不同建筑不同房间或场所的划分原则可参照现行国家标准《建筑照明设计标准》GB 50034中的规定</w:t>
      </w:r>
      <w:r>
        <w:rPr>
          <w:rFonts w:eastAsia="楷体"/>
          <w:color w:val="3016EE"/>
        </w:rPr>
        <w:t>。</w:t>
      </w:r>
    </w:p>
    <w:p>
      <w:pPr>
        <w:spacing w:line="360" w:lineRule="auto"/>
        <w:rPr>
          <w:sz w:val="24"/>
        </w:rPr>
      </w:pPr>
      <w:r>
        <w:rPr>
          <w:rFonts w:hint="eastAsia"/>
          <w:b/>
          <w:sz w:val="24"/>
        </w:rPr>
        <w:t>11.2.2</w:t>
      </w:r>
      <w:r>
        <w:rPr>
          <w:rFonts w:hint="eastAsia"/>
          <w:sz w:val="24"/>
        </w:rPr>
        <w:t xml:space="preserve">  照度值的检测方法应符合现行国家标准《公共建筑节能检测标准》JGJ/T 177的规定。</w:t>
      </w:r>
    </w:p>
    <w:p>
      <w:pPr>
        <w:spacing w:line="360" w:lineRule="auto"/>
        <w:rPr>
          <w:sz w:val="24"/>
        </w:rPr>
      </w:pPr>
      <w:r>
        <w:rPr>
          <w:rFonts w:hint="eastAsia"/>
          <w:b/>
          <w:sz w:val="24"/>
        </w:rPr>
        <w:t>11.2.3</w:t>
      </w:r>
      <w:r>
        <w:rPr>
          <w:rFonts w:hint="eastAsia"/>
          <w:sz w:val="24"/>
        </w:rPr>
        <w:t xml:space="preserve">  照度值的合格指标与判定方法应符合下列规定：</w:t>
      </w:r>
    </w:p>
    <w:p>
      <w:pPr>
        <w:spacing w:line="360" w:lineRule="auto"/>
        <w:ind w:firstLine="720" w:firstLineChars="300"/>
        <w:rPr>
          <w:sz w:val="24"/>
        </w:rPr>
      </w:pPr>
      <w:r>
        <w:rPr>
          <w:rFonts w:hint="eastAsia"/>
          <w:sz w:val="24"/>
        </w:rPr>
        <w:t>1  检测工况下，照度检测值不应低于设计值的90%；</w:t>
      </w:r>
    </w:p>
    <w:p>
      <w:pPr>
        <w:spacing w:line="360" w:lineRule="auto"/>
        <w:ind w:firstLine="720" w:firstLineChars="300"/>
        <w:rPr>
          <w:sz w:val="24"/>
        </w:rPr>
      </w:pPr>
      <w:r>
        <w:rPr>
          <w:rFonts w:hint="eastAsia"/>
          <w:sz w:val="24"/>
        </w:rPr>
        <w:t>2  当检测结果满足本条第1款的规定时，应判定为合格。</w:t>
      </w:r>
    </w:p>
    <w:p>
      <w:pPr>
        <w:spacing w:line="360" w:lineRule="auto"/>
        <w:rPr>
          <w:sz w:val="24"/>
        </w:rPr>
      </w:pPr>
    </w:p>
    <w:p>
      <w:pPr>
        <w:pStyle w:val="3"/>
        <w:rPr>
          <w:rFonts w:ascii="Times New Roman" w:hAnsi="Times New Roman" w:cs="Times New Roman"/>
          <w:lang w:val="zh-CN"/>
        </w:rPr>
      </w:pPr>
      <w:bookmarkStart w:id="131" w:name="_Toc17811219"/>
      <w:r>
        <w:rPr>
          <w:rFonts w:hint="eastAsia" w:ascii="Times New Roman" w:hAnsi="Times New Roman" w:cs="Times New Roman"/>
          <w:lang w:val="zh-CN"/>
        </w:rPr>
        <w:t>11.3  照度均匀度检测</w:t>
      </w:r>
      <w:bookmarkEnd w:id="131"/>
    </w:p>
    <w:p>
      <w:pPr>
        <w:spacing w:line="360" w:lineRule="auto"/>
        <w:rPr>
          <w:sz w:val="24"/>
        </w:rPr>
      </w:pPr>
      <w:r>
        <w:rPr>
          <w:rFonts w:hint="eastAsia"/>
          <w:b/>
          <w:sz w:val="24"/>
        </w:rPr>
        <w:t>11.3.1</w:t>
      </w:r>
      <w:r>
        <w:rPr>
          <w:rFonts w:hint="eastAsia"/>
          <w:sz w:val="24"/>
        </w:rPr>
        <w:t xml:space="preserve">  每种典型功能的房间或场所不应少于2个，且均匀分布，并具有代表性。</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不同建筑不同房间或场所的划分原则可参照现行国家标准《建筑照明设计标准》GB 50034中的规定</w:t>
      </w:r>
      <w:r>
        <w:rPr>
          <w:rFonts w:eastAsia="楷体"/>
          <w:color w:val="3016EE"/>
        </w:rPr>
        <w:t>。</w:t>
      </w:r>
    </w:p>
    <w:p>
      <w:pPr>
        <w:spacing w:line="360" w:lineRule="auto"/>
        <w:rPr>
          <w:sz w:val="24"/>
        </w:rPr>
      </w:pPr>
      <w:r>
        <w:rPr>
          <w:rFonts w:hint="eastAsia"/>
          <w:b/>
          <w:sz w:val="24"/>
        </w:rPr>
        <w:t>11.3.2</w:t>
      </w:r>
      <w:r>
        <w:rPr>
          <w:rFonts w:hint="eastAsia"/>
          <w:sz w:val="24"/>
        </w:rPr>
        <w:t xml:space="preserve">  照度均匀度的检测方法应符合现行国家标准《照明测量方法》</w:t>
      </w:r>
      <w:r>
        <w:rPr>
          <w:sz w:val="24"/>
        </w:rPr>
        <w:t>GB/T 5700</w:t>
      </w:r>
      <w:r>
        <w:rPr>
          <w:rFonts w:hint="eastAsia"/>
          <w:sz w:val="24"/>
        </w:rPr>
        <w:t>的规定。</w:t>
      </w:r>
    </w:p>
    <w:p>
      <w:pPr>
        <w:spacing w:line="360" w:lineRule="auto"/>
        <w:rPr>
          <w:sz w:val="24"/>
        </w:rPr>
      </w:pPr>
      <w:r>
        <w:rPr>
          <w:rFonts w:hint="eastAsia"/>
          <w:b/>
          <w:sz w:val="24"/>
        </w:rPr>
        <w:t>11.3.3</w:t>
      </w:r>
      <w:r>
        <w:rPr>
          <w:rFonts w:hint="eastAsia"/>
          <w:sz w:val="24"/>
        </w:rPr>
        <w:t xml:space="preserve">  照度均匀度的合格指标与判定方法应符合下列规定：</w:t>
      </w:r>
    </w:p>
    <w:p>
      <w:pPr>
        <w:spacing w:line="360" w:lineRule="auto"/>
        <w:ind w:firstLine="480" w:firstLineChars="200"/>
        <w:rPr>
          <w:sz w:val="24"/>
        </w:rPr>
      </w:pPr>
      <w:r>
        <w:rPr>
          <w:rFonts w:hint="eastAsia"/>
          <w:sz w:val="24"/>
        </w:rPr>
        <w:t>1  检测工况下，照度均匀度的检测值应满足设计要求或现行国家标准《建筑照明设计标准》GB 50034规定的标准值；</w:t>
      </w:r>
    </w:p>
    <w:p>
      <w:pPr>
        <w:spacing w:line="360" w:lineRule="auto"/>
        <w:ind w:firstLine="480"/>
        <w:rPr>
          <w:sz w:val="24"/>
        </w:rPr>
      </w:pPr>
      <w:r>
        <w:rPr>
          <w:rFonts w:hint="eastAsia"/>
          <w:sz w:val="24"/>
        </w:rPr>
        <w:t>2  当检测结果满足本条第1款的规定时，应判定为合格。</w:t>
      </w:r>
    </w:p>
    <w:p>
      <w:pPr>
        <w:spacing w:line="360" w:lineRule="auto"/>
        <w:ind w:firstLine="480"/>
        <w:rPr>
          <w:sz w:val="24"/>
        </w:rPr>
      </w:pPr>
    </w:p>
    <w:p>
      <w:pPr>
        <w:pStyle w:val="3"/>
        <w:rPr>
          <w:rFonts w:ascii="Times New Roman" w:hAnsi="Times New Roman" w:cs="Times New Roman"/>
          <w:lang w:val="zh-CN"/>
        </w:rPr>
      </w:pPr>
      <w:bookmarkStart w:id="132" w:name="_Toc17811220"/>
      <w:r>
        <w:rPr>
          <w:rFonts w:hint="eastAsia" w:ascii="Times New Roman" w:hAnsi="Times New Roman" w:cs="Times New Roman"/>
          <w:lang w:val="zh-CN"/>
        </w:rPr>
        <w:t>11</w:t>
      </w:r>
      <w:r>
        <w:rPr>
          <w:rFonts w:ascii="Times New Roman" w:hAnsi="Times New Roman" w:cs="Times New Roman"/>
          <w:lang w:val="zh-CN"/>
        </w:rPr>
        <w:t>.</w:t>
      </w:r>
      <w:r>
        <w:rPr>
          <w:rFonts w:hint="eastAsia" w:ascii="Times New Roman" w:hAnsi="Times New Roman" w:cs="Times New Roman"/>
          <w:lang w:val="zh-CN"/>
        </w:rPr>
        <w:t>4</w:t>
      </w:r>
      <w:r>
        <w:rPr>
          <w:rFonts w:ascii="Times New Roman" w:hAnsi="Times New Roman" w:cs="Times New Roman"/>
          <w:lang w:val="zh-CN"/>
        </w:rPr>
        <w:t xml:space="preserve">  </w:t>
      </w:r>
      <w:r>
        <w:rPr>
          <w:rFonts w:hint="eastAsia" w:ascii="Times New Roman" w:hAnsi="Times New Roman" w:cs="Times New Roman"/>
          <w:lang w:val="zh-CN"/>
        </w:rPr>
        <w:t>一般显色指数检测</w:t>
      </w:r>
      <w:bookmarkEnd w:id="132"/>
    </w:p>
    <w:p>
      <w:pPr>
        <w:spacing w:line="360" w:lineRule="auto"/>
        <w:rPr>
          <w:sz w:val="24"/>
        </w:rPr>
      </w:pPr>
      <w:r>
        <w:rPr>
          <w:rFonts w:hint="eastAsia"/>
          <w:b/>
          <w:sz w:val="24"/>
        </w:rPr>
        <w:t>11.4.1</w:t>
      </w:r>
      <w:r>
        <w:rPr>
          <w:rFonts w:hint="eastAsia"/>
          <w:sz w:val="24"/>
        </w:rPr>
        <w:t xml:space="preserve">  每种典型功能的房间或场所不应少于2个，且均匀分布，并具有代表性；每个被抽检的房间或场所应设置不少于9个测点（住宅单个房间可不少于3个）。</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不同建筑不同房间或场所的划分原则可参照现行国家标准《建筑照明设计标准》GB 50034中的规定</w:t>
      </w:r>
      <w:r>
        <w:rPr>
          <w:rFonts w:eastAsia="楷体"/>
          <w:color w:val="3016EE"/>
        </w:rPr>
        <w:t>。</w:t>
      </w:r>
    </w:p>
    <w:p>
      <w:pPr>
        <w:spacing w:line="360" w:lineRule="auto"/>
        <w:rPr>
          <w:sz w:val="24"/>
        </w:rPr>
      </w:pPr>
      <w:r>
        <w:rPr>
          <w:rFonts w:hint="eastAsia"/>
          <w:b/>
          <w:sz w:val="24"/>
        </w:rPr>
        <w:t>11.4.2</w:t>
      </w:r>
      <w:r>
        <w:rPr>
          <w:rFonts w:hint="eastAsia"/>
          <w:sz w:val="24"/>
        </w:rPr>
        <w:t xml:space="preserve">  一般显色指数的检测方法应符合现行国家标准《照明光源颜色的测量方法》</w:t>
      </w:r>
      <w:r>
        <w:rPr>
          <w:sz w:val="24"/>
        </w:rPr>
        <w:t>GB/T</w:t>
      </w:r>
      <w:r>
        <w:rPr>
          <w:rFonts w:hint="eastAsia"/>
          <w:sz w:val="24"/>
        </w:rPr>
        <w:t xml:space="preserve"> </w:t>
      </w:r>
      <w:r>
        <w:rPr>
          <w:sz w:val="24"/>
        </w:rPr>
        <w:t>7922</w:t>
      </w:r>
      <w:r>
        <w:rPr>
          <w:rFonts w:hint="eastAsia"/>
          <w:sz w:val="24"/>
        </w:rPr>
        <w:t>和《光源显色性评价方法》</w:t>
      </w:r>
      <w:r>
        <w:rPr>
          <w:sz w:val="24"/>
        </w:rPr>
        <w:t>GB/T 5702</w:t>
      </w:r>
      <w:r>
        <w:rPr>
          <w:rFonts w:hint="eastAsia"/>
          <w:sz w:val="24"/>
        </w:rPr>
        <w:t>的规定。</w:t>
      </w:r>
    </w:p>
    <w:p>
      <w:pPr>
        <w:spacing w:line="360" w:lineRule="auto"/>
        <w:rPr>
          <w:sz w:val="24"/>
        </w:rPr>
      </w:pPr>
      <w:r>
        <w:rPr>
          <w:rFonts w:hint="eastAsia"/>
          <w:b/>
          <w:sz w:val="24"/>
        </w:rPr>
        <w:t>11.4.3</w:t>
      </w:r>
      <w:r>
        <w:rPr>
          <w:rFonts w:hint="eastAsia"/>
          <w:sz w:val="24"/>
        </w:rPr>
        <w:t xml:space="preserve">  一般显色指数的合格指标与判定方法应符合下列规定：</w:t>
      </w:r>
    </w:p>
    <w:p>
      <w:pPr>
        <w:spacing w:line="360" w:lineRule="auto"/>
        <w:ind w:firstLine="720" w:firstLineChars="300"/>
        <w:rPr>
          <w:sz w:val="24"/>
        </w:rPr>
      </w:pPr>
      <w:r>
        <w:rPr>
          <w:rFonts w:hint="eastAsia"/>
          <w:sz w:val="24"/>
        </w:rPr>
        <w:t>1  检测工况下，一般显色指数的检测值不应低于现行国家标准《建筑照明设计标准》GB 50034规定的标准值；</w:t>
      </w:r>
    </w:p>
    <w:p>
      <w:pPr>
        <w:spacing w:line="360" w:lineRule="auto"/>
        <w:ind w:firstLine="720" w:firstLineChars="300"/>
        <w:rPr>
          <w:sz w:val="24"/>
        </w:rPr>
      </w:pPr>
      <w:r>
        <w:rPr>
          <w:rFonts w:hint="eastAsia"/>
          <w:sz w:val="24"/>
        </w:rPr>
        <w:t>2  当检测结果满足本条第1款的规定时，应判定为合格。</w:t>
      </w:r>
    </w:p>
    <w:p>
      <w:pPr>
        <w:spacing w:line="360" w:lineRule="auto"/>
        <w:ind w:firstLine="480"/>
        <w:rPr>
          <w:sz w:val="24"/>
        </w:rPr>
      </w:pPr>
    </w:p>
    <w:p>
      <w:pPr>
        <w:pStyle w:val="3"/>
        <w:rPr>
          <w:rFonts w:ascii="Times New Roman" w:hAnsi="Times New Roman" w:cs="Times New Roman"/>
          <w:lang w:val="zh-CN"/>
        </w:rPr>
      </w:pPr>
      <w:bookmarkStart w:id="133" w:name="_Toc17811221"/>
      <w:r>
        <w:rPr>
          <w:rFonts w:hint="eastAsia" w:ascii="Times New Roman" w:hAnsi="Times New Roman" w:cs="Times New Roman"/>
          <w:lang w:val="zh-CN"/>
        </w:rPr>
        <w:t>11</w:t>
      </w:r>
      <w:r>
        <w:rPr>
          <w:rFonts w:ascii="Times New Roman" w:hAnsi="Times New Roman" w:cs="Times New Roman"/>
          <w:lang w:val="zh-CN"/>
        </w:rPr>
        <w:t>.</w:t>
      </w:r>
      <w:r>
        <w:rPr>
          <w:rFonts w:hint="eastAsia" w:ascii="Times New Roman" w:hAnsi="Times New Roman" w:cs="Times New Roman"/>
          <w:lang w:val="zh-CN"/>
        </w:rPr>
        <w:t>5</w:t>
      </w:r>
      <w:r>
        <w:rPr>
          <w:rFonts w:ascii="Times New Roman" w:hAnsi="Times New Roman" w:cs="Times New Roman"/>
          <w:lang w:val="zh-CN"/>
        </w:rPr>
        <w:t xml:space="preserve">  </w:t>
      </w:r>
      <w:r>
        <w:rPr>
          <w:rFonts w:hint="eastAsia" w:ascii="Times New Roman" w:hAnsi="Times New Roman" w:cs="Times New Roman"/>
          <w:lang w:val="zh-CN"/>
        </w:rPr>
        <w:t>照明功率密度值检测</w:t>
      </w:r>
      <w:bookmarkEnd w:id="133"/>
    </w:p>
    <w:p>
      <w:pPr>
        <w:spacing w:line="360" w:lineRule="auto"/>
        <w:rPr>
          <w:sz w:val="24"/>
        </w:rPr>
      </w:pPr>
      <w:r>
        <w:rPr>
          <w:rFonts w:hint="eastAsia"/>
          <w:b/>
          <w:sz w:val="24"/>
        </w:rPr>
        <w:t>11.5.1</w:t>
      </w:r>
      <w:r>
        <w:rPr>
          <w:rFonts w:hint="eastAsia"/>
          <w:sz w:val="24"/>
        </w:rPr>
        <w:t xml:space="preserve">  每种典型功能的房间或场所不应少于2个，且均匀分布，并具有代表性。</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不同建筑不同房间或场所的划分原则可参照现行国家标准《建筑照明设计标准》GB 50034中的规定</w:t>
      </w:r>
      <w:r>
        <w:rPr>
          <w:rFonts w:eastAsia="楷体"/>
          <w:color w:val="3016EE"/>
        </w:rPr>
        <w:t>。</w:t>
      </w:r>
    </w:p>
    <w:p>
      <w:pPr>
        <w:spacing w:line="360" w:lineRule="auto"/>
        <w:rPr>
          <w:sz w:val="24"/>
        </w:rPr>
      </w:pPr>
      <w:r>
        <w:rPr>
          <w:rFonts w:hint="eastAsia"/>
          <w:b/>
          <w:sz w:val="24"/>
        </w:rPr>
        <w:t>11.5.2</w:t>
      </w:r>
      <w:r>
        <w:rPr>
          <w:rFonts w:hint="eastAsia"/>
          <w:sz w:val="24"/>
        </w:rPr>
        <w:t xml:space="preserve">  照明功率密度的检测方法和判定方法应符合现行国家标准《公共建筑节能检测标准》JGJ/T 177的规定。</w:t>
      </w:r>
    </w:p>
    <w:p>
      <w:pPr>
        <w:spacing w:line="360" w:lineRule="auto"/>
        <w:rPr>
          <w:sz w:val="24"/>
        </w:rPr>
      </w:pPr>
    </w:p>
    <w:p>
      <w:pPr>
        <w:pStyle w:val="3"/>
        <w:rPr>
          <w:rFonts w:ascii="Times New Roman" w:hAnsi="Times New Roman" w:cs="Times New Roman"/>
          <w:lang w:val="zh-CN"/>
        </w:rPr>
      </w:pPr>
      <w:bookmarkStart w:id="134" w:name="_Toc17811222"/>
      <w:r>
        <w:rPr>
          <w:rFonts w:hint="eastAsia" w:ascii="Times New Roman" w:hAnsi="Times New Roman" w:cs="Times New Roman"/>
          <w:lang w:val="zh-CN"/>
        </w:rPr>
        <w:t>11</w:t>
      </w:r>
      <w:r>
        <w:rPr>
          <w:rFonts w:ascii="Times New Roman" w:hAnsi="Times New Roman" w:cs="Times New Roman"/>
          <w:lang w:val="zh-CN"/>
        </w:rPr>
        <w:t>.</w:t>
      </w:r>
      <w:r>
        <w:rPr>
          <w:rFonts w:hint="eastAsia" w:ascii="Times New Roman" w:hAnsi="Times New Roman" w:cs="Times New Roman"/>
          <w:lang w:val="zh-CN"/>
        </w:rPr>
        <w:t>6</w:t>
      </w:r>
      <w:r>
        <w:rPr>
          <w:rFonts w:ascii="Times New Roman" w:hAnsi="Times New Roman" w:cs="Times New Roman"/>
          <w:lang w:val="zh-CN"/>
        </w:rPr>
        <w:t xml:space="preserve">  </w:t>
      </w:r>
      <w:r>
        <w:rPr>
          <w:rFonts w:hint="eastAsia" w:ascii="Times New Roman" w:hAnsi="Times New Roman" w:cs="Times New Roman"/>
          <w:lang w:val="zh-CN"/>
        </w:rPr>
        <w:t>统一眩光值检测</w:t>
      </w:r>
      <w:bookmarkEnd w:id="134"/>
    </w:p>
    <w:p>
      <w:pPr>
        <w:spacing w:line="360" w:lineRule="auto"/>
        <w:rPr>
          <w:sz w:val="24"/>
        </w:rPr>
      </w:pPr>
      <w:r>
        <w:rPr>
          <w:rFonts w:hint="eastAsia"/>
          <w:b/>
          <w:sz w:val="24"/>
        </w:rPr>
        <w:t>11.6.1</w:t>
      </w:r>
      <w:r>
        <w:rPr>
          <w:rFonts w:hint="eastAsia"/>
          <w:sz w:val="24"/>
        </w:rPr>
        <w:t xml:space="preserve">  每种典型功能的房间或场所不应少于1个。</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不同建筑不同房间或场所的划分原则可参照现行国家标准《建筑照明设计标准》GB 50034中的规定</w:t>
      </w:r>
      <w:r>
        <w:rPr>
          <w:rFonts w:eastAsia="楷体"/>
          <w:color w:val="3016EE"/>
        </w:rPr>
        <w:t>。</w:t>
      </w:r>
    </w:p>
    <w:p>
      <w:pPr>
        <w:spacing w:line="360" w:lineRule="auto"/>
        <w:rPr>
          <w:sz w:val="24"/>
        </w:rPr>
      </w:pPr>
      <w:r>
        <w:rPr>
          <w:rFonts w:hint="eastAsia"/>
          <w:b/>
          <w:sz w:val="24"/>
        </w:rPr>
        <w:t>11.6.2</w:t>
      </w:r>
      <w:r>
        <w:rPr>
          <w:rFonts w:hint="eastAsia"/>
          <w:sz w:val="24"/>
        </w:rPr>
        <w:t xml:space="preserve">  统一眩光值的计算应符合现行国家标准《建筑照明设计标准》</w:t>
      </w:r>
      <w:r>
        <w:rPr>
          <w:sz w:val="24"/>
        </w:rPr>
        <w:t>GB50034</w:t>
      </w:r>
      <w:r>
        <w:rPr>
          <w:rFonts w:hint="eastAsia"/>
          <w:sz w:val="24"/>
        </w:rPr>
        <w:t>的规定；计算中涉及的背景亮度、灯具在观察者眼睛方向的亮度、观察者眼睛方向的间接照度等照明参数，其检测方法应符合现行国家标准《照明测量方法》</w:t>
      </w:r>
      <w:r>
        <w:rPr>
          <w:sz w:val="24"/>
        </w:rPr>
        <w:t>GB/T 5700</w:t>
      </w:r>
      <w:r>
        <w:rPr>
          <w:rFonts w:hint="eastAsia"/>
          <w:sz w:val="24"/>
        </w:rPr>
        <w:t>的规定。</w:t>
      </w:r>
      <w:r>
        <w:rPr>
          <w:sz w:val="24"/>
        </w:rPr>
        <w:t xml:space="preserve"> </w:t>
      </w:r>
    </w:p>
    <w:p>
      <w:pPr>
        <w:spacing w:line="360" w:lineRule="auto"/>
        <w:rPr>
          <w:sz w:val="24"/>
        </w:rPr>
      </w:pPr>
      <w:r>
        <w:rPr>
          <w:rFonts w:hint="eastAsia"/>
          <w:b/>
          <w:sz w:val="24"/>
        </w:rPr>
        <w:t xml:space="preserve">11.6.3 </w:t>
      </w:r>
      <w:r>
        <w:rPr>
          <w:rFonts w:hint="eastAsia"/>
          <w:sz w:val="24"/>
        </w:rPr>
        <w:t xml:space="preserve"> 统一眩光值的合格指标与判定方法应符合下列规定：</w:t>
      </w:r>
    </w:p>
    <w:p>
      <w:pPr>
        <w:spacing w:line="360" w:lineRule="auto"/>
        <w:ind w:firstLine="720" w:firstLineChars="300"/>
        <w:rPr>
          <w:sz w:val="24"/>
        </w:rPr>
      </w:pPr>
      <w:r>
        <w:rPr>
          <w:rFonts w:hint="eastAsia"/>
          <w:sz w:val="24"/>
        </w:rPr>
        <w:t>1  检测工况下，统一眩光值的检测值不应低于现行国家标准《建筑照明设计标准》GB 50034规定的标准值；</w:t>
      </w:r>
    </w:p>
    <w:p>
      <w:pPr>
        <w:spacing w:line="360" w:lineRule="auto"/>
        <w:ind w:firstLine="720" w:firstLineChars="300"/>
        <w:rPr>
          <w:sz w:val="24"/>
        </w:rPr>
      </w:pPr>
      <w:r>
        <w:rPr>
          <w:rFonts w:hint="eastAsia"/>
          <w:sz w:val="24"/>
        </w:rPr>
        <w:t>2  当检测结果满足本条第1款的规定时，应判定为合格。</w:t>
      </w:r>
    </w:p>
    <w:p>
      <w:pPr>
        <w:spacing w:line="360" w:lineRule="auto"/>
        <w:rPr>
          <w:color w:val="FF0000"/>
          <w:sz w:val="24"/>
        </w:rPr>
      </w:pPr>
    </w:p>
    <w:p>
      <w:pPr>
        <w:pStyle w:val="3"/>
        <w:rPr>
          <w:rFonts w:ascii="Times New Roman" w:hAnsi="Times New Roman" w:cs="Times New Roman"/>
          <w:lang w:val="zh-CN"/>
        </w:rPr>
      </w:pPr>
      <w:bookmarkStart w:id="135" w:name="_Toc17811223"/>
      <w:r>
        <w:rPr>
          <w:rFonts w:hint="eastAsia" w:ascii="Times New Roman" w:hAnsi="Times New Roman" w:cs="Times New Roman"/>
          <w:lang w:val="zh-CN"/>
        </w:rPr>
        <w:t>11</w:t>
      </w:r>
      <w:r>
        <w:rPr>
          <w:rFonts w:ascii="Times New Roman" w:hAnsi="Times New Roman" w:cs="Times New Roman"/>
          <w:lang w:val="zh-CN"/>
        </w:rPr>
        <w:t>.</w:t>
      </w:r>
      <w:r>
        <w:rPr>
          <w:rFonts w:hint="eastAsia" w:ascii="Times New Roman" w:hAnsi="Times New Roman" w:cs="Times New Roman"/>
          <w:lang w:val="zh-CN"/>
        </w:rPr>
        <w:t>7</w:t>
      </w:r>
      <w:r>
        <w:rPr>
          <w:rFonts w:ascii="Times New Roman" w:hAnsi="Times New Roman" w:cs="Times New Roman"/>
          <w:lang w:val="zh-CN"/>
        </w:rPr>
        <w:t xml:space="preserve">  </w:t>
      </w:r>
      <w:r>
        <w:rPr>
          <w:rFonts w:hint="eastAsia" w:ascii="Times New Roman" w:hAnsi="Times New Roman" w:cs="Times New Roman"/>
          <w:lang w:val="zh-CN"/>
        </w:rPr>
        <w:t>公共区照明控制检测</w:t>
      </w:r>
      <w:bookmarkEnd w:id="135"/>
    </w:p>
    <w:p>
      <w:pPr>
        <w:spacing w:line="360" w:lineRule="auto"/>
        <w:rPr>
          <w:sz w:val="24"/>
        </w:rPr>
      </w:pPr>
      <w:r>
        <w:rPr>
          <w:rFonts w:hint="eastAsia"/>
          <w:b/>
          <w:sz w:val="24"/>
        </w:rPr>
        <w:t>11.7.1</w:t>
      </w:r>
      <w:r>
        <w:rPr>
          <w:rFonts w:hint="eastAsia"/>
          <w:sz w:val="24"/>
        </w:rPr>
        <w:t xml:space="preserve">  每类公共区应至少抽测2个房间或场所，且均匀分布，并具有代表性。</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不同建筑不同场所的划分原则可参照现行国家标准《建筑照明设计标准》GB 50034中的规定</w:t>
      </w:r>
      <w:r>
        <w:rPr>
          <w:rFonts w:eastAsia="楷体"/>
          <w:color w:val="3016EE"/>
        </w:rPr>
        <w:t>。</w:t>
      </w:r>
    </w:p>
    <w:p>
      <w:pPr>
        <w:spacing w:line="360" w:lineRule="auto"/>
        <w:rPr>
          <w:b/>
          <w:bCs/>
          <w:kern w:val="44"/>
          <w:sz w:val="32"/>
          <w:szCs w:val="44"/>
        </w:rPr>
      </w:pPr>
      <w:r>
        <w:rPr>
          <w:rFonts w:hint="eastAsia"/>
          <w:b/>
          <w:sz w:val="24"/>
        </w:rPr>
        <w:t>11.7.2</w:t>
      </w:r>
      <w:r>
        <w:rPr>
          <w:rFonts w:hint="eastAsia"/>
          <w:sz w:val="24"/>
        </w:rPr>
        <w:t xml:space="preserve">  公共区照明控制的检测方法和判定方法应符合现行国家标准《公共建筑节能检测标准》JGJ/T 177的规定。</w:t>
      </w:r>
      <w:r>
        <w:br w:type="page"/>
      </w:r>
    </w:p>
    <w:p>
      <w:pPr>
        <w:pStyle w:val="2"/>
      </w:pPr>
      <w:bookmarkStart w:id="136" w:name="_Toc17811224"/>
      <w:r>
        <w:rPr>
          <w:rFonts w:hint="eastAsia"/>
        </w:rPr>
        <w:t>12 监测与控制系统性能检测</w:t>
      </w:r>
      <w:bookmarkEnd w:id="136"/>
    </w:p>
    <w:p>
      <w:pPr>
        <w:pStyle w:val="3"/>
        <w:rPr>
          <w:rFonts w:ascii="Times New Roman" w:hAnsi="Times New Roman" w:cs="Times New Roman"/>
          <w:lang w:val="zh-CN"/>
        </w:rPr>
      </w:pPr>
      <w:bookmarkStart w:id="137" w:name="_Toc17811225"/>
      <w:r>
        <w:rPr>
          <w:rFonts w:hint="eastAsia" w:ascii="Times New Roman" w:hAnsi="Times New Roman" w:cs="Times New Roman"/>
          <w:lang w:val="zh-CN"/>
        </w:rPr>
        <w:t>12</w:t>
      </w:r>
      <w:r>
        <w:rPr>
          <w:rFonts w:ascii="Times New Roman" w:hAnsi="Times New Roman" w:cs="Times New Roman"/>
          <w:lang w:val="zh-CN"/>
        </w:rPr>
        <w:t>.1  一般规定</w:t>
      </w:r>
      <w:bookmarkEnd w:id="137"/>
    </w:p>
    <w:p>
      <w:pPr>
        <w:spacing w:line="360" w:lineRule="auto"/>
        <w:rPr>
          <w:sz w:val="24"/>
        </w:rPr>
      </w:pPr>
      <w:r>
        <w:rPr>
          <w:rFonts w:hint="eastAsia"/>
          <w:b/>
          <w:sz w:val="24"/>
        </w:rPr>
        <w:t>12.1.1</w:t>
      </w:r>
      <w:r>
        <w:rPr>
          <w:rFonts w:hint="eastAsia"/>
          <w:sz w:val="24"/>
        </w:rPr>
        <w:t xml:space="preserve">  绿色建筑的监测与控制系统性能检测项目包括：活动外遮阳监控性能、送（回）风温度及湿度监控功能、空调冷源水系统压差控制功能、风机盘管变水量控制性能、照明及动力设备监控性能等检测。</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本条列举了监测与控制系统性能检测涉及的检测项目。</w:t>
      </w:r>
    </w:p>
    <w:p>
      <w:pPr>
        <w:spacing w:line="360" w:lineRule="auto"/>
        <w:rPr>
          <w:sz w:val="24"/>
        </w:rPr>
      </w:pPr>
      <w:r>
        <w:rPr>
          <w:rFonts w:hint="eastAsia"/>
          <w:b/>
          <w:sz w:val="24"/>
        </w:rPr>
        <w:t>12.1.2</w:t>
      </w:r>
      <w:r>
        <w:rPr>
          <w:rFonts w:hint="eastAsia"/>
          <w:sz w:val="24"/>
        </w:rPr>
        <w:t xml:space="preserve">  绿色建筑的监控系统宜采取现场核查方式进行。</w:t>
      </w:r>
    </w:p>
    <w:p>
      <w:pPr>
        <w:spacing w:line="360" w:lineRule="auto"/>
        <w:rPr>
          <w:sz w:val="24"/>
        </w:rPr>
      </w:pPr>
      <w:r>
        <w:rPr>
          <w:rFonts w:hint="eastAsia"/>
          <w:b/>
          <w:sz w:val="24"/>
        </w:rPr>
        <w:t>12.1.3</w:t>
      </w:r>
      <w:r>
        <w:rPr>
          <w:rFonts w:hint="eastAsia"/>
          <w:sz w:val="24"/>
        </w:rPr>
        <w:t xml:space="preserve">  绿色建筑的监控系统现场核查应在正式有效连续投入运行</w:t>
      </w:r>
      <w:r>
        <w:rPr>
          <w:sz w:val="24"/>
        </w:rPr>
        <w:t>1</w:t>
      </w:r>
      <w:r>
        <w:rPr>
          <w:rFonts w:hint="eastAsia"/>
          <w:sz w:val="24"/>
        </w:rPr>
        <w:t>个月后进行。</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由于监控系统在安装完成后，均存在一个调试或试运行的过程，在调试或试运行完成后，达到系统正常这一条件后方可开展检测，以保证检测的科学合理性。</w:t>
      </w:r>
    </w:p>
    <w:p>
      <w:pPr>
        <w:spacing w:line="360" w:lineRule="auto"/>
        <w:rPr>
          <w:sz w:val="24"/>
        </w:rPr>
      </w:pPr>
    </w:p>
    <w:p>
      <w:pPr>
        <w:pStyle w:val="3"/>
        <w:rPr>
          <w:rFonts w:ascii="Times New Roman" w:hAnsi="Times New Roman" w:cs="Times New Roman"/>
          <w:lang w:val="zh-CN"/>
        </w:rPr>
      </w:pPr>
      <w:bookmarkStart w:id="138" w:name="_Toc17811226"/>
      <w:r>
        <w:rPr>
          <w:rFonts w:hint="eastAsia" w:ascii="Times New Roman" w:hAnsi="Times New Roman" w:cs="Times New Roman"/>
          <w:lang w:val="zh-CN"/>
        </w:rPr>
        <w:t>12</w:t>
      </w:r>
      <w:r>
        <w:rPr>
          <w:rFonts w:ascii="Times New Roman" w:hAnsi="Times New Roman" w:cs="Times New Roman"/>
          <w:lang w:val="zh-CN"/>
        </w:rPr>
        <w:t>.</w:t>
      </w:r>
      <w:r>
        <w:rPr>
          <w:rFonts w:hint="eastAsia" w:ascii="Times New Roman" w:hAnsi="Times New Roman" w:cs="Times New Roman"/>
          <w:lang w:val="zh-CN"/>
        </w:rPr>
        <w:t>2</w:t>
      </w:r>
      <w:r>
        <w:rPr>
          <w:rFonts w:ascii="Times New Roman" w:hAnsi="Times New Roman" w:cs="Times New Roman"/>
          <w:lang w:val="zh-CN"/>
        </w:rPr>
        <w:t xml:space="preserve">  </w:t>
      </w:r>
      <w:r>
        <w:rPr>
          <w:rFonts w:hint="eastAsia" w:ascii="Times New Roman" w:hAnsi="Times New Roman" w:cs="Times New Roman"/>
          <w:lang w:val="zh-CN"/>
        </w:rPr>
        <w:t>活动外遮阳监控性能检查</w:t>
      </w:r>
      <w:bookmarkEnd w:id="138"/>
    </w:p>
    <w:p>
      <w:pPr>
        <w:spacing w:line="360" w:lineRule="auto"/>
        <w:rPr>
          <w:sz w:val="24"/>
        </w:rPr>
      </w:pPr>
      <w:r>
        <w:rPr>
          <w:b/>
          <w:sz w:val="24"/>
        </w:rPr>
        <w:t>1</w:t>
      </w:r>
      <w:r>
        <w:rPr>
          <w:rFonts w:hint="eastAsia"/>
          <w:b/>
          <w:sz w:val="24"/>
        </w:rPr>
        <w:t>2</w:t>
      </w:r>
      <w:r>
        <w:rPr>
          <w:b/>
          <w:sz w:val="24"/>
        </w:rPr>
        <w:t>.2.</w:t>
      </w:r>
      <w:r>
        <w:rPr>
          <w:rFonts w:hint="eastAsia"/>
          <w:b/>
          <w:sz w:val="24"/>
        </w:rPr>
        <w:t>1</w:t>
      </w:r>
      <w:r>
        <w:rPr>
          <w:sz w:val="24"/>
        </w:rPr>
        <w:t xml:space="preserve"> </w:t>
      </w:r>
      <w:r>
        <w:rPr>
          <w:rFonts w:hint="eastAsia"/>
          <w:sz w:val="24"/>
        </w:rPr>
        <w:t xml:space="preserve"> 活动外遮阳监控系统性能的检查数量应符合下列规定：</w:t>
      </w:r>
      <w:r>
        <w:rPr>
          <w:sz w:val="24"/>
        </w:rPr>
        <w:t xml:space="preserve"> </w:t>
      </w:r>
    </w:p>
    <w:p>
      <w:pPr>
        <w:spacing w:line="360" w:lineRule="auto"/>
        <w:ind w:firstLine="480" w:firstLineChars="200"/>
        <w:rPr>
          <w:sz w:val="24"/>
        </w:rPr>
      </w:pPr>
      <w:r>
        <w:rPr>
          <w:sz w:val="24"/>
        </w:rPr>
        <w:t xml:space="preserve">1 </w:t>
      </w:r>
      <w:r>
        <w:rPr>
          <w:rFonts w:hint="eastAsia"/>
          <w:sz w:val="24"/>
        </w:rPr>
        <w:t xml:space="preserve"> 对于单控的活动外遮阳系统抽查数量为总数乘以</w:t>
      </w:r>
      <w:r>
        <w:rPr>
          <w:sz w:val="24"/>
        </w:rPr>
        <w:t>10</w:t>
      </w:r>
      <w:r>
        <w:rPr>
          <w:rFonts w:hint="eastAsia"/>
          <w:sz w:val="24"/>
        </w:rPr>
        <w:t>％后舍尾取整，且不应少于</w:t>
      </w:r>
      <w:r>
        <w:rPr>
          <w:sz w:val="24"/>
        </w:rPr>
        <w:t>1</w:t>
      </w:r>
      <w:r>
        <w:rPr>
          <w:rFonts w:hint="eastAsia"/>
          <w:sz w:val="24"/>
        </w:rPr>
        <w:t>套；</w:t>
      </w:r>
      <w:r>
        <w:rPr>
          <w:sz w:val="24"/>
        </w:rPr>
        <w:t xml:space="preserve"> </w:t>
      </w:r>
    </w:p>
    <w:p>
      <w:pPr>
        <w:spacing w:line="360" w:lineRule="auto"/>
        <w:ind w:firstLine="480" w:firstLineChars="200"/>
        <w:rPr>
          <w:sz w:val="24"/>
        </w:rPr>
      </w:pPr>
      <w:r>
        <w:rPr>
          <w:sz w:val="24"/>
        </w:rPr>
        <w:t xml:space="preserve">2 </w:t>
      </w:r>
      <w:r>
        <w:rPr>
          <w:rFonts w:hint="eastAsia"/>
          <w:sz w:val="24"/>
        </w:rPr>
        <w:t xml:space="preserve"> 对于群控的活动外遮阳系统应全数检查。</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建筑外遮阳设施种类繁多，可以按照调节性能、驱动方式、面料材质、产品类型、控制方式等分类方式，考虑到本条是对监控系统进行检测，故采用控制方式对活动外遮阳系统进行分类，即分为单控、群控两大类。单控系统检测数量应采用抽测，抽测数量为总数乘以</w:t>
      </w:r>
      <w:r>
        <w:rPr>
          <w:rFonts w:eastAsia="楷体"/>
          <w:color w:val="3016EE"/>
        </w:rPr>
        <w:t>10</w:t>
      </w:r>
      <w:r>
        <w:rPr>
          <w:rFonts w:hint="eastAsia" w:eastAsia="楷体"/>
          <w:color w:val="3016EE"/>
        </w:rPr>
        <w:t>％后舍尾取整；群控系统应全部检测。</w:t>
      </w:r>
    </w:p>
    <w:p>
      <w:pPr>
        <w:spacing w:line="360" w:lineRule="auto"/>
        <w:rPr>
          <w:sz w:val="24"/>
        </w:rPr>
      </w:pPr>
      <w:r>
        <w:rPr>
          <w:b/>
          <w:sz w:val="24"/>
        </w:rPr>
        <w:t>1</w:t>
      </w:r>
      <w:r>
        <w:rPr>
          <w:rFonts w:hint="eastAsia"/>
          <w:b/>
          <w:sz w:val="24"/>
        </w:rPr>
        <w:t>2</w:t>
      </w:r>
      <w:r>
        <w:rPr>
          <w:b/>
          <w:sz w:val="24"/>
        </w:rPr>
        <w:t>.2.</w:t>
      </w:r>
      <w:r>
        <w:rPr>
          <w:rFonts w:hint="eastAsia"/>
          <w:b/>
          <w:sz w:val="24"/>
        </w:rPr>
        <w:t>2</w:t>
      </w:r>
      <w:r>
        <w:rPr>
          <w:sz w:val="24"/>
        </w:rPr>
        <w:t xml:space="preserve"> </w:t>
      </w:r>
      <w:r>
        <w:rPr>
          <w:rFonts w:hint="eastAsia"/>
          <w:sz w:val="24"/>
        </w:rPr>
        <w:t xml:space="preserve"> 活动外遮阳监控系统性能的检查方法应符合下列规定：</w:t>
      </w:r>
      <w:r>
        <w:rPr>
          <w:sz w:val="24"/>
        </w:rPr>
        <w:t xml:space="preserve"> </w:t>
      </w:r>
    </w:p>
    <w:p>
      <w:pPr>
        <w:spacing w:line="360" w:lineRule="auto"/>
        <w:ind w:firstLine="480" w:firstLineChars="200"/>
        <w:rPr>
          <w:sz w:val="24"/>
        </w:rPr>
      </w:pPr>
      <w:r>
        <w:rPr>
          <w:rFonts w:hint="eastAsia"/>
          <w:sz w:val="24"/>
        </w:rPr>
        <w:t>1</w:t>
      </w:r>
      <w:r>
        <w:rPr>
          <w:sz w:val="24"/>
        </w:rPr>
        <w:t xml:space="preserve"> </w:t>
      </w:r>
      <w:r>
        <w:rPr>
          <w:rFonts w:hint="eastAsia"/>
          <w:sz w:val="24"/>
        </w:rPr>
        <w:t xml:space="preserve"> 检查活动外遮阳监控系统软件各项功能，进行开启、闭合、调节、停止等各种动作，观察并记录系统软件各项功能运行是否正常、硬件机构动作执行是否流畅，核查运行工况是否符合设计要求；</w:t>
      </w:r>
    </w:p>
    <w:p>
      <w:pPr>
        <w:spacing w:line="360" w:lineRule="auto"/>
        <w:ind w:firstLine="480" w:firstLineChars="200"/>
        <w:rPr>
          <w:sz w:val="24"/>
        </w:rPr>
      </w:pPr>
      <w:r>
        <w:rPr>
          <w:rFonts w:hint="eastAsia"/>
          <w:sz w:val="24"/>
        </w:rPr>
        <w:t>2</w:t>
      </w:r>
      <w:r>
        <w:rPr>
          <w:sz w:val="24"/>
        </w:rPr>
        <w:t xml:space="preserve"> </w:t>
      </w:r>
      <w:r>
        <w:rPr>
          <w:rFonts w:hint="eastAsia"/>
          <w:sz w:val="24"/>
        </w:rPr>
        <w:t xml:space="preserve"> 对于可根据室外气象参数自动调节的活动外遮阳系统，应选取晴天测试环境，观察并记录活动外遮阳系统在不同时段太阳入射角条件下的自动调节情况，核查运行工况是否符合设计要求；全天记录时间不少于8h，记录间隔2h。</w:t>
      </w:r>
    </w:p>
    <w:p>
      <w:pPr>
        <w:spacing w:line="360" w:lineRule="auto"/>
        <w:rPr>
          <w:sz w:val="24"/>
        </w:rPr>
      </w:pPr>
      <w:r>
        <w:rPr>
          <w:rFonts w:hint="eastAsia"/>
          <w:b/>
          <w:sz w:val="24"/>
        </w:rPr>
        <w:t>12.2.3</w:t>
      </w:r>
      <w:r>
        <w:rPr>
          <w:rFonts w:hint="eastAsia"/>
          <w:sz w:val="24"/>
        </w:rPr>
        <w:t xml:space="preserve">  活动外遮阳监控系统性能检查的合格指标和判定方法应符合下列规定：</w:t>
      </w:r>
    </w:p>
    <w:p>
      <w:pPr>
        <w:spacing w:line="360" w:lineRule="auto"/>
        <w:rPr>
          <w:color w:val="FF0000"/>
          <w:sz w:val="24"/>
        </w:rPr>
      </w:pPr>
      <w:r>
        <w:rPr>
          <w:rFonts w:hint="eastAsia"/>
          <w:sz w:val="24"/>
        </w:rPr>
        <w:t xml:space="preserve">    1  监控系统软件各项功能应运行正常、硬件机构动作执行流畅，运行工况符合设计要求；</w:t>
      </w:r>
    </w:p>
    <w:p>
      <w:pPr>
        <w:spacing w:line="360" w:lineRule="auto"/>
        <w:ind w:firstLine="480"/>
        <w:rPr>
          <w:sz w:val="24"/>
        </w:rPr>
      </w:pPr>
      <w:r>
        <w:rPr>
          <w:rFonts w:hint="eastAsia"/>
          <w:sz w:val="24"/>
        </w:rPr>
        <w:t>2  当检查结果符合本条第1款的规定时，应判定为合格。</w:t>
      </w:r>
    </w:p>
    <w:p>
      <w:pPr>
        <w:spacing w:line="360" w:lineRule="auto"/>
        <w:rPr>
          <w:rFonts w:eastAsia="楷体"/>
          <w:color w:val="3016EE"/>
        </w:rPr>
      </w:pPr>
      <w:r>
        <w:rPr>
          <w:rFonts w:eastAsia="楷体"/>
          <w:color w:val="3016EE"/>
        </w:rPr>
        <w:t>【条文说明】</w:t>
      </w:r>
    </w:p>
    <w:p>
      <w:pPr>
        <w:spacing w:line="360" w:lineRule="auto"/>
        <w:ind w:firstLine="420" w:firstLineChars="200"/>
        <w:rPr>
          <w:rFonts w:eastAsia="楷体"/>
          <w:color w:val="3016EE"/>
        </w:rPr>
      </w:pPr>
      <w:r>
        <w:rPr>
          <w:rFonts w:hint="eastAsia" w:eastAsia="楷体"/>
          <w:color w:val="3016EE"/>
        </w:rPr>
        <w:t>本条重点考察监控系统对活动外遮阳系统的控制功能是否能够实现，以及动作时间是否能够满足设计要求。</w:t>
      </w:r>
    </w:p>
    <w:p>
      <w:pPr>
        <w:spacing w:line="360" w:lineRule="auto"/>
        <w:ind w:firstLine="480"/>
        <w:rPr>
          <w:sz w:val="24"/>
        </w:rPr>
      </w:pPr>
    </w:p>
    <w:p>
      <w:pPr>
        <w:pStyle w:val="3"/>
        <w:rPr>
          <w:rFonts w:ascii="Times New Roman" w:hAnsi="Times New Roman" w:cs="Times New Roman"/>
          <w:lang w:val="zh-CN"/>
        </w:rPr>
      </w:pPr>
      <w:bookmarkStart w:id="139" w:name="_Toc17811227"/>
      <w:r>
        <w:rPr>
          <w:rFonts w:hint="eastAsia" w:ascii="Times New Roman" w:hAnsi="Times New Roman" w:cs="Times New Roman"/>
          <w:lang w:val="zh-CN"/>
        </w:rPr>
        <w:t>12</w:t>
      </w:r>
      <w:r>
        <w:rPr>
          <w:rFonts w:ascii="Times New Roman" w:hAnsi="Times New Roman" w:cs="Times New Roman"/>
          <w:lang w:val="zh-CN"/>
        </w:rPr>
        <w:t>.</w:t>
      </w:r>
      <w:r>
        <w:rPr>
          <w:rFonts w:hint="eastAsia" w:ascii="Times New Roman" w:hAnsi="Times New Roman" w:cs="Times New Roman"/>
          <w:lang w:val="zh-CN"/>
        </w:rPr>
        <w:t>3</w:t>
      </w:r>
      <w:r>
        <w:rPr>
          <w:rFonts w:ascii="Times New Roman" w:hAnsi="Times New Roman" w:cs="Times New Roman"/>
          <w:lang w:val="zh-CN"/>
        </w:rPr>
        <w:t xml:space="preserve">  </w:t>
      </w:r>
      <w:r>
        <w:rPr>
          <w:rFonts w:hint="eastAsia" w:ascii="Times New Roman" w:hAnsi="Times New Roman" w:cs="Times New Roman"/>
          <w:lang w:val="zh-CN"/>
        </w:rPr>
        <w:t>送（回）风温度及湿度监控功能检测</w:t>
      </w:r>
      <w:bookmarkEnd w:id="139"/>
    </w:p>
    <w:p>
      <w:pPr>
        <w:spacing w:line="360" w:lineRule="auto"/>
        <w:rPr>
          <w:sz w:val="24"/>
        </w:rPr>
      </w:pPr>
      <w:r>
        <w:rPr>
          <w:b/>
          <w:sz w:val="24"/>
        </w:rPr>
        <w:t>1</w:t>
      </w:r>
      <w:r>
        <w:rPr>
          <w:rFonts w:hint="eastAsia"/>
          <w:b/>
          <w:sz w:val="24"/>
        </w:rPr>
        <w:t>2</w:t>
      </w:r>
      <w:r>
        <w:rPr>
          <w:b/>
          <w:sz w:val="24"/>
        </w:rPr>
        <w:t>.</w:t>
      </w:r>
      <w:r>
        <w:rPr>
          <w:rFonts w:hint="eastAsia"/>
          <w:b/>
          <w:sz w:val="24"/>
        </w:rPr>
        <w:t>3</w:t>
      </w:r>
      <w:r>
        <w:rPr>
          <w:b/>
          <w:sz w:val="24"/>
        </w:rPr>
        <w:t>.1</w:t>
      </w:r>
      <w:r>
        <w:rPr>
          <w:sz w:val="24"/>
        </w:rPr>
        <w:t xml:space="preserve"> </w:t>
      </w:r>
      <w:r>
        <w:rPr>
          <w:rFonts w:hint="eastAsia"/>
          <w:sz w:val="24"/>
        </w:rPr>
        <w:t xml:space="preserve"> 送（回）风温度及湿度监控功能的检测数量、检测方法和判定方法应符合现行行业标准《公共建筑节能检测标准》</w:t>
      </w:r>
      <w:r>
        <w:rPr>
          <w:sz w:val="24"/>
        </w:rPr>
        <w:t>JGJ/T</w:t>
      </w:r>
      <w:r>
        <w:rPr>
          <w:rFonts w:hint="eastAsia"/>
          <w:sz w:val="24"/>
        </w:rPr>
        <w:t xml:space="preserve"> </w:t>
      </w:r>
      <w:r>
        <w:rPr>
          <w:sz w:val="24"/>
        </w:rPr>
        <w:t>177</w:t>
      </w:r>
      <w:r>
        <w:rPr>
          <w:rFonts w:hint="eastAsia"/>
          <w:sz w:val="24"/>
        </w:rPr>
        <w:t>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color w:val="0070C0"/>
          <w:sz w:val="24"/>
        </w:rPr>
      </w:pPr>
    </w:p>
    <w:p>
      <w:pPr>
        <w:pStyle w:val="3"/>
        <w:rPr>
          <w:rFonts w:ascii="Times New Roman" w:hAnsi="Times New Roman" w:cs="Times New Roman"/>
          <w:lang w:val="zh-CN"/>
        </w:rPr>
      </w:pPr>
      <w:bookmarkStart w:id="140" w:name="_Toc17811228"/>
      <w:r>
        <w:rPr>
          <w:rFonts w:hint="eastAsia" w:ascii="Times New Roman" w:hAnsi="Times New Roman" w:cs="Times New Roman"/>
          <w:lang w:val="zh-CN"/>
        </w:rPr>
        <w:t>12</w:t>
      </w:r>
      <w:r>
        <w:rPr>
          <w:rFonts w:ascii="Times New Roman" w:hAnsi="Times New Roman" w:cs="Times New Roman"/>
          <w:lang w:val="zh-CN"/>
        </w:rPr>
        <w:t>.</w:t>
      </w:r>
      <w:r>
        <w:rPr>
          <w:rFonts w:hint="eastAsia" w:ascii="Times New Roman" w:hAnsi="Times New Roman" w:cs="Times New Roman"/>
          <w:lang w:val="zh-CN"/>
        </w:rPr>
        <w:t>4</w:t>
      </w:r>
      <w:r>
        <w:rPr>
          <w:rFonts w:ascii="Times New Roman" w:hAnsi="Times New Roman" w:cs="Times New Roman"/>
          <w:lang w:val="zh-CN"/>
        </w:rPr>
        <w:t xml:space="preserve">  </w:t>
      </w:r>
      <w:r>
        <w:rPr>
          <w:rFonts w:hint="eastAsia" w:ascii="Times New Roman" w:hAnsi="Times New Roman" w:cs="Times New Roman"/>
          <w:lang w:val="zh-CN"/>
        </w:rPr>
        <w:t>空调冷源水系统压差控制功能检测</w:t>
      </w:r>
      <w:bookmarkEnd w:id="140"/>
    </w:p>
    <w:p>
      <w:pPr>
        <w:spacing w:line="360" w:lineRule="auto"/>
        <w:rPr>
          <w:sz w:val="24"/>
        </w:rPr>
      </w:pPr>
      <w:r>
        <w:rPr>
          <w:rFonts w:hint="eastAsia"/>
          <w:b/>
          <w:sz w:val="24"/>
        </w:rPr>
        <w:t>12.4.1</w:t>
      </w:r>
      <w:r>
        <w:rPr>
          <w:rFonts w:hint="eastAsia"/>
          <w:sz w:val="24"/>
        </w:rPr>
        <w:t xml:space="preserve">  空调冷源水系统压差控制功能的检测数量、检测方法和判定方法应符合现行行业标准《公共建筑节能检测标准》</w:t>
      </w:r>
      <w:r>
        <w:rPr>
          <w:sz w:val="24"/>
        </w:rPr>
        <w:t>JGJ/T</w:t>
      </w:r>
      <w:r>
        <w:rPr>
          <w:rFonts w:hint="eastAsia"/>
          <w:sz w:val="24"/>
        </w:rPr>
        <w:t xml:space="preserve"> </w:t>
      </w:r>
      <w:r>
        <w:rPr>
          <w:sz w:val="24"/>
        </w:rPr>
        <w:t>177</w:t>
      </w:r>
      <w:r>
        <w:rPr>
          <w:rFonts w:hint="eastAsia"/>
          <w:sz w:val="24"/>
        </w:rPr>
        <w:t>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color w:val="0070C0"/>
          <w:sz w:val="24"/>
        </w:rPr>
      </w:pPr>
    </w:p>
    <w:p>
      <w:pPr>
        <w:pStyle w:val="3"/>
        <w:rPr>
          <w:rFonts w:ascii="Times New Roman" w:hAnsi="Times New Roman" w:cs="Times New Roman"/>
          <w:lang w:val="zh-CN"/>
        </w:rPr>
      </w:pPr>
      <w:bookmarkStart w:id="141" w:name="_Toc17811229"/>
      <w:r>
        <w:rPr>
          <w:rFonts w:hint="eastAsia" w:ascii="Times New Roman" w:hAnsi="Times New Roman" w:cs="Times New Roman"/>
          <w:lang w:val="zh-CN"/>
        </w:rPr>
        <w:t>12</w:t>
      </w:r>
      <w:r>
        <w:rPr>
          <w:rFonts w:ascii="Times New Roman" w:hAnsi="Times New Roman" w:cs="Times New Roman"/>
          <w:lang w:val="zh-CN"/>
        </w:rPr>
        <w:t>.</w:t>
      </w:r>
      <w:r>
        <w:rPr>
          <w:rFonts w:hint="eastAsia" w:ascii="Times New Roman" w:hAnsi="Times New Roman" w:cs="Times New Roman"/>
          <w:lang w:val="zh-CN"/>
        </w:rPr>
        <w:t>5</w:t>
      </w:r>
      <w:r>
        <w:rPr>
          <w:rFonts w:ascii="Times New Roman" w:hAnsi="Times New Roman" w:cs="Times New Roman"/>
          <w:lang w:val="zh-CN"/>
        </w:rPr>
        <w:t xml:space="preserve">  </w:t>
      </w:r>
      <w:r>
        <w:rPr>
          <w:rFonts w:hint="eastAsia" w:ascii="Times New Roman" w:hAnsi="Times New Roman" w:cs="Times New Roman"/>
          <w:lang w:val="zh-CN"/>
        </w:rPr>
        <w:t>风机盘管变水量控制性能检测</w:t>
      </w:r>
      <w:bookmarkEnd w:id="141"/>
    </w:p>
    <w:p>
      <w:pPr>
        <w:spacing w:line="360" w:lineRule="auto"/>
        <w:rPr>
          <w:sz w:val="24"/>
        </w:rPr>
      </w:pPr>
      <w:r>
        <w:rPr>
          <w:rFonts w:hint="eastAsia"/>
          <w:b/>
          <w:sz w:val="24"/>
        </w:rPr>
        <w:t>12.5.1</w:t>
      </w:r>
      <w:r>
        <w:rPr>
          <w:rFonts w:hint="eastAsia"/>
          <w:sz w:val="24"/>
        </w:rPr>
        <w:t xml:space="preserve">  风机盘管变水量控制性能的检测数量、检测方法和判定方法应符合现行行业标准《公共建筑节能检测标准》</w:t>
      </w:r>
      <w:r>
        <w:rPr>
          <w:sz w:val="24"/>
        </w:rPr>
        <w:t>JGJ/T</w:t>
      </w:r>
      <w:r>
        <w:rPr>
          <w:rFonts w:hint="eastAsia"/>
          <w:sz w:val="24"/>
        </w:rPr>
        <w:t xml:space="preserve"> </w:t>
      </w:r>
      <w:r>
        <w:rPr>
          <w:sz w:val="24"/>
        </w:rPr>
        <w:t>177</w:t>
      </w:r>
      <w:r>
        <w:rPr>
          <w:rFonts w:hint="eastAsia"/>
          <w:sz w:val="24"/>
        </w:rPr>
        <w:t>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rPr>
          <w:color w:val="0070C0"/>
          <w:sz w:val="24"/>
        </w:rPr>
      </w:pPr>
    </w:p>
    <w:p>
      <w:pPr>
        <w:pStyle w:val="3"/>
        <w:rPr>
          <w:rFonts w:ascii="Times New Roman" w:hAnsi="Times New Roman" w:cs="Times New Roman"/>
          <w:lang w:val="zh-CN"/>
        </w:rPr>
      </w:pPr>
      <w:bookmarkStart w:id="142" w:name="_Toc17811230"/>
      <w:r>
        <w:rPr>
          <w:rFonts w:hint="eastAsia" w:ascii="Times New Roman" w:hAnsi="Times New Roman" w:cs="Times New Roman"/>
          <w:lang w:val="zh-CN"/>
        </w:rPr>
        <w:t>12</w:t>
      </w:r>
      <w:r>
        <w:rPr>
          <w:rFonts w:ascii="Times New Roman" w:hAnsi="Times New Roman" w:cs="Times New Roman"/>
          <w:lang w:val="zh-CN"/>
        </w:rPr>
        <w:t>.</w:t>
      </w:r>
      <w:r>
        <w:rPr>
          <w:rFonts w:hint="eastAsia" w:ascii="Times New Roman" w:hAnsi="Times New Roman" w:cs="Times New Roman"/>
          <w:lang w:val="zh-CN"/>
        </w:rPr>
        <w:t>6</w:t>
      </w:r>
      <w:r>
        <w:rPr>
          <w:rFonts w:ascii="Times New Roman" w:hAnsi="Times New Roman" w:cs="Times New Roman"/>
          <w:lang w:val="zh-CN"/>
        </w:rPr>
        <w:t xml:space="preserve">  </w:t>
      </w:r>
      <w:r>
        <w:rPr>
          <w:rFonts w:hint="eastAsia" w:ascii="Times New Roman" w:hAnsi="Times New Roman" w:cs="Times New Roman"/>
          <w:lang w:val="zh-CN"/>
        </w:rPr>
        <w:t>照明及动力设备监控性能检测</w:t>
      </w:r>
      <w:bookmarkEnd w:id="142"/>
    </w:p>
    <w:p>
      <w:pPr>
        <w:spacing w:line="360" w:lineRule="auto"/>
        <w:rPr>
          <w:color w:val="FF0000"/>
          <w:sz w:val="24"/>
        </w:rPr>
      </w:pPr>
      <w:r>
        <w:rPr>
          <w:rFonts w:hint="eastAsia"/>
          <w:b/>
          <w:sz w:val="24"/>
        </w:rPr>
        <w:t>12.6.1</w:t>
      </w:r>
      <w:r>
        <w:rPr>
          <w:rFonts w:hint="eastAsia"/>
          <w:sz w:val="24"/>
        </w:rPr>
        <w:t xml:space="preserve">  照明及动力设备监控性能的检测数量、检测方法和判定方法应符合现行行业标准《公共建筑节能检测标准》</w:t>
      </w:r>
      <w:r>
        <w:rPr>
          <w:sz w:val="24"/>
        </w:rPr>
        <w:t>JGJ/T</w:t>
      </w:r>
      <w:r>
        <w:rPr>
          <w:rFonts w:hint="eastAsia"/>
          <w:sz w:val="24"/>
        </w:rPr>
        <w:t xml:space="preserve"> </w:t>
      </w:r>
      <w:r>
        <w:rPr>
          <w:sz w:val="24"/>
        </w:rPr>
        <w:t>177</w:t>
      </w:r>
      <w:r>
        <w:rPr>
          <w:rFonts w:hint="eastAsia"/>
          <w:sz w:val="24"/>
        </w:rPr>
        <w:t>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应按现行行业标准《公共建筑节能检测标准》JGJ/T 177的规定执行。</w:t>
      </w:r>
    </w:p>
    <w:p>
      <w:pPr>
        <w:spacing w:line="360" w:lineRule="auto"/>
        <w:ind w:firstLine="480" w:firstLineChars="200"/>
        <w:rPr>
          <w:sz w:val="24"/>
        </w:rPr>
      </w:pPr>
    </w:p>
    <w:p>
      <w:pPr>
        <w:spacing w:line="360" w:lineRule="auto"/>
        <w:ind w:firstLine="480" w:firstLineChars="200"/>
        <w:rPr>
          <w:sz w:val="24"/>
        </w:rPr>
      </w:pPr>
    </w:p>
    <w:p>
      <w:pPr>
        <w:widowControl/>
        <w:jc w:val="left"/>
        <w:rPr>
          <w:b/>
          <w:sz w:val="32"/>
        </w:rPr>
      </w:pPr>
      <w:r>
        <w:rPr>
          <w:b/>
          <w:sz w:val="32"/>
        </w:rPr>
        <w:br w:type="page"/>
      </w:r>
    </w:p>
    <w:p>
      <w:pPr>
        <w:pStyle w:val="2"/>
      </w:pPr>
      <w:bookmarkStart w:id="143" w:name="_Toc530472508"/>
      <w:bookmarkStart w:id="144" w:name="_Toc17811231"/>
      <w:r>
        <w:rPr>
          <w:rFonts w:hint="eastAsia"/>
        </w:rPr>
        <w:t xml:space="preserve">13  </w:t>
      </w:r>
      <w:bookmarkEnd w:id="143"/>
      <w:r>
        <w:rPr>
          <w:rFonts w:hint="eastAsia"/>
        </w:rPr>
        <w:t>太阳能系统检测</w:t>
      </w:r>
      <w:bookmarkEnd w:id="144"/>
    </w:p>
    <w:p>
      <w:pPr>
        <w:pStyle w:val="3"/>
      </w:pPr>
      <w:bookmarkStart w:id="145" w:name="_Toc530472509"/>
      <w:bookmarkStart w:id="146" w:name="_Toc17811232"/>
      <w:r>
        <w:rPr>
          <w:rFonts w:ascii="Times New Roman" w:hAnsi="Times New Roman" w:cs="Times New Roman"/>
        </w:rPr>
        <w:t>1</w:t>
      </w:r>
      <w:r>
        <w:rPr>
          <w:rFonts w:hint="eastAsia" w:ascii="Times New Roman" w:hAnsi="Times New Roman" w:cs="Times New Roman"/>
        </w:rPr>
        <w:t>3</w:t>
      </w:r>
      <w:r>
        <w:rPr>
          <w:rFonts w:ascii="Times New Roman" w:hAnsi="Times New Roman" w:cs="Times New Roman"/>
        </w:rPr>
        <w:t>.1</w:t>
      </w:r>
      <w:r>
        <w:rPr>
          <w:rFonts w:hint="eastAsia"/>
        </w:rPr>
        <w:t xml:space="preserve">  一般规定</w:t>
      </w:r>
      <w:bookmarkEnd w:id="145"/>
      <w:bookmarkEnd w:id="146"/>
      <w:r>
        <w:rPr>
          <w:rFonts w:hint="eastAsia"/>
        </w:rPr>
        <w:t xml:space="preserve"> </w:t>
      </w:r>
    </w:p>
    <w:p>
      <w:pPr>
        <w:spacing w:line="360" w:lineRule="auto"/>
        <w:rPr>
          <w:sz w:val="24"/>
        </w:rPr>
      </w:pPr>
      <w:r>
        <w:rPr>
          <w:rFonts w:hint="eastAsia"/>
          <w:b/>
          <w:sz w:val="24"/>
        </w:rPr>
        <w:t xml:space="preserve">13.1.1  </w:t>
      </w:r>
      <w:r>
        <w:rPr>
          <w:rFonts w:hint="eastAsia"/>
          <w:sz w:val="24"/>
        </w:rPr>
        <w:t>太阳能系统检测项目应包括：太阳能集热系统效率、太阳能贮热水箱热损因数、太阳能供热水温度、太阳能光伏系统光电转换效率等检测。</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太阳能系统包括太阳能热利用系统和太阳能光伏系统，本条列举了太阳能系统检测涉及的检测项目。</w:t>
      </w:r>
    </w:p>
    <w:p>
      <w:pPr>
        <w:spacing w:line="360" w:lineRule="auto"/>
        <w:rPr>
          <w:sz w:val="24"/>
        </w:rPr>
      </w:pPr>
      <w:r>
        <w:rPr>
          <w:rFonts w:hint="eastAsia"/>
          <w:b/>
          <w:sz w:val="24"/>
        </w:rPr>
        <w:t xml:space="preserve">13.1.2 </w:t>
      </w:r>
      <w:r>
        <w:rPr>
          <w:rFonts w:hint="eastAsia"/>
          <w:sz w:val="24"/>
        </w:rPr>
        <w:t xml:space="preserve"> 太阳能系统检测均应在系统、设备实际运行状态下进行。 </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本标准是对系统、设备实际运行性能进行检测，即根据系统和设备的实际运行状态对其性能进行检测。</w:t>
      </w:r>
    </w:p>
    <w:p>
      <w:pPr>
        <w:spacing w:line="360" w:lineRule="auto"/>
        <w:rPr>
          <w:sz w:val="24"/>
        </w:rPr>
      </w:pPr>
      <w:r>
        <w:rPr>
          <w:rFonts w:hint="eastAsia"/>
          <w:b/>
          <w:sz w:val="24"/>
        </w:rPr>
        <w:t xml:space="preserve">13.1.3  </w:t>
      </w:r>
      <w:r>
        <w:rPr>
          <w:rFonts w:hint="eastAsia"/>
          <w:sz w:val="24"/>
        </w:rPr>
        <w:t>太阳能系统的参数检测，条件具备时应优先选用长期测试方式，否则选用短期测试方式。长期测试结果与短期测试结果不一致时，应以长期测试结果为准。</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由于太阳能系统全年分布密度变化很大，负荷也很难统一不变，因此通过长期的测试更能反映系统的真实性能，但是限于时间和经济因素，有时不具备长期测试的条件，需要选择一些典型的工况通过短期测试，计算出工程的性能。当前太阳能系统的测试参数及其测试方法有一定差别，急需统一的方法进行规范，使得测试结果具有可比性。</w:t>
      </w:r>
    </w:p>
    <w:p>
      <w:pPr>
        <w:spacing w:line="360" w:lineRule="auto"/>
        <w:ind w:firstLine="480" w:firstLineChars="200"/>
        <w:rPr>
          <w:sz w:val="24"/>
        </w:rPr>
      </w:pPr>
    </w:p>
    <w:p>
      <w:pPr>
        <w:pStyle w:val="3"/>
        <w:rPr>
          <w:rFonts w:ascii="Times New Roman" w:hAnsi="Times New Roman" w:cs="Times New Roman"/>
        </w:rPr>
      </w:pPr>
      <w:bookmarkStart w:id="147" w:name="_Toc530472510"/>
      <w:bookmarkStart w:id="148" w:name="_Toc17811233"/>
      <w:r>
        <w:rPr>
          <w:rFonts w:hint="eastAsia" w:ascii="Times New Roman" w:hAnsi="Times New Roman" w:cs="Times New Roman"/>
        </w:rPr>
        <w:t>13.2  太阳能</w:t>
      </w:r>
      <w:bookmarkEnd w:id="147"/>
      <w:r>
        <w:rPr>
          <w:rFonts w:hint="eastAsia" w:ascii="Times New Roman" w:hAnsi="Times New Roman" w:cs="Times New Roman"/>
        </w:rPr>
        <w:t>集热系统效率检测</w:t>
      </w:r>
      <w:bookmarkEnd w:id="148"/>
      <w:r>
        <w:rPr>
          <w:rFonts w:hint="eastAsia" w:ascii="Times New Roman" w:hAnsi="Times New Roman" w:cs="Times New Roman"/>
        </w:rPr>
        <w:t xml:space="preserve"> </w:t>
      </w:r>
    </w:p>
    <w:p>
      <w:pPr>
        <w:spacing w:line="360" w:lineRule="auto"/>
        <w:rPr>
          <w:sz w:val="24"/>
        </w:rPr>
      </w:pPr>
      <w:r>
        <w:rPr>
          <w:rFonts w:hint="eastAsia"/>
          <w:b/>
          <w:sz w:val="24"/>
        </w:rPr>
        <w:t>13.2.1</w:t>
      </w:r>
      <w:r>
        <w:rPr>
          <w:rFonts w:hint="eastAsia"/>
          <w:sz w:val="24"/>
        </w:rPr>
        <w:t xml:space="preserve">  同一类型太阳能系统抽测2%，且不得少于1个系统。</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sz w:val="24"/>
        </w:rPr>
      </w:pPr>
      <w:r>
        <w:rPr>
          <w:rFonts w:hint="eastAsia" w:eastAsia="楷体"/>
          <w:color w:val="3016EE"/>
        </w:rPr>
        <w:t>本条太阳能系统是指太阳能热利用系统，其类型包括：太阳能供热水系统、太阳能采暖系统和太阳能空调系统等。</w:t>
      </w:r>
    </w:p>
    <w:p>
      <w:pPr>
        <w:spacing w:line="360" w:lineRule="auto"/>
        <w:rPr>
          <w:sz w:val="24"/>
        </w:rPr>
      </w:pPr>
      <w:r>
        <w:rPr>
          <w:rFonts w:hint="eastAsia"/>
          <w:b/>
          <w:sz w:val="24"/>
        </w:rPr>
        <w:t xml:space="preserve">13.2.2 </w:t>
      </w:r>
      <w:r>
        <w:rPr>
          <w:rFonts w:hint="eastAsia"/>
          <w:sz w:val="24"/>
        </w:rPr>
        <w:t xml:space="preserve"> 太阳能集热系统效率的检测方法应符合现行国家标准《可再生能源建筑应用工程评价标准》GB/T50801的规定。 </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应按现行国家标准《可再生能源建筑应用工程评价标准》GB/T50801的规定执行。</w:t>
      </w:r>
    </w:p>
    <w:p>
      <w:pPr>
        <w:spacing w:line="360" w:lineRule="auto"/>
        <w:rPr>
          <w:sz w:val="24"/>
        </w:rPr>
      </w:pPr>
      <w:r>
        <w:rPr>
          <w:rFonts w:hint="eastAsia"/>
          <w:b/>
          <w:sz w:val="24"/>
        </w:rPr>
        <w:t xml:space="preserve">13.2.3 </w:t>
      </w:r>
      <w:r>
        <w:rPr>
          <w:rFonts w:hint="eastAsia"/>
          <w:sz w:val="24"/>
        </w:rPr>
        <w:t xml:space="preserve"> 太阳能集热系统效率的合格指标与判定方法应符合下了规定：</w:t>
      </w:r>
    </w:p>
    <w:p>
      <w:pPr>
        <w:spacing w:line="360" w:lineRule="auto"/>
        <w:ind w:firstLine="480" w:firstLineChars="200"/>
        <w:rPr>
          <w:sz w:val="24"/>
        </w:rPr>
      </w:pPr>
      <w:r>
        <w:rPr>
          <w:rFonts w:hint="eastAsia"/>
          <w:sz w:val="24"/>
        </w:rPr>
        <w:t>1  检测工况下，太阳能集热系统效率应符合现行国家标准《民用建筑太阳能热水系统应用技术标准》GB 50364的规定。</w:t>
      </w:r>
    </w:p>
    <w:p>
      <w:pPr>
        <w:spacing w:line="360" w:lineRule="auto"/>
        <w:ind w:firstLine="480" w:firstLineChars="200"/>
        <w:rPr>
          <w:sz w:val="24"/>
        </w:rPr>
      </w:pPr>
      <w:r>
        <w:rPr>
          <w:rFonts w:hint="eastAsia"/>
          <w:sz w:val="24"/>
        </w:rPr>
        <w:t>2  当检测结果符合本条第1款的规定时，应判定为合格。</w:t>
      </w:r>
    </w:p>
    <w:p>
      <w:pPr>
        <w:spacing w:line="360" w:lineRule="auto"/>
        <w:rPr>
          <w:sz w:val="24"/>
        </w:rPr>
      </w:pPr>
    </w:p>
    <w:p>
      <w:pPr>
        <w:pStyle w:val="3"/>
        <w:rPr>
          <w:rFonts w:ascii="Times New Roman" w:hAnsi="Times New Roman" w:cs="Times New Roman"/>
        </w:rPr>
      </w:pPr>
      <w:bookmarkStart w:id="149" w:name="_Toc17811234"/>
      <w:r>
        <w:rPr>
          <w:rFonts w:hint="eastAsia" w:ascii="Times New Roman" w:hAnsi="Times New Roman" w:cs="Times New Roman"/>
        </w:rPr>
        <w:t>13.3  太阳能贮热水箱热损因数检测</w:t>
      </w:r>
      <w:bookmarkEnd w:id="149"/>
      <w:r>
        <w:rPr>
          <w:rFonts w:hint="eastAsia" w:ascii="Times New Roman" w:hAnsi="Times New Roman" w:cs="Times New Roman"/>
        </w:rPr>
        <w:t xml:space="preserve"> </w:t>
      </w:r>
    </w:p>
    <w:p>
      <w:pPr>
        <w:spacing w:line="360" w:lineRule="auto"/>
        <w:rPr>
          <w:sz w:val="24"/>
        </w:rPr>
      </w:pPr>
      <w:r>
        <w:rPr>
          <w:rFonts w:hint="eastAsia"/>
          <w:b/>
          <w:sz w:val="24"/>
        </w:rPr>
        <w:t xml:space="preserve">13.3.1 </w:t>
      </w:r>
      <w:r>
        <w:rPr>
          <w:rFonts w:hint="eastAsia"/>
          <w:sz w:val="24"/>
        </w:rPr>
        <w:t xml:space="preserve"> 同一类型贮热水箱抽测2%，且不得少于1个水箱。</w:t>
      </w:r>
    </w:p>
    <w:p>
      <w:pPr>
        <w:spacing w:line="360" w:lineRule="auto"/>
        <w:rPr>
          <w:sz w:val="24"/>
        </w:rPr>
      </w:pPr>
      <w:r>
        <w:rPr>
          <w:rFonts w:hint="eastAsia"/>
          <w:b/>
          <w:sz w:val="24"/>
        </w:rPr>
        <w:t>13.3.2</w:t>
      </w:r>
      <w:r>
        <w:rPr>
          <w:rFonts w:hint="eastAsia"/>
          <w:sz w:val="24"/>
        </w:rPr>
        <w:t xml:space="preserve">  太阳能贮热水箱热损因数的检测方法和判定方法应符合现行国家标准《可再生能源建筑应用工程评价标准》GB/T50801的规定。 </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sz w:val="24"/>
        </w:rPr>
      </w:pPr>
      <w:r>
        <w:rPr>
          <w:rFonts w:hint="eastAsia" w:eastAsia="楷体"/>
          <w:color w:val="3016EE"/>
        </w:rPr>
        <w:t>应按现行国家标准《可再生能源建筑应用工程评价标准》GB/T50801的规定执行。</w:t>
      </w:r>
    </w:p>
    <w:p>
      <w:pPr>
        <w:pStyle w:val="3"/>
        <w:rPr>
          <w:rFonts w:ascii="Times New Roman" w:hAnsi="Times New Roman" w:cs="Times New Roman"/>
        </w:rPr>
      </w:pPr>
      <w:bookmarkStart w:id="150" w:name="_Toc17811235"/>
      <w:r>
        <w:rPr>
          <w:rFonts w:hint="eastAsia" w:ascii="Times New Roman" w:hAnsi="Times New Roman" w:cs="Times New Roman"/>
        </w:rPr>
        <w:t>13.4  太阳能供热水温度检测</w:t>
      </w:r>
      <w:bookmarkEnd w:id="150"/>
      <w:r>
        <w:rPr>
          <w:rFonts w:hint="eastAsia" w:ascii="Times New Roman" w:hAnsi="Times New Roman" w:cs="Times New Roman"/>
        </w:rPr>
        <w:t xml:space="preserve"> </w:t>
      </w:r>
    </w:p>
    <w:p>
      <w:pPr>
        <w:spacing w:line="360" w:lineRule="auto"/>
        <w:rPr>
          <w:sz w:val="24"/>
        </w:rPr>
      </w:pPr>
      <w:r>
        <w:rPr>
          <w:rFonts w:hint="eastAsia"/>
          <w:b/>
          <w:sz w:val="24"/>
        </w:rPr>
        <w:t xml:space="preserve">13.4.1  </w:t>
      </w:r>
      <w:r>
        <w:rPr>
          <w:rFonts w:hint="eastAsia"/>
          <w:sz w:val="24"/>
        </w:rPr>
        <w:t>同一类型太阳能系统抽测2%，且不得少于1个系统。</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sz w:val="24"/>
        </w:rPr>
      </w:pPr>
      <w:r>
        <w:rPr>
          <w:rFonts w:hint="eastAsia" w:eastAsia="楷体"/>
          <w:color w:val="3016EE"/>
        </w:rPr>
        <w:t>本条太阳能系统是指太阳能供热水系统。</w:t>
      </w:r>
    </w:p>
    <w:p>
      <w:pPr>
        <w:spacing w:line="360" w:lineRule="auto"/>
        <w:rPr>
          <w:sz w:val="24"/>
        </w:rPr>
      </w:pPr>
      <w:r>
        <w:rPr>
          <w:rFonts w:hint="eastAsia"/>
          <w:b/>
          <w:sz w:val="24"/>
        </w:rPr>
        <w:t>13.4.2</w:t>
      </w:r>
      <w:r>
        <w:rPr>
          <w:rFonts w:hint="eastAsia"/>
          <w:sz w:val="24"/>
        </w:rPr>
        <w:t xml:space="preserve">  太阳能供热水温度的检测方法应符合现行国家标准《可再生能源建筑应用工程评价标准》GB/T50801的规定。 </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sz w:val="24"/>
        </w:rPr>
      </w:pPr>
      <w:r>
        <w:rPr>
          <w:rFonts w:hint="eastAsia" w:eastAsia="楷体"/>
          <w:color w:val="3016EE"/>
        </w:rPr>
        <w:t>应按现行国家标准《可再生能源建筑应用工程评价标准》GB/T50801的规定执行。</w:t>
      </w:r>
    </w:p>
    <w:p>
      <w:pPr>
        <w:spacing w:line="360" w:lineRule="auto"/>
        <w:rPr>
          <w:sz w:val="24"/>
        </w:rPr>
      </w:pPr>
      <w:r>
        <w:rPr>
          <w:rFonts w:hint="eastAsia"/>
          <w:b/>
          <w:sz w:val="24"/>
        </w:rPr>
        <w:t xml:space="preserve">13.4.3 </w:t>
      </w:r>
      <w:r>
        <w:rPr>
          <w:rFonts w:hint="eastAsia"/>
          <w:sz w:val="24"/>
        </w:rPr>
        <w:t xml:space="preserve"> 太阳能供热水温度的合格指标与判定方法应符合下了规定：</w:t>
      </w:r>
    </w:p>
    <w:p>
      <w:pPr>
        <w:spacing w:line="360" w:lineRule="auto"/>
        <w:ind w:firstLine="480" w:firstLineChars="200"/>
        <w:rPr>
          <w:sz w:val="24"/>
        </w:rPr>
      </w:pPr>
      <w:r>
        <w:rPr>
          <w:rFonts w:hint="eastAsia"/>
          <w:sz w:val="24"/>
        </w:rPr>
        <w:t>1  检测工况下，太阳能供热水温度应符合现行国家标准《民用建筑太阳能热水系统应用技术标准》GB 50364的规定。</w:t>
      </w:r>
    </w:p>
    <w:p>
      <w:pPr>
        <w:spacing w:line="360" w:lineRule="auto"/>
        <w:ind w:firstLine="480" w:firstLineChars="200"/>
        <w:rPr>
          <w:sz w:val="24"/>
        </w:rPr>
      </w:pPr>
      <w:r>
        <w:rPr>
          <w:rFonts w:hint="eastAsia"/>
          <w:sz w:val="24"/>
        </w:rPr>
        <w:t>2  当检测结果符合本条第1款的规定时，应判定为合格。</w:t>
      </w:r>
    </w:p>
    <w:p>
      <w:pPr>
        <w:spacing w:line="360" w:lineRule="auto"/>
        <w:ind w:firstLine="480" w:firstLineChars="200"/>
        <w:rPr>
          <w:sz w:val="24"/>
        </w:rPr>
      </w:pPr>
    </w:p>
    <w:p>
      <w:pPr>
        <w:pStyle w:val="3"/>
        <w:rPr>
          <w:rFonts w:ascii="Times New Roman" w:hAnsi="Times New Roman" w:cs="Times New Roman"/>
        </w:rPr>
      </w:pPr>
      <w:bookmarkStart w:id="151" w:name="_Toc530472511"/>
      <w:bookmarkStart w:id="152" w:name="_Toc17811236"/>
      <w:r>
        <w:rPr>
          <w:rFonts w:hint="eastAsia" w:ascii="Times New Roman" w:hAnsi="Times New Roman" w:cs="Times New Roman"/>
        </w:rPr>
        <w:t xml:space="preserve">13.5  </w:t>
      </w:r>
      <w:bookmarkEnd w:id="151"/>
      <w:r>
        <w:rPr>
          <w:rFonts w:hint="eastAsia" w:ascii="Times New Roman" w:hAnsi="Times New Roman" w:cs="Times New Roman"/>
        </w:rPr>
        <w:t>太阳能光伏系统光电转换效率检测</w:t>
      </w:r>
      <w:bookmarkEnd w:id="152"/>
      <w:r>
        <w:rPr>
          <w:rFonts w:hint="eastAsia" w:ascii="Times New Roman" w:hAnsi="Times New Roman" w:cs="Times New Roman"/>
        </w:rPr>
        <w:t xml:space="preserve"> </w:t>
      </w:r>
    </w:p>
    <w:p>
      <w:pPr>
        <w:spacing w:line="360" w:lineRule="auto"/>
        <w:rPr>
          <w:sz w:val="24"/>
        </w:rPr>
      </w:pPr>
      <w:r>
        <w:rPr>
          <w:rFonts w:hint="eastAsia"/>
          <w:b/>
          <w:sz w:val="24"/>
        </w:rPr>
        <w:t>13.5.1</w:t>
      </w:r>
      <w:r>
        <w:rPr>
          <w:rFonts w:hint="eastAsia"/>
          <w:sz w:val="24"/>
        </w:rPr>
        <w:t xml:space="preserve">  同一类型太阳能系统抽测5%，且不得少于1个系统。</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sz w:val="24"/>
        </w:rPr>
      </w:pPr>
      <w:r>
        <w:rPr>
          <w:rFonts w:hint="eastAsia" w:eastAsia="楷体"/>
          <w:color w:val="3016EE"/>
        </w:rPr>
        <w:t>本条太阳能系统是指太阳能光伏系统。</w:t>
      </w:r>
    </w:p>
    <w:p>
      <w:pPr>
        <w:spacing w:line="360" w:lineRule="auto"/>
        <w:rPr>
          <w:sz w:val="24"/>
        </w:rPr>
      </w:pPr>
      <w:r>
        <w:rPr>
          <w:rFonts w:hint="eastAsia"/>
          <w:b/>
          <w:sz w:val="24"/>
        </w:rPr>
        <w:t>13.5.2</w:t>
      </w:r>
      <w:r>
        <w:rPr>
          <w:rFonts w:hint="eastAsia"/>
          <w:sz w:val="24"/>
        </w:rPr>
        <w:t xml:space="preserve">  太阳能光伏系统光电转换效率的检测方法和判定方法应符合现行国家标准《可再生能源建筑应用工程评价标准》GB/T50801的规定。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应按现行国家标准《可再生能源建筑应用工程评价标准》GB/T50801的规定执行。</w:t>
      </w:r>
    </w:p>
    <w:p>
      <w:pPr>
        <w:widowControl/>
        <w:jc w:val="left"/>
        <w:rPr>
          <w:rFonts w:eastAsia="楷体"/>
          <w:color w:val="3016EE"/>
        </w:rPr>
      </w:pPr>
      <w:r>
        <w:rPr>
          <w:rFonts w:eastAsia="楷体"/>
          <w:color w:val="3016EE"/>
        </w:rPr>
        <w:br w:type="page"/>
      </w:r>
    </w:p>
    <w:p>
      <w:pPr>
        <w:pStyle w:val="2"/>
      </w:pPr>
      <w:bookmarkStart w:id="153" w:name="_Toc17811237"/>
      <w:r>
        <w:rPr>
          <w:rFonts w:hint="eastAsia"/>
        </w:rPr>
        <w:t>14  地源热泵系统检测</w:t>
      </w:r>
      <w:bookmarkEnd w:id="153"/>
      <w:r>
        <w:rPr>
          <w:rFonts w:hint="eastAsia"/>
        </w:rPr>
        <w:t xml:space="preserve"> </w:t>
      </w:r>
    </w:p>
    <w:p>
      <w:pPr>
        <w:pStyle w:val="3"/>
      </w:pPr>
      <w:bookmarkStart w:id="154" w:name="_Toc17811238"/>
      <w:r>
        <w:rPr>
          <w:rFonts w:ascii="Times New Roman" w:hAnsi="Times New Roman" w:cs="Times New Roman"/>
        </w:rPr>
        <w:t>1</w:t>
      </w:r>
      <w:r>
        <w:rPr>
          <w:rFonts w:hint="eastAsia" w:ascii="Times New Roman" w:hAnsi="Times New Roman" w:cs="Times New Roman"/>
        </w:rPr>
        <w:t>4</w:t>
      </w:r>
      <w:r>
        <w:rPr>
          <w:rFonts w:ascii="Times New Roman" w:hAnsi="Times New Roman" w:cs="Times New Roman"/>
        </w:rPr>
        <w:t>.1</w:t>
      </w:r>
      <w:r>
        <w:rPr>
          <w:rFonts w:hint="eastAsia"/>
        </w:rPr>
        <w:t xml:space="preserve">  一般规定</w:t>
      </w:r>
      <w:bookmarkEnd w:id="154"/>
      <w:r>
        <w:rPr>
          <w:rFonts w:hint="eastAsia"/>
        </w:rPr>
        <w:t xml:space="preserve"> </w:t>
      </w:r>
    </w:p>
    <w:p>
      <w:pPr>
        <w:spacing w:line="360" w:lineRule="auto"/>
        <w:rPr>
          <w:sz w:val="24"/>
        </w:rPr>
      </w:pPr>
      <w:r>
        <w:rPr>
          <w:rFonts w:hint="eastAsia"/>
          <w:b/>
          <w:sz w:val="24"/>
        </w:rPr>
        <w:t xml:space="preserve">14.1.1  </w:t>
      </w:r>
      <w:r>
        <w:rPr>
          <w:rFonts w:hint="eastAsia"/>
          <w:sz w:val="24"/>
        </w:rPr>
        <w:t>地源热泵系统检测宜包括：热泵机组制热性能系数和制冷能效比、热泵系统制热性能系数和制冷能效比等检测。</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根据地热能交换系统形式的不同，地源热泵系统分为地埋管地源热泵系统、地下水地源热泵系统和地表水地源热泵系统，其中地表水源热泵又分为江、河、湖、海水源热泵系统。本条列举了地源热泵系统检测涉及的检测项目。</w:t>
      </w:r>
    </w:p>
    <w:p>
      <w:pPr>
        <w:spacing w:line="360" w:lineRule="auto"/>
        <w:rPr>
          <w:sz w:val="24"/>
        </w:rPr>
      </w:pPr>
      <w:r>
        <w:rPr>
          <w:rFonts w:hint="eastAsia"/>
          <w:b/>
          <w:sz w:val="24"/>
        </w:rPr>
        <w:t xml:space="preserve">14.1.2 </w:t>
      </w:r>
      <w:r>
        <w:rPr>
          <w:rFonts w:hint="eastAsia"/>
          <w:sz w:val="24"/>
        </w:rPr>
        <w:t xml:space="preserve"> 地源热泵系统检测均应在系统、设备实际运行状态下进行。 </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本标准是对系统、设备实际运行性能进行检测，即根据系统和设备的实际运行状态对其性能进行检测。</w:t>
      </w:r>
    </w:p>
    <w:p>
      <w:pPr>
        <w:spacing w:line="360" w:lineRule="auto"/>
        <w:rPr>
          <w:sz w:val="24"/>
        </w:rPr>
      </w:pPr>
      <w:r>
        <w:rPr>
          <w:rFonts w:hint="eastAsia"/>
          <w:b/>
          <w:sz w:val="24"/>
        </w:rPr>
        <w:t xml:space="preserve">14.1.3  </w:t>
      </w:r>
      <w:r>
        <w:rPr>
          <w:rFonts w:hint="eastAsia"/>
          <w:sz w:val="24"/>
        </w:rPr>
        <w:t>地源热泵系统的参数检测，条件具备时应优先选用长期测试方式，否则选用短期测试方式。长期测试结果与短期测试结果不一致时，应以长期测试结果为准。</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由于地源热泵系统全年分布密度变化很大，负荷也很难统一不变，因此通过长期的测试更能反映系统的真实性能，但是限于时间和经济因素，有时不具备长期测试的条件，需要选择一些典型的工况通过短期测试，计算出工程的性能。当前地源热泵系统的测试参数及其测试方法有一定差别，急需统一的方法进行规范，使得测试结果具有可比性。</w:t>
      </w:r>
    </w:p>
    <w:p>
      <w:pPr>
        <w:spacing w:line="360" w:lineRule="auto"/>
        <w:rPr>
          <w:sz w:val="24"/>
        </w:rPr>
      </w:pPr>
    </w:p>
    <w:p>
      <w:pPr>
        <w:pStyle w:val="3"/>
        <w:rPr>
          <w:rFonts w:ascii="Times New Roman" w:hAnsi="Times New Roman" w:cs="Times New Roman"/>
        </w:rPr>
      </w:pPr>
      <w:bookmarkStart w:id="155" w:name="_Toc17811239"/>
      <w:r>
        <w:rPr>
          <w:rFonts w:ascii="Times New Roman" w:hAnsi="Times New Roman" w:cs="Times New Roman"/>
        </w:rPr>
        <w:t>14.2  热泵机组制热性能系数</w:t>
      </w:r>
      <w:r>
        <w:rPr>
          <w:rFonts w:hint="eastAsia" w:ascii="Times New Roman" w:hAnsi="Times New Roman" w:cs="Times New Roman"/>
        </w:rPr>
        <w:t>、</w:t>
      </w:r>
      <w:r>
        <w:rPr>
          <w:rFonts w:ascii="Times New Roman" w:hAnsi="Times New Roman" w:cs="Times New Roman"/>
        </w:rPr>
        <w:t>制冷能效比检测</w:t>
      </w:r>
      <w:bookmarkEnd w:id="155"/>
    </w:p>
    <w:p>
      <w:pPr>
        <w:spacing w:line="360" w:lineRule="auto"/>
        <w:rPr>
          <w:sz w:val="24"/>
        </w:rPr>
      </w:pPr>
      <w:r>
        <w:rPr>
          <w:rFonts w:hint="eastAsia"/>
          <w:b/>
          <w:sz w:val="24"/>
        </w:rPr>
        <w:t xml:space="preserve">14.2.1 </w:t>
      </w:r>
      <w:r>
        <w:rPr>
          <w:rFonts w:hint="eastAsia"/>
          <w:sz w:val="24"/>
        </w:rPr>
        <w:t xml:space="preserve"> 热泵机组制热性能系数、制冷能效比的检测数量应符合下列规定：</w:t>
      </w:r>
    </w:p>
    <w:p>
      <w:pPr>
        <w:spacing w:line="360" w:lineRule="auto"/>
        <w:ind w:firstLine="480" w:firstLineChars="200"/>
        <w:rPr>
          <w:sz w:val="24"/>
        </w:rPr>
      </w:pPr>
      <w:r>
        <w:rPr>
          <w:rFonts w:hint="eastAsia"/>
          <w:sz w:val="24"/>
        </w:rPr>
        <w:t>1  对于同型号的机组有2台及以下时，应至少抽取1台；</w:t>
      </w:r>
    </w:p>
    <w:p>
      <w:pPr>
        <w:spacing w:line="360" w:lineRule="auto"/>
        <w:ind w:firstLine="480" w:firstLineChars="200"/>
        <w:rPr>
          <w:sz w:val="24"/>
        </w:rPr>
      </w:pPr>
      <w:r>
        <w:rPr>
          <w:rFonts w:hint="eastAsia"/>
          <w:sz w:val="24"/>
        </w:rPr>
        <w:t>2  对于同型号的机组有3台及以上时，应至少抽取2台；</w:t>
      </w:r>
    </w:p>
    <w:p>
      <w:pPr>
        <w:spacing w:line="360" w:lineRule="auto"/>
        <w:ind w:firstLine="480" w:firstLineChars="200"/>
        <w:rPr>
          <w:sz w:val="24"/>
        </w:rPr>
      </w:pPr>
      <w:r>
        <w:rPr>
          <w:rFonts w:hint="eastAsia"/>
          <w:sz w:val="24"/>
        </w:rPr>
        <w:t>3  对于不同型号的机组，每种型号应至少抽取1台。</w:t>
      </w:r>
    </w:p>
    <w:p>
      <w:pPr>
        <w:spacing w:line="360" w:lineRule="auto"/>
        <w:ind w:firstLine="480" w:firstLineChars="200"/>
        <w:rPr>
          <w:sz w:val="24"/>
        </w:rPr>
      </w:pP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当相同型号的热泵机组有2台及以下时，应至少抽检1台；当相同型号的热泵机组有3台及以上时，应至少抽检2台；当热泵机组有多种型号时，每种型号的机组应至少抽检1台。</w:t>
      </w:r>
      <w:r>
        <w:rPr>
          <w:rFonts w:eastAsia="楷体"/>
          <w:color w:val="3016EE"/>
        </w:rPr>
        <w:t xml:space="preserve"> </w:t>
      </w:r>
    </w:p>
    <w:p>
      <w:pPr>
        <w:spacing w:line="360" w:lineRule="auto"/>
        <w:rPr>
          <w:sz w:val="24"/>
        </w:rPr>
      </w:pPr>
      <w:r>
        <w:rPr>
          <w:rFonts w:hint="eastAsia"/>
          <w:b/>
          <w:sz w:val="24"/>
        </w:rPr>
        <w:t>14.2.2</w:t>
      </w:r>
      <w:r>
        <w:rPr>
          <w:rFonts w:hint="eastAsia"/>
          <w:sz w:val="24"/>
        </w:rPr>
        <w:t xml:space="preserve">  热泵机组制热性能系数、制冷能效比的检测方法和判定方法应符合现行国家标准《可再生能源建筑应用工程评价标准》GB/T50801的规定。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应按现行国家标准《可再生能源建筑应用工程评价标准》GB/T50801的规定执行。</w:t>
      </w:r>
    </w:p>
    <w:p>
      <w:pPr>
        <w:spacing w:line="360" w:lineRule="auto"/>
        <w:ind w:firstLine="480" w:firstLineChars="200"/>
        <w:rPr>
          <w:sz w:val="24"/>
        </w:rPr>
      </w:pPr>
    </w:p>
    <w:p>
      <w:pPr>
        <w:pStyle w:val="3"/>
        <w:rPr>
          <w:rFonts w:ascii="Times New Roman" w:hAnsi="Times New Roman" w:cs="Times New Roman"/>
        </w:rPr>
      </w:pPr>
      <w:bookmarkStart w:id="156" w:name="_Toc17811240"/>
      <w:r>
        <w:rPr>
          <w:rFonts w:ascii="Times New Roman" w:hAnsi="Times New Roman" w:cs="Times New Roman"/>
        </w:rPr>
        <w:t>14.</w:t>
      </w:r>
      <w:r>
        <w:rPr>
          <w:rFonts w:hint="eastAsia" w:ascii="Times New Roman" w:hAnsi="Times New Roman" w:cs="Times New Roman"/>
        </w:rPr>
        <w:t>3</w:t>
      </w:r>
      <w:r>
        <w:rPr>
          <w:rFonts w:ascii="Times New Roman" w:hAnsi="Times New Roman" w:cs="Times New Roman"/>
        </w:rPr>
        <w:t xml:space="preserve">  热泵</w:t>
      </w:r>
      <w:r>
        <w:rPr>
          <w:rFonts w:hint="eastAsia" w:ascii="Times New Roman" w:hAnsi="Times New Roman" w:cs="Times New Roman"/>
        </w:rPr>
        <w:t>系统</w:t>
      </w:r>
      <w:r>
        <w:rPr>
          <w:rFonts w:ascii="Times New Roman" w:hAnsi="Times New Roman" w:cs="Times New Roman"/>
        </w:rPr>
        <w:t>制热性能系数</w:t>
      </w:r>
      <w:r>
        <w:rPr>
          <w:rFonts w:hint="eastAsia" w:ascii="Times New Roman" w:hAnsi="Times New Roman" w:cs="Times New Roman"/>
        </w:rPr>
        <w:t>、</w:t>
      </w:r>
      <w:r>
        <w:rPr>
          <w:rFonts w:ascii="Times New Roman" w:hAnsi="Times New Roman" w:cs="Times New Roman"/>
        </w:rPr>
        <w:t>制冷能效比检测</w:t>
      </w:r>
      <w:bookmarkEnd w:id="156"/>
    </w:p>
    <w:p>
      <w:pPr>
        <w:spacing w:line="360" w:lineRule="auto"/>
        <w:rPr>
          <w:sz w:val="24"/>
        </w:rPr>
      </w:pPr>
      <w:r>
        <w:rPr>
          <w:rFonts w:hint="eastAsia"/>
          <w:b/>
          <w:sz w:val="24"/>
        </w:rPr>
        <w:t>14.3.1</w:t>
      </w:r>
      <w:r>
        <w:rPr>
          <w:rFonts w:hint="eastAsia"/>
          <w:sz w:val="24"/>
        </w:rPr>
        <w:t xml:space="preserve">  所有独立的热泵系统均应进行热泵系统制热性能系数、制冷能效比检测。</w:t>
      </w:r>
    </w:p>
    <w:p>
      <w:pPr>
        <w:spacing w:line="360" w:lineRule="auto"/>
        <w:rPr>
          <w:sz w:val="24"/>
        </w:rPr>
      </w:pPr>
      <w:r>
        <w:rPr>
          <w:rFonts w:hint="eastAsia"/>
          <w:b/>
          <w:sz w:val="24"/>
        </w:rPr>
        <w:t>14.3.2</w:t>
      </w:r>
      <w:r>
        <w:rPr>
          <w:rFonts w:hint="eastAsia"/>
          <w:sz w:val="24"/>
        </w:rPr>
        <w:t xml:space="preserve">  热泵系统制热性能系数、制冷能效比的检测方法和判定方法应符合现行国家标准《可再生能源建筑应用工程评价标准》GB/T50801的规定。</w:t>
      </w:r>
    </w:p>
    <w:p>
      <w:pPr>
        <w:spacing w:line="360" w:lineRule="auto"/>
        <w:rPr>
          <w:rFonts w:eastAsia="楷体"/>
          <w:color w:val="3016EE"/>
        </w:rPr>
      </w:pPr>
      <w:r>
        <w:rPr>
          <w:rFonts w:hint="eastAsia" w:eastAsia="楷体"/>
          <w:color w:val="3016EE"/>
        </w:rPr>
        <w:t>【条文说明】</w:t>
      </w:r>
    </w:p>
    <w:p>
      <w:pPr>
        <w:spacing w:line="360" w:lineRule="auto"/>
        <w:ind w:firstLine="420" w:firstLineChars="200"/>
        <w:jc w:val="center"/>
        <w:rPr>
          <w:rFonts w:eastAsia="楷体"/>
          <w:color w:val="3016EE"/>
        </w:rPr>
      </w:pPr>
      <w:r>
        <w:rPr>
          <w:rFonts w:hint="eastAsia" w:eastAsia="楷体"/>
          <w:color w:val="3016EE"/>
        </w:rPr>
        <w:t>应按现行国家标准《可再生能源建筑应用工程评价标准》GB/T50801的规定执行。</w:t>
      </w:r>
    </w:p>
    <w:p>
      <w:pPr>
        <w:widowControl/>
        <w:jc w:val="left"/>
        <w:rPr>
          <w:rFonts w:eastAsia="楷体"/>
          <w:color w:val="3016EE"/>
        </w:rPr>
      </w:pPr>
      <w:r>
        <w:rPr>
          <w:rFonts w:eastAsia="楷体"/>
          <w:color w:val="3016EE"/>
        </w:rPr>
        <w:br w:type="page"/>
      </w:r>
    </w:p>
    <w:p>
      <w:pPr>
        <w:pStyle w:val="2"/>
      </w:pPr>
      <w:bookmarkStart w:id="157" w:name="_Toc13815753"/>
      <w:bookmarkStart w:id="158" w:name="_Toc17811241"/>
      <w:r>
        <w:rPr>
          <w:rStyle w:val="24"/>
          <w:rFonts w:hint="eastAsia"/>
          <w:b/>
          <w:bCs/>
        </w:rPr>
        <w:t>附录A  中空玻璃密封性能检测方法</w:t>
      </w:r>
      <w:bookmarkEnd w:id="157"/>
      <w:bookmarkEnd w:id="158"/>
    </w:p>
    <w:p>
      <w:pPr>
        <w:spacing w:line="360" w:lineRule="auto"/>
        <w:rPr>
          <w:sz w:val="24"/>
        </w:rPr>
      </w:pPr>
      <w:r>
        <w:rPr>
          <w:rFonts w:hint="eastAsia"/>
          <w:b/>
          <w:sz w:val="24"/>
        </w:rPr>
        <w:t>A.0.1</w:t>
      </w:r>
      <w:r>
        <w:rPr>
          <w:rFonts w:hint="eastAsia"/>
          <w:sz w:val="24"/>
        </w:rPr>
        <w:t xml:space="preserve">  中空玻璃密封性能检测应采用符合以下要求的仪器：</w:t>
      </w:r>
    </w:p>
    <w:p>
      <w:pPr>
        <w:spacing w:line="360" w:lineRule="auto"/>
        <w:ind w:firstLine="482" w:firstLineChars="200"/>
        <w:rPr>
          <w:sz w:val="24"/>
        </w:rPr>
      </w:pPr>
      <w:r>
        <w:rPr>
          <w:b/>
          <w:sz w:val="24"/>
        </w:rPr>
        <w:t>1</w:t>
      </w:r>
      <w:r>
        <w:rPr>
          <w:rFonts w:ascii="宋体" w:hAnsi="宋体"/>
          <w:sz w:val="24"/>
        </w:rPr>
        <w:t xml:space="preserve"> </w:t>
      </w:r>
      <w:r>
        <w:rPr>
          <w:rFonts w:hint="eastAsia" w:ascii="宋体" w:hAnsi="宋体"/>
          <w:sz w:val="24"/>
        </w:rPr>
        <w:t xml:space="preserve"> 露</w:t>
      </w:r>
      <w:r>
        <w:rPr>
          <w:rFonts w:hint="eastAsia"/>
          <w:sz w:val="24"/>
        </w:rPr>
        <w:t>点仪：测量管的高度为</w:t>
      </w:r>
      <w:r>
        <w:rPr>
          <w:sz w:val="24"/>
        </w:rPr>
        <w:t xml:space="preserve"> 300 mm</w:t>
      </w:r>
      <w:r>
        <w:rPr>
          <w:rFonts w:hint="eastAsia"/>
          <w:sz w:val="24"/>
        </w:rPr>
        <w:t>，测量表面直径为Φ</w:t>
      </w:r>
      <w:r>
        <w:rPr>
          <w:sz w:val="24"/>
        </w:rPr>
        <w:t>50 mm（见图</w:t>
      </w:r>
      <w:r>
        <w:rPr>
          <w:rFonts w:hint="eastAsia"/>
          <w:sz w:val="24"/>
        </w:rPr>
        <w:t>A</w:t>
      </w:r>
      <w:r>
        <w:rPr>
          <w:sz w:val="24"/>
        </w:rPr>
        <w:t>.0.1</w:t>
      </w:r>
      <w:r>
        <w:rPr>
          <w:rFonts w:hint="eastAsia"/>
          <w:sz w:val="24"/>
        </w:rPr>
        <w:t>-1</w:t>
      </w:r>
      <w:r>
        <w:rPr>
          <w:sz w:val="24"/>
        </w:rPr>
        <w:t>）</w:t>
      </w:r>
      <w:r>
        <w:rPr>
          <w:rFonts w:hint="eastAsia"/>
          <w:sz w:val="24"/>
        </w:rPr>
        <w:t>；</w:t>
      </w:r>
    </w:p>
    <w:p>
      <w:pPr>
        <w:jc w:val="center"/>
      </w:pPr>
      <w:r>
        <w:rPr>
          <w:rFonts w:ascii="宋体" w:hAnsi="宋体" w:cs="Arial"/>
          <w:szCs w:val="21"/>
        </w:rPr>
        <w:drawing>
          <wp:inline distT="0" distB="0" distL="0" distR="0">
            <wp:extent cx="2607945" cy="4667250"/>
            <wp:effectExtent l="0" t="0" r="1905"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22">
                      <a:extLst>
                        <a:ext uri="{28A0092B-C50C-407E-A947-70E740481C1C}">
                          <a14:useLocalDpi xmlns:a14="http://schemas.microsoft.com/office/drawing/2010/main" val="0"/>
                        </a:ext>
                      </a:extLst>
                    </a:blip>
                    <a:srcRect r="7848" b="8354"/>
                    <a:stretch>
                      <a:fillRect/>
                    </a:stretch>
                  </pic:blipFill>
                  <pic:spPr>
                    <a:xfrm>
                      <a:off x="0" y="0"/>
                      <a:ext cx="2612191" cy="4674233"/>
                    </a:xfrm>
                    <a:prstGeom prst="rect">
                      <a:avLst/>
                    </a:prstGeom>
                    <a:noFill/>
                    <a:ln>
                      <a:noFill/>
                    </a:ln>
                  </pic:spPr>
                </pic:pic>
              </a:graphicData>
            </a:graphic>
          </wp:inline>
        </w:drawing>
      </w:r>
    </w:p>
    <w:p>
      <w:pPr>
        <w:jc w:val="center"/>
        <w:rPr>
          <w:szCs w:val="21"/>
        </w:rPr>
      </w:pPr>
      <w:r>
        <w:rPr>
          <w:szCs w:val="21"/>
        </w:rPr>
        <w:t xml:space="preserve">1 </w:t>
      </w:r>
      <w:r>
        <w:rPr>
          <w:rFonts w:hint="eastAsia"/>
          <w:szCs w:val="21"/>
        </w:rPr>
        <w:t>铜槽</w:t>
      </w:r>
      <w:r>
        <w:rPr>
          <w:szCs w:val="21"/>
        </w:rPr>
        <w:t xml:space="preserve">   2 </w:t>
      </w:r>
      <w:r>
        <w:rPr>
          <w:rFonts w:hint="eastAsia"/>
          <w:szCs w:val="21"/>
        </w:rPr>
        <w:t>温度计</w:t>
      </w:r>
      <w:r>
        <w:rPr>
          <w:szCs w:val="21"/>
        </w:rPr>
        <w:t xml:space="preserve">   3 </w:t>
      </w:r>
      <w:r>
        <w:rPr>
          <w:rFonts w:hint="eastAsia"/>
          <w:szCs w:val="21"/>
        </w:rPr>
        <w:t>测量面。</w:t>
      </w:r>
    </w:p>
    <w:p>
      <w:pPr>
        <w:jc w:val="center"/>
        <w:rPr>
          <w:szCs w:val="21"/>
        </w:rPr>
      </w:pPr>
      <w:r>
        <w:rPr>
          <w:rFonts w:hint="eastAsia"/>
          <w:szCs w:val="21"/>
        </w:rPr>
        <w:t>图</w:t>
      </w:r>
      <w:r>
        <w:rPr>
          <w:rFonts w:hint="eastAsia"/>
          <w:b/>
          <w:szCs w:val="21"/>
        </w:rPr>
        <w:t>A</w:t>
      </w:r>
      <w:r>
        <w:rPr>
          <w:b/>
          <w:szCs w:val="21"/>
        </w:rPr>
        <w:t>.0.1</w:t>
      </w:r>
      <w:r>
        <w:rPr>
          <w:rFonts w:hint="eastAsia"/>
          <w:b/>
          <w:szCs w:val="21"/>
        </w:rPr>
        <w:t>-1</w:t>
      </w:r>
      <w:r>
        <w:rPr>
          <w:szCs w:val="21"/>
        </w:rPr>
        <w:t xml:space="preserve"> </w:t>
      </w:r>
      <w:r>
        <w:rPr>
          <w:rFonts w:hint="eastAsia"/>
          <w:szCs w:val="21"/>
        </w:rPr>
        <w:t xml:space="preserve"> 露点仪</w:t>
      </w:r>
    </w:p>
    <w:p>
      <w:pPr>
        <w:jc w:val="center"/>
        <w:rPr>
          <w:szCs w:val="21"/>
        </w:rPr>
      </w:pPr>
    </w:p>
    <w:p>
      <w:pPr>
        <w:spacing w:line="360" w:lineRule="auto"/>
        <w:ind w:firstLine="482" w:firstLineChars="200"/>
        <w:rPr>
          <w:sz w:val="24"/>
        </w:rPr>
      </w:pPr>
      <w:r>
        <w:rPr>
          <w:rFonts w:hint="eastAsia"/>
          <w:b/>
          <w:sz w:val="24"/>
        </w:rPr>
        <w:t xml:space="preserve">2  </w:t>
      </w:r>
      <w:r>
        <w:rPr>
          <w:rFonts w:hint="eastAsia"/>
          <w:sz w:val="24"/>
        </w:rPr>
        <w:t>温度计：测量范围为－80℃～30℃ ，精度为1℃。</w:t>
      </w:r>
    </w:p>
    <w:p>
      <w:pPr>
        <w:spacing w:line="360" w:lineRule="auto"/>
        <w:rPr>
          <w:sz w:val="24"/>
        </w:rPr>
      </w:pPr>
      <w:r>
        <w:rPr>
          <w:rFonts w:hint="eastAsia"/>
          <w:b/>
          <w:sz w:val="24"/>
        </w:rPr>
        <w:t>A.0.2</w:t>
      </w:r>
      <w:r>
        <w:rPr>
          <w:rFonts w:hint="eastAsia"/>
          <w:sz w:val="24"/>
        </w:rPr>
        <w:t xml:space="preserve">  检测样品应从工程使用的玻璃中随机抽取，每组应抽取检测的产品规格中10个样品。检测前应将全部样品在实验室环境条件下放置24小时以上。</w:t>
      </w:r>
    </w:p>
    <w:p>
      <w:pPr>
        <w:spacing w:line="360" w:lineRule="auto"/>
        <w:rPr>
          <w:sz w:val="24"/>
        </w:rPr>
      </w:pPr>
      <w:r>
        <w:rPr>
          <w:rFonts w:hint="eastAsia"/>
          <w:b/>
          <w:sz w:val="24"/>
        </w:rPr>
        <w:t>A.0.3</w:t>
      </w:r>
      <w:r>
        <w:rPr>
          <w:rFonts w:hint="eastAsia"/>
          <w:sz w:val="24"/>
        </w:rPr>
        <w:t xml:space="preserve">  检测应按以下步骤进行：</w:t>
      </w:r>
    </w:p>
    <w:p>
      <w:pPr>
        <w:spacing w:line="360" w:lineRule="auto"/>
        <w:ind w:firstLine="482" w:firstLineChars="200"/>
        <w:rPr>
          <w:rFonts w:hAnsi="宋体"/>
          <w:sz w:val="24"/>
        </w:rPr>
      </w:pPr>
      <w:r>
        <w:rPr>
          <w:b/>
          <w:sz w:val="24"/>
        </w:rPr>
        <w:t>1</w:t>
      </w:r>
      <w:r>
        <w:rPr>
          <w:rFonts w:hAnsi="宋体"/>
          <w:sz w:val="24"/>
        </w:rPr>
        <w:t xml:space="preserve"> </w:t>
      </w:r>
      <w:r>
        <w:rPr>
          <w:rFonts w:hint="eastAsia" w:hAnsi="宋体"/>
          <w:sz w:val="24"/>
        </w:rPr>
        <w:t xml:space="preserve"> 向露点仪的容器中注入深约</w:t>
      </w:r>
      <w:r>
        <w:rPr>
          <w:rFonts w:hAnsi="宋体"/>
          <w:sz w:val="24"/>
        </w:rPr>
        <w:t>25 mm</w:t>
      </w:r>
      <w:r>
        <w:rPr>
          <w:rFonts w:hint="eastAsia" w:hAnsi="宋体"/>
          <w:sz w:val="24"/>
        </w:rPr>
        <w:t>的乙醇或丙酮，再加人干冰，使其温度冷却到等于－</w:t>
      </w:r>
      <w:r>
        <w:rPr>
          <w:rFonts w:hAnsi="宋体"/>
          <w:sz w:val="24"/>
        </w:rPr>
        <w:t>40</w:t>
      </w:r>
      <w:r>
        <w:rPr>
          <w:rFonts w:hint="eastAsia" w:hAnsi="宋体"/>
          <w:sz w:val="24"/>
        </w:rPr>
        <w:t>℃±3℃并在试验中保持该温度。</w:t>
      </w:r>
    </w:p>
    <w:p>
      <w:pPr>
        <w:spacing w:line="360" w:lineRule="auto"/>
        <w:ind w:firstLine="482" w:firstLineChars="200"/>
        <w:rPr>
          <w:rFonts w:hAnsi="宋体"/>
          <w:sz w:val="24"/>
        </w:rPr>
      </w:pPr>
      <w:r>
        <w:rPr>
          <w:b/>
          <w:sz w:val="24"/>
        </w:rPr>
        <w:t>2</w:t>
      </w:r>
      <w:r>
        <w:rPr>
          <w:rFonts w:hAnsi="宋体"/>
          <w:sz w:val="24"/>
        </w:rPr>
        <w:t xml:space="preserve"> </w:t>
      </w:r>
      <w:r>
        <w:rPr>
          <w:rFonts w:hint="eastAsia" w:hAnsi="宋体"/>
          <w:sz w:val="24"/>
        </w:rPr>
        <w:t xml:space="preserve"> 将样品水平放置，在上表面涂一层乙醇或丙酮，使露点仪与该表面紧密接触，停留时间按表A</w:t>
      </w:r>
      <w:r>
        <w:rPr>
          <w:rFonts w:hAnsi="宋体"/>
          <w:sz w:val="24"/>
        </w:rPr>
        <w:t>.0.</w:t>
      </w:r>
      <w:r>
        <w:rPr>
          <w:rFonts w:hint="eastAsia" w:hAnsi="宋体"/>
          <w:sz w:val="24"/>
        </w:rPr>
        <w:t>3-1的规定。</w:t>
      </w:r>
    </w:p>
    <w:p>
      <w:pPr>
        <w:widowControl/>
        <w:shd w:val="clear" w:color="auto" w:fill="FAFAFA"/>
        <w:snapToGrid w:val="0"/>
        <w:spacing w:line="300" w:lineRule="auto"/>
        <w:ind w:firstLine="482" w:firstLineChars="200"/>
        <w:jc w:val="center"/>
        <w:rPr>
          <w:rFonts w:ascii="宋体" w:hAnsi="宋体"/>
          <w:sz w:val="24"/>
        </w:rPr>
      </w:pPr>
      <w:r>
        <w:rPr>
          <w:rFonts w:hint="eastAsia" w:ascii="宋体" w:hAnsi="宋体"/>
          <w:b/>
          <w:sz w:val="24"/>
        </w:rPr>
        <w:t>表</w:t>
      </w:r>
      <w:r>
        <w:rPr>
          <w:rFonts w:hint="eastAsia"/>
          <w:b/>
          <w:sz w:val="24"/>
        </w:rPr>
        <w:t>A</w:t>
      </w:r>
      <w:r>
        <w:rPr>
          <w:b/>
          <w:sz w:val="24"/>
        </w:rPr>
        <w:t>.0.</w:t>
      </w:r>
      <w:r>
        <w:rPr>
          <w:rFonts w:hint="eastAsia"/>
          <w:b/>
          <w:sz w:val="24"/>
        </w:rPr>
        <w:t>3-1</w:t>
      </w:r>
      <w:r>
        <w:rPr>
          <w:rFonts w:hint="eastAsia" w:ascii="宋体" w:hAnsi="宋体"/>
          <w:sz w:val="24"/>
        </w:rPr>
        <w:t xml:space="preserve">  </w:t>
      </w:r>
      <w:r>
        <w:rPr>
          <w:rFonts w:hint="eastAsia" w:ascii="宋体" w:hAnsi="宋体"/>
          <w:b/>
          <w:sz w:val="24"/>
        </w:rPr>
        <w:t>不同原片玻璃厚度露点仪</w:t>
      </w:r>
      <w:r>
        <w:rPr>
          <w:rFonts w:hint="eastAsia" w:ascii="宋体" w:hAnsi="宋体"/>
          <w:b/>
          <w:kern w:val="0"/>
          <w:sz w:val="24"/>
        </w:rPr>
        <w:t>接触的时间</w:t>
      </w:r>
    </w:p>
    <w:tbl>
      <w:tblPr>
        <w:tblStyle w:val="19"/>
        <w:tblW w:w="8248"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87"/>
        <w:gridCol w:w="426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3987"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原片玻璃厚度／mm</w:t>
            </w:r>
          </w:p>
        </w:tc>
        <w:tc>
          <w:tcPr>
            <w:tcW w:w="4261"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接触时间／min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3987"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≤4</w:t>
            </w:r>
          </w:p>
        </w:tc>
        <w:tc>
          <w:tcPr>
            <w:tcW w:w="4261"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3</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3987"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5</w:t>
            </w:r>
          </w:p>
        </w:tc>
        <w:tc>
          <w:tcPr>
            <w:tcW w:w="4261"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3987"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6</w:t>
            </w:r>
          </w:p>
        </w:tc>
        <w:tc>
          <w:tcPr>
            <w:tcW w:w="4261"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3987"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8</w:t>
            </w:r>
          </w:p>
        </w:tc>
        <w:tc>
          <w:tcPr>
            <w:tcW w:w="4261"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6</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3987"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≥10</w:t>
            </w:r>
          </w:p>
        </w:tc>
        <w:tc>
          <w:tcPr>
            <w:tcW w:w="4261" w:type="dxa"/>
            <w:tcBorders>
              <w:top w:val="single" w:color="auto" w:sz="4" w:space="0"/>
              <w:left w:val="single" w:color="auto" w:sz="4" w:space="0"/>
              <w:bottom w:val="single" w:color="auto" w:sz="4" w:space="0"/>
              <w:right w:val="single" w:color="auto" w:sz="4" w:space="0"/>
            </w:tcBorders>
            <w:tcMar>
              <w:top w:w="57" w:type="dxa"/>
              <w:bottom w:w="57" w:type="dxa"/>
            </w:tcMar>
            <w:vAlign w:val="center"/>
          </w:tcPr>
          <w:p>
            <w:pPr>
              <w:widowControl/>
              <w:snapToGrid w:val="0"/>
              <w:spacing w:line="300" w:lineRule="auto"/>
              <w:jc w:val="center"/>
              <w:rPr>
                <w:kern w:val="0"/>
                <w:szCs w:val="21"/>
              </w:rPr>
            </w:pPr>
            <w:r>
              <w:rPr>
                <w:kern w:val="0"/>
                <w:szCs w:val="21"/>
              </w:rPr>
              <w:t>8</w:t>
            </w:r>
          </w:p>
        </w:tc>
      </w:tr>
    </w:tbl>
    <w:p>
      <w:pPr>
        <w:spacing w:line="360" w:lineRule="auto"/>
        <w:ind w:firstLine="482" w:firstLineChars="200"/>
        <w:rPr>
          <w:b/>
          <w:sz w:val="24"/>
        </w:rPr>
      </w:pPr>
    </w:p>
    <w:p>
      <w:pPr>
        <w:spacing w:line="360" w:lineRule="auto"/>
        <w:ind w:firstLine="482" w:firstLineChars="200"/>
        <w:rPr>
          <w:sz w:val="24"/>
        </w:rPr>
      </w:pPr>
      <w:r>
        <w:rPr>
          <w:rFonts w:hint="eastAsia"/>
          <w:b/>
          <w:sz w:val="24"/>
        </w:rPr>
        <w:t>3</w:t>
      </w:r>
      <w:r>
        <w:rPr>
          <w:rFonts w:hint="eastAsia"/>
          <w:sz w:val="24"/>
        </w:rPr>
        <w:t xml:space="preserve">  移开露点仪，立刻观察玻璃样品的内表面上有无结露或结霜。</w:t>
      </w:r>
    </w:p>
    <w:p>
      <w:pPr>
        <w:widowControl/>
        <w:jc w:val="left"/>
      </w:pPr>
      <w:r>
        <w:br w:type="page"/>
      </w:r>
    </w:p>
    <w:p>
      <w:pPr>
        <w:pStyle w:val="2"/>
      </w:pPr>
      <w:bookmarkStart w:id="159" w:name="_Toc17811242"/>
      <w:r>
        <w:t>附录</w:t>
      </w:r>
      <w:r>
        <w:rPr>
          <w:rFonts w:hint="eastAsia"/>
        </w:rPr>
        <w:t>B 玻璃光学热工性能现场检测方法</w:t>
      </w:r>
      <w:bookmarkEnd w:id="159"/>
    </w:p>
    <w:p>
      <w:pPr>
        <w:spacing w:line="360" w:lineRule="auto"/>
        <w:rPr>
          <w:sz w:val="24"/>
        </w:rPr>
      </w:pPr>
      <w:r>
        <w:rPr>
          <w:rFonts w:hint="eastAsia"/>
          <w:b/>
          <w:sz w:val="24"/>
        </w:rPr>
        <w:t>B.0.1</w:t>
      </w:r>
      <w:r>
        <w:rPr>
          <w:b/>
          <w:sz w:val="24"/>
        </w:rPr>
        <w:t xml:space="preserve"> </w:t>
      </w:r>
      <w:r>
        <w:rPr>
          <w:rFonts w:hint="eastAsia"/>
          <w:sz w:val="24"/>
        </w:rPr>
        <w:t xml:space="preserve"> 本方法适用表面具有镜面反射玻璃的光学热工性能进行现场检测，不适用于表面具有漫射特性玻璃制品的检测。</w:t>
      </w:r>
    </w:p>
    <w:p>
      <w:pPr>
        <w:adjustRightInd w:val="0"/>
        <w:snapToGrid w:val="0"/>
        <w:spacing w:line="360" w:lineRule="auto"/>
        <w:rPr>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 xml:space="preserve">B.0.2 </w:t>
      </w:r>
      <w:r>
        <w:rPr>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检测时应避免阳光直射测量区域。</w:t>
      </w:r>
    </w:p>
    <w:p>
      <w:pPr>
        <w:adjustRightInd w:val="0"/>
        <w:snapToGrid w:val="0"/>
        <w:spacing w:line="360" w:lineRule="auto"/>
        <w:rPr>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 xml:space="preserve">B.0.3 </w:t>
      </w:r>
      <w:r>
        <w:rPr>
          <w:rFonts w:hint="eastAsia"/>
          <w:color w:val="000000" w:themeColor="text1"/>
          <w:sz w:val="24"/>
          <w14:textFill>
            <w14:solidFill>
              <w14:schemeClr w14:val="tx1"/>
            </w14:solidFill>
          </w14:textFill>
        </w:rPr>
        <w:t xml:space="preserve"> 被测样品测量区域表面应干净清洁、无明显划痕。</w:t>
      </w:r>
    </w:p>
    <w:p>
      <w:pPr>
        <w:adjustRightInd w:val="0"/>
        <w:snapToGrid w:val="0"/>
        <w:spacing w:line="360" w:lineRule="auto"/>
        <w:rPr>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B.0.4</w:t>
      </w:r>
      <w:r>
        <w:rPr>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 xml:space="preserve"> 对于充惰性气体的中空玻璃，惰性气体含量标称值应不低于70%。</w:t>
      </w:r>
    </w:p>
    <w:p>
      <w:pPr>
        <w:adjustRightInd w:val="0"/>
        <w:snapToGrid w:val="0"/>
        <w:spacing w:line="360" w:lineRule="auto"/>
        <w:rPr>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 xml:space="preserve">B.0.5  </w:t>
      </w:r>
      <w:r>
        <w:rPr>
          <w:rFonts w:hint="eastAsia"/>
          <w:color w:val="000000" w:themeColor="text1"/>
          <w:sz w:val="24"/>
          <w14:textFill>
            <w14:solidFill>
              <w14:schemeClr w14:val="tx1"/>
            </w14:solidFill>
          </w14:textFill>
        </w:rPr>
        <w:t>应在玻璃测试</w:t>
      </w:r>
      <w:r>
        <w:rPr>
          <w:color w:val="000000" w:themeColor="text1"/>
          <w:sz w:val="24"/>
          <w14:textFill>
            <w14:solidFill>
              <w14:schemeClr w14:val="tx1"/>
            </w14:solidFill>
          </w14:textFill>
        </w:rPr>
        <w:t>样品</w:t>
      </w:r>
      <w:r>
        <w:rPr>
          <w:rFonts w:hint="eastAsia"/>
          <w:color w:val="000000" w:themeColor="text1"/>
          <w:sz w:val="24"/>
          <w14:textFill>
            <w14:solidFill>
              <w14:schemeClr w14:val="tx1"/>
            </w14:solidFill>
          </w14:textFill>
        </w:rPr>
        <w:t>完成</w:t>
      </w:r>
      <w:r>
        <w:rPr>
          <w:color w:val="000000" w:themeColor="text1"/>
          <w:sz w:val="24"/>
          <w14:textFill>
            <w14:solidFill>
              <w14:schemeClr w14:val="tx1"/>
            </w14:solidFill>
          </w14:textFill>
        </w:rPr>
        <w:t>安装</w:t>
      </w:r>
      <w:r>
        <w:rPr>
          <w:rFonts w:hint="eastAsia"/>
          <w:color w:val="000000" w:themeColor="text1"/>
          <w:sz w:val="24"/>
          <w14:textFill>
            <w14:solidFill>
              <w14:schemeClr w14:val="tx1"/>
            </w14:solidFill>
          </w14:textFill>
        </w:rPr>
        <w:t>1个</w:t>
      </w:r>
      <w:r>
        <w:rPr>
          <w:color w:val="000000" w:themeColor="text1"/>
          <w:sz w:val="24"/>
          <w14:textFill>
            <w14:solidFill>
              <w14:schemeClr w14:val="tx1"/>
            </w14:solidFill>
          </w14:textFill>
        </w:rPr>
        <w:t>月以上</w:t>
      </w:r>
      <w:r>
        <w:rPr>
          <w:rFonts w:hint="eastAsia"/>
          <w:color w:val="000000" w:themeColor="text1"/>
          <w:sz w:val="24"/>
          <w14:textFill>
            <w14:solidFill>
              <w14:schemeClr w14:val="tx1"/>
            </w14:solidFill>
          </w14:textFill>
        </w:rPr>
        <w:t>再进行测试。</w:t>
      </w:r>
    </w:p>
    <w:p>
      <w:pPr>
        <w:adjustRightInd w:val="0"/>
        <w:snapToGrid w:val="0"/>
        <w:spacing w:line="360" w:lineRule="auto"/>
        <w:rPr>
          <w:sz w:val="24"/>
        </w:rPr>
      </w:pPr>
      <w:r>
        <w:rPr>
          <w:rFonts w:hint="eastAsia"/>
          <w:b/>
          <w:color w:val="000000" w:themeColor="text1"/>
          <w:sz w:val="24"/>
          <w14:textFill>
            <w14:solidFill>
              <w14:schemeClr w14:val="tx1"/>
            </w14:solidFill>
          </w14:textFill>
        </w:rPr>
        <w:t>B.0.6</w:t>
      </w:r>
      <w:r>
        <w:rPr>
          <w:color w:val="000000" w:themeColor="text1"/>
          <w:sz w:val="24"/>
          <w14:textFill>
            <w14:solidFill>
              <w14:schemeClr w14:val="tx1"/>
            </w14:solidFill>
          </w14:textFill>
        </w:rPr>
        <w:t xml:space="preserve"> </w:t>
      </w:r>
      <w:r>
        <w:rPr>
          <w:rFonts w:hint="eastAsia"/>
          <w:color w:val="000000" w:themeColor="text1"/>
          <w:sz w:val="24"/>
          <w14:textFill>
            <w14:solidFill>
              <w14:schemeClr w14:val="tx1"/>
            </w14:solidFill>
          </w14:textFill>
        </w:rPr>
        <w:t xml:space="preserve"> 玻璃系统平均厚度检测时，按图B.0.6-1所示，横向、竖向四等分标记玻璃，分别在e、f、g和h四点处测量玻璃总厚度、每层玻璃厚度和气体间隔层厚度。取四点处的玻璃总厚度算术平均值、每层玻璃各自平均值和气体间隔层各自厚度平均值做为玻璃系统平均厚度，用于热工参数计算。当玻璃尺寸较小，无法按照图B.0.6-2中方式测量四点时，只测中间区域一点。</w:t>
      </w:r>
    </w:p>
    <w:p>
      <w:pPr>
        <w:adjustRightInd w:val="0"/>
        <w:snapToGrid w:val="0"/>
        <w:spacing w:line="360" w:lineRule="auto"/>
        <w:ind w:firstLine="420"/>
        <w:rPr>
          <w:rFonts w:eastAsia="楷体"/>
          <w:color w:val="3016EE"/>
        </w:rPr>
      </w:pPr>
      <w:r>
        <w:rPr>
          <w:rFonts w:hint="eastAsia" w:eastAsia="楷体"/>
          <w:color w:val="3016EE"/>
        </w:rPr>
        <w:t>【条文说明】</w:t>
      </w:r>
    </w:p>
    <w:p>
      <w:pPr>
        <w:adjustRightInd w:val="0"/>
        <w:snapToGrid w:val="0"/>
        <w:spacing w:line="360" w:lineRule="auto"/>
        <w:ind w:firstLine="420"/>
        <w:rPr>
          <w:rFonts w:eastAsia="楷体"/>
          <w:color w:val="3016EE"/>
        </w:rPr>
      </w:pPr>
      <w:r>
        <w:rPr>
          <w:rFonts w:hint="eastAsia" w:eastAsia="楷体"/>
          <w:color w:val="3016EE"/>
        </w:rPr>
        <w:t>玻璃系统平均厚度表征的是被测玻璃在实际使用环境条件下的厚度值，采用此厚度值计算获得的热工参数。</w:t>
      </w:r>
    </w:p>
    <w:p>
      <w:pPr>
        <w:adjustRightInd w:val="0"/>
        <w:snapToGrid w:val="0"/>
        <w:spacing w:line="360" w:lineRule="auto"/>
        <w:ind w:firstLine="420"/>
        <w:jc w:val="center"/>
        <w:rPr>
          <w:sz w:val="24"/>
        </w:rPr>
      </w:pPr>
      <w:r>
        <w:rPr>
          <w:rFonts w:hint="eastAsia"/>
          <w:sz w:val="24"/>
        </w:rPr>
        <w:drawing>
          <wp:inline distT="0" distB="0" distL="0" distR="0">
            <wp:extent cx="2241550" cy="2353945"/>
            <wp:effectExtent l="0" t="0" r="6350" b="8255"/>
            <wp:docPr id="1056" name="图片 36"/>
            <wp:cNvGraphicFramePr/>
            <a:graphic xmlns:a="http://schemas.openxmlformats.org/drawingml/2006/main">
              <a:graphicData uri="http://schemas.openxmlformats.org/drawingml/2006/picture">
                <pic:pic xmlns:pic="http://schemas.openxmlformats.org/drawingml/2006/picture">
                  <pic:nvPicPr>
                    <pic:cNvPr id="1056" name="图片 36"/>
                    <pic:cNvPicPr/>
                  </pic:nvPicPr>
                  <pic:blipFill>
                    <a:blip r:embed="rId23" cstate="print"/>
                    <a:srcRect/>
                    <a:stretch>
                      <a:fillRect/>
                    </a:stretch>
                  </pic:blipFill>
                  <pic:spPr>
                    <a:xfrm>
                      <a:off x="0" y="0"/>
                      <a:ext cx="2239197" cy="2352105"/>
                    </a:xfrm>
                    <a:prstGeom prst="rect">
                      <a:avLst/>
                    </a:prstGeom>
                  </pic:spPr>
                </pic:pic>
              </a:graphicData>
            </a:graphic>
          </wp:inline>
        </w:drawing>
      </w:r>
    </w:p>
    <w:p>
      <w:pPr>
        <w:adjustRightInd w:val="0"/>
        <w:snapToGrid w:val="0"/>
        <w:spacing w:line="360" w:lineRule="auto"/>
        <w:ind w:firstLine="420"/>
        <w:jc w:val="center"/>
        <w:rPr>
          <w:sz w:val="24"/>
        </w:rPr>
      </w:pPr>
      <w:r>
        <w:rPr>
          <w:rFonts w:hint="eastAsia"/>
          <w:sz w:val="24"/>
        </w:rPr>
        <w:t>图B</w:t>
      </w:r>
      <w:r>
        <w:rPr>
          <w:sz w:val="24"/>
        </w:rPr>
        <w:t>.0.6</w:t>
      </w:r>
      <w:r>
        <w:rPr>
          <w:rFonts w:hint="eastAsia"/>
          <w:sz w:val="24"/>
        </w:rPr>
        <w:t>-1 平均厚度测量位置示意图</w:t>
      </w:r>
    </w:p>
    <w:p>
      <w:pPr>
        <w:adjustRightInd w:val="0"/>
        <w:snapToGrid w:val="0"/>
        <w:spacing w:line="360" w:lineRule="auto"/>
        <w:ind w:firstLine="420"/>
        <w:rPr>
          <w:rFonts w:eastAsia="楷体"/>
          <w:color w:val="3016EE"/>
        </w:rPr>
      </w:pPr>
    </w:p>
    <w:p>
      <w:pPr>
        <w:ind w:firstLine="420"/>
        <w:jc w:val="center"/>
        <w:rPr>
          <w:sz w:val="24"/>
        </w:rPr>
      </w:pPr>
      <w:r>
        <w:drawing>
          <wp:inline distT="0" distB="0" distL="0" distR="0">
            <wp:extent cx="1793875" cy="2029460"/>
            <wp:effectExtent l="0" t="0" r="0" b="8890"/>
            <wp:docPr id="1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0" y="0"/>
                      <a:ext cx="1793875" cy="2029460"/>
                    </a:xfrm>
                    <a:prstGeom prst="rect">
                      <a:avLst/>
                    </a:prstGeom>
                    <a:noFill/>
                    <a:ln>
                      <a:noFill/>
                    </a:ln>
                  </pic:spPr>
                </pic:pic>
              </a:graphicData>
            </a:graphic>
          </wp:inline>
        </w:drawing>
      </w:r>
    </w:p>
    <w:p>
      <w:pPr>
        <w:adjustRightInd w:val="0"/>
        <w:snapToGrid w:val="0"/>
        <w:spacing w:line="360" w:lineRule="auto"/>
        <w:jc w:val="center"/>
        <w:rPr>
          <w:sz w:val="24"/>
        </w:rPr>
      </w:pPr>
      <w:r>
        <w:rPr>
          <w:rFonts w:hint="eastAsia"/>
          <w:sz w:val="24"/>
        </w:rPr>
        <w:t>图B</w:t>
      </w:r>
      <w:r>
        <w:rPr>
          <w:sz w:val="24"/>
        </w:rPr>
        <w:t>.0.6</w:t>
      </w:r>
      <w:r>
        <w:rPr>
          <w:rFonts w:hint="eastAsia"/>
          <w:sz w:val="24"/>
        </w:rPr>
        <w:t>-2 中空腔惰性气体含量测量位置示意图</w:t>
      </w:r>
    </w:p>
    <w:p>
      <w:pPr>
        <w:adjustRightInd w:val="0"/>
        <w:snapToGrid w:val="0"/>
        <w:spacing w:line="360" w:lineRule="auto"/>
        <w:ind w:firstLine="420"/>
        <w:rPr>
          <w:rFonts w:eastAsia="楷体"/>
          <w:color w:val="3016EE"/>
        </w:rPr>
      </w:pPr>
    </w:p>
    <w:p>
      <w:pPr>
        <w:adjustRightInd w:val="0"/>
        <w:snapToGrid w:val="0"/>
        <w:spacing w:line="360" w:lineRule="auto"/>
        <w:rPr>
          <w:sz w:val="24"/>
        </w:rPr>
      </w:pPr>
      <w:r>
        <w:rPr>
          <w:rFonts w:hint="eastAsia"/>
          <w:b/>
          <w:color w:val="000000" w:themeColor="text1"/>
          <w:sz w:val="24"/>
          <w14:textFill>
            <w14:solidFill>
              <w14:schemeClr w14:val="tx1"/>
            </w14:solidFill>
          </w14:textFill>
        </w:rPr>
        <w:t>B.0.7</w:t>
      </w:r>
      <w:r>
        <w:rPr>
          <w:color w:val="000000" w:themeColor="text1"/>
          <w:sz w:val="24"/>
          <w14:textFill>
            <w14:solidFill>
              <w14:schemeClr w14:val="tx1"/>
            </w14:solidFill>
          </w14:textFill>
        </w:rPr>
        <w:t xml:space="preserve"> </w:t>
      </w:r>
      <w:r>
        <w:rPr>
          <w:rFonts w:hint="eastAsia"/>
          <w:bCs/>
          <w:sz w:val="24"/>
        </w:rPr>
        <w:t>玻璃系统膜面位置</w:t>
      </w:r>
      <w:r>
        <w:rPr>
          <w:bCs/>
          <w:sz w:val="24"/>
        </w:rPr>
        <w:t>及</w:t>
      </w:r>
      <w:r>
        <w:rPr>
          <w:rFonts w:hint="eastAsia"/>
          <w:bCs/>
          <w:sz w:val="24"/>
        </w:rPr>
        <w:t>其半球</w:t>
      </w:r>
      <w:r>
        <w:rPr>
          <w:bCs/>
          <w:sz w:val="24"/>
        </w:rPr>
        <w:t>辐射率</w:t>
      </w:r>
      <w:r>
        <w:rPr>
          <w:rFonts w:hint="eastAsia"/>
          <w:bCs/>
          <w:sz w:val="24"/>
        </w:rPr>
        <w:t>检测时</w:t>
      </w:r>
      <w:r>
        <w:rPr>
          <w:bCs/>
          <w:sz w:val="24"/>
        </w:rPr>
        <w:t>，</w:t>
      </w:r>
      <w:r>
        <w:rPr>
          <w:rFonts w:hint="eastAsia"/>
          <w:sz w:val="24"/>
        </w:rPr>
        <w:t>按图</w:t>
      </w:r>
      <w:r>
        <w:rPr>
          <w:rFonts w:hint="eastAsia"/>
          <w:color w:val="000000" w:themeColor="text1"/>
          <w:sz w:val="24"/>
          <w14:textFill>
            <w14:solidFill>
              <w14:schemeClr w14:val="tx1"/>
            </w14:solidFill>
          </w14:textFill>
        </w:rPr>
        <w:t>B.0.6</w:t>
      </w:r>
      <w:r>
        <w:rPr>
          <w:rFonts w:hint="eastAsia"/>
          <w:sz w:val="24"/>
        </w:rPr>
        <w:t>-1分别在e、f、g和h四点处测量膜面位置及其半球辐射率，取四点处膜面半球辐射率测值平均值作为被测玻璃膜面辐射率测量最终结果。四点位置距玻璃边部距离应不小于100mm，当玻璃尺寸较小，无法按照图</w:t>
      </w:r>
      <w:r>
        <w:rPr>
          <w:rFonts w:hint="eastAsia"/>
          <w:color w:val="000000" w:themeColor="text1"/>
          <w:sz w:val="24"/>
          <w14:textFill>
            <w14:solidFill>
              <w14:schemeClr w14:val="tx1"/>
            </w14:solidFill>
          </w14:textFill>
        </w:rPr>
        <w:t>B.0.6</w:t>
      </w:r>
      <w:r>
        <w:rPr>
          <w:rFonts w:hint="eastAsia"/>
          <w:sz w:val="24"/>
        </w:rPr>
        <w:t>-2中方式测量四点时，只测中间区域一点。</w:t>
      </w:r>
    </w:p>
    <w:p>
      <w:pPr>
        <w:adjustRightInd w:val="0"/>
        <w:snapToGrid w:val="0"/>
        <w:spacing w:line="360" w:lineRule="auto"/>
        <w:ind w:firstLine="420"/>
        <w:rPr>
          <w:rFonts w:eastAsia="楷体"/>
          <w:color w:val="3016EE"/>
        </w:rPr>
      </w:pPr>
      <w:r>
        <w:rPr>
          <w:rFonts w:hint="eastAsia" w:eastAsia="楷体"/>
          <w:color w:val="3016EE"/>
        </w:rPr>
        <w:t>【条文说明】</w:t>
      </w:r>
    </w:p>
    <w:p>
      <w:pPr>
        <w:adjustRightInd w:val="0"/>
        <w:snapToGrid w:val="0"/>
        <w:spacing w:line="360" w:lineRule="auto"/>
        <w:ind w:firstLine="525" w:firstLineChars="250"/>
        <w:rPr>
          <w:rFonts w:eastAsia="楷体"/>
          <w:color w:val="3016EE"/>
        </w:rPr>
      </w:pPr>
      <w:r>
        <w:rPr>
          <w:rFonts w:hint="eastAsia" w:eastAsia="楷体"/>
          <w:color w:val="3016EE"/>
        </w:rPr>
        <w:t>热工参数计算都用到膜面位置和膜面半球辐射率值。防止被测玻璃边部金属材料影响辐射率测量仪的正常使用，需在距玻璃边部距离不小于100mm的位置进行测量，当玻璃尺寸较小，无法测量四点时，只测中间区域一点。</w:t>
      </w:r>
    </w:p>
    <w:p>
      <w:pPr>
        <w:spacing w:line="360" w:lineRule="auto"/>
        <w:rPr>
          <w:sz w:val="24"/>
        </w:rPr>
      </w:pPr>
      <w:r>
        <w:rPr>
          <w:rFonts w:hint="eastAsia"/>
          <w:b/>
          <w:color w:val="000000" w:themeColor="text1"/>
          <w:sz w:val="24"/>
          <w14:textFill>
            <w14:solidFill>
              <w14:schemeClr w14:val="tx1"/>
            </w14:solidFill>
          </w14:textFill>
        </w:rPr>
        <w:t>B.0.8</w:t>
      </w:r>
      <w:r>
        <w:rPr>
          <w:rFonts w:hint="eastAsia"/>
          <w:color w:val="000000" w:themeColor="text1"/>
          <w:sz w:val="24"/>
          <w14:textFill>
            <w14:solidFill>
              <w14:schemeClr w14:val="tx1"/>
            </w14:solidFill>
          </w14:textFill>
        </w:rPr>
        <w:t xml:space="preserve"> </w:t>
      </w:r>
      <w:r>
        <w:rPr>
          <w:rFonts w:hint="eastAsia"/>
          <w:sz w:val="24"/>
        </w:rPr>
        <w:t>中空玻璃惰性气体含量检测时，在被测玻璃试样两侧，距边部约100mm处，分别均匀选取5个测量点，如图</w:t>
      </w:r>
      <w:r>
        <w:rPr>
          <w:rFonts w:hint="eastAsia"/>
          <w:color w:val="000000" w:themeColor="text1"/>
          <w:sz w:val="24"/>
          <w14:textFill>
            <w14:solidFill>
              <w14:schemeClr w14:val="tx1"/>
            </w14:solidFill>
          </w14:textFill>
        </w:rPr>
        <w:t>B.0.6</w:t>
      </w:r>
      <w:r>
        <w:rPr>
          <w:rFonts w:hint="eastAsia"/>
          <w:sz w:val="24"/>
        </w:rPr>
        <w:t>-2所示。测量10个测量点处惰性气体含量，其算术平均值作为惰性气体含量。</w:t>
      </w:r>
    </w:p>
    <w:p>
      <w:pPr>
        <w:spacing w:line="360" w:lineRule="auto"/>
        <w:ind w:firstLine="420" w:firstLineChars="200"/>
        <w:rPr>
          <w:rFonts w:eastAsia="楷体"/>
          <w:color w:val="3016EE"/>
        </w:rPr>
      </w:pPr>
      <w:r>
        <w:rPr>
          <w:rFonts w:hint="eastAsia" w:eastAsia="楷体"/>
          <w:color w:val="3016EE"/>
        </w:rPr>
        <w:t>【条文说明】</w:t>
      </w:r>
    </w:p>
    <w:p>
      <w:pPr>
        <w:spacing w:line="360" w:lineRule="auto"/>
        <w:ind w:firstLine="420" w:firstLineChars="200"/>
        <w:rPr>
          <w:rFonts w:eastAsia="楷体"/>
          <w:color w:val="3016EE"/>
        </w:rPr>
      </w:pPr>
      <w:r>
        <w:rPr>
          <w:rFonts w:hint="eastAsia" w:eastAsia="楷体"/>
          <w:color w:val="3016EE"/>
        </w:rPr>
        <w:t>中空玻璃惰性气体含量在静置的条件下，从上到下气体含量依次变大，需要自上而下均匀选取测量点，求其平均值作为表征中空玻璃气体含量的参数。目前用于现场无损检测中空玻璃惰性气体含量的原理分为：等离子体放电光谱法和激光氧吸收光谱法这两种，基于这两种原理的仪器测试探头由于受其结构影响，测量位置均需距边部约100mm，另外等离子体光谱法基于其电离惰性气体的工作基本原理的特殊性，在临近边部进行测试更有利于获得准确的测量结果。</w:t>
      </w:r>
    </w:p>
    <w:p>
      <w:pPr>
        <w:spacing w:line="360" w:lineRule="auto"/>
        <w:rPr>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B.0.9</w:t>
      </w:r>
      <w:r>
        <w:rPr>
          <w:rFonts w:hint="eastAsia"/>
          <w:color w:val="000000" w:themeColor="text1"/>
          <w:sz w:val="24"/>
          <w14:textFill>
            <w14:solidFill>
              <w14:schemeClr w14:val="tx1"/>
            </w14:solidFill>
          </w14:textFill>
        </w:rPr>
        <w:t xml:space="preserve"> 玻璃光学</w:t>
      </w:r>
      <w:r>
        <w:rPr>
          <w:color w:val="000000" w:themeColor="text1"/>
          <w:sz w:val="24"/>
          <w14:textFill>
            <w14:solidFill>
              <w14:schemeClr w14:val="tx1"/>
            </w14:solidFill>
          </w14:textFill>
        </w:rPr>
        <w:t>热工性能</w:t>
      </w:r>
      <w:r>
        <w:rPr>
          <w:rFonts w:hint="eastAsia"/>
          <w:color w:val="000000" w:themeColor="text1"/>
          <w:sz w:val="24"/>
          <w14:textFill>
            <w14:solidFill>
              <w14:schemeClr w14:val="tx1"/>
            </w14:solidFill>
          </w14:textFill>
        </w:rPr>
        <w:t>计算</w:t>
      </w:r>
      <w:r>
        <w:rPr>
          <w:color w:val="000000" w:themeColor="text1"/>
          <w:sz w:val="24"/>
          <w14:textFill>
            <w14:solidFill>
              <w14:schemeClr w14:val="tx1"/>
            </w14:solidFill>
          </w14:textFill>
        </w:rPr>
        <w:t>时，</w:t>
      </w:r>
      <w:r>
        <w:rPr>
          <w:rFonts w:hint="eastAsia"/>
          <w:color w:val="000000" w:themeColor="text1"/>
          <w:sz w:val="24"/>
          <w14:textFill>
            <w14:solidFill>
              <w14:schemeClr w14:val="tx1"/>
            </w14:solidFill>
          </w14:textFill>
        </w:rPr>
        <w:t>其计算</w:t>
      </w:r>
      <w:r>
        <w:rPr>
          <w:color w:val="000000" w:themeColor="text1"/>
          <w:sz w:val="24"/>
          <w14:textFill>
            <w14:solidFill>
              <w14:schemeClr w14:val="tx1"/>
            </w14:solidFill>
          </w14:textFill>
        </w:rPr>
        <w:t>方法应满足</w:t>
      </w:r>
      <w:r>
        <w:rPr>
          <w:rFonts w:hint="eastAsia"/>
          <w:color w:val="000000" w:themeColor="text1"/>
          <w:sz w:val="24"/>
          <w14:textFill>
            <w14:solidFill>
              <w14:schemeClr w14:val="tx1"/>
            </w14:solidFill>
          </w14:textFill>
        </w:rPr>
        <w:t>现行</w:t>
      </w:r>
      <w:r>
        <w:rPr>
          <w:color w:val="000000" w:themeColor="text1"/>
          <w:sz w:val="24"/>
          <w14:textFill>
            <w14:solidFill>
              <w14:schemeClr w14:val="tx1"/>
            </w14:solidFill>
          </w14:textFill>
        </w:rPr>
        <w:t>行业标准《建筑门窗玻璃幕墙热工计算规程》JGJ/T 151</w:t>
      </w:r>
      <w:r>
        <w:rPr>
          <w:rFonts w:hint="eastAsia"/>
          <w:color w:val="000000" w:themeColor="text1"/>
          <w:sz w:val="24"/>
          <w14:textFill>
            <w14:solidFill>
              <w14:schemeClr w14:val="tx1"/>
            </w14:solidFill>
          </w14:textFill>
        </w:rPr>
        <w:t>的</w:t>
      </w:r>
      <w:r>
        <w:rPr>
          <w:color w:val="000000" w:themeColor="text1"/>
          <w:sz w:val="24"/>
          <w14:textFill>
            <w14:solidFill>
              <w14:schemeClr w14:val="tx1"/>
            </w14:solidFill>
          </w14:textFill>
        </w:rPr>
        <w:t>相关规定。</w:t>
      </w:r>
    </w:p>
    <w:p>
      <w:pPr>
        <w:spacing w:line="360" w:lineRule="auto"/>
        <w:rPr>
          <w:sz w:val="24"/>
        </w:rPr>
      </w:pPr>
      <w:r>
        <w:rPr>
          <w:rFonts w:hint="eastAsia"/>
          <w:b/>
          <w:color w:val="000000" w:themeColor="text1"/>
          <w:sz w:val="24"/>
          <w14:textFill>
            <w14:solidFill>
              <w14:schemeClr w14:val="tx1"/>
            </w14:solidFill>
          </w14:textFill>
        </w:rPr>
        <w:t>B.0.10</w:t>
      </w:r>
      <w:r>
        <w:rPr>
          <w:rFonts w:hint="eastAsia"/>
          <w:color w:val="000000" w:themeColor="text1"/>
          <w:sz w:val="24"/>
          <w14:textFill>
            <w14:solidFill>
              <w14:schemeClr w14:val="tx1"/>
            </w14:solidFill>
          </w14:textFill>
        </w:rPr>
        <w:t xml:space="preserve"> 每组</w:t>
      </w:r>
      <w:r>
        <w:rPr>
          <w:color w:val="000000" w:themeColor="text1"/>
          <w:sz w:val="24"/>
          <w14:textFill>
            <w14:solidFill>
              <w14:schemeClr w14:val="tx1"/>
            </w14:solidFill>
          </w14:textFill>
        </w:rPr>
        <w:t>玻璃至少抽</w:t>
      </w:r>
      <w:r>
        <w:rPr>
          <w:rFonts w:hint="eastAsia"/>
          <w:color w:val="000000" w:themeColor="text1"/>
          <w:sz w:val="24"/>
          <w14:textFill>
            <w14:solidFill>
              <w14:schemeClr w14:val="tx1"/>
            </w14:solidFill>
          </w14:textFill>
        </w:rPr>
        <w:t>取</w:t>
      </w:r>
      <w:r>
        <w:rPr>
          <w:color w:val="000000" w:themeColor="text1"/>
          <w:sz w:val="24"/>
          <w14:textFill>
            <w14:solidFill>
              <w14:schemeClr w14:val="tx1"/>
            </w14:solidFill>
          </w14:textFill>
        </w:rPr>
        <w:t>三块</w:t>
      </w:r>
      <w:r>
        <w:rPr>
          <w:rFonts w:hint="eastAsia"/>
          <w:color w:val="000000" w:themeColor="text1"/>
          <w:sz w:val="24"/>
          <w14:textFill>
            <w14:solidFill>
              <w14:schemeClr w14:val="tx1"/>
            </w14:solidFill>
          </w14:textFill>
        </w:rPr>
        <w:t>（现场</w:t>
      </w:r>
      <w:r>
        <w:rPr>
          <w:color w:val="000000" w:themeColor="text1"/>
          <w:sz w:val="24"/>
          <w14:textFill>
            <w14:solidFill>
              <w14:schemeClr w14:val="tx1"/>
            </w14:solidFill>
          </w14:textFill>
        </w:rPr>
        <w:t>不具备条件情况下</w:t>
      </w:r>
      <w:r>
        <w:rPr>
          <w:rFonts w:hint="eastAsia"/>
          <w:color w:val="000000" w:themeColor="text1"/>
          <w:sz w:val="24"/>
          <w14:textFill>
            <w14:solidFill>
              <w14:schemeClr w14:val="tx1"/>
            </w14:solidFill>
          </w14:textFill>
        </w:rPr>
        <w:t>允许</w:t>
      </w:r>
      <w:r>
        <w:rPr>
          <w:color w:val="000000" w:themeColor="text1"/>
          <w:sz w:val="24"/>
          <w14:textFill>
            <w14:solidFill>
              <w14:schemeClr w14:val="tx1"/>
            </w14:solidFill>
          </w14:textFill>
        </w:rPr>
        <w:t>抽取</w:t>
      </w:r>
      <w:r>
        <w:rPr>
          <w:rFonts w:hint="eastAsia"/>
          <w:color w:val="000000" w:themeColor="text1"/>
          <w:sz w:val="24"/>
          <w14:textFill>
            <w14:solidFill>
              <w14:schemeClr w14:val="tx1"/>
            </w14:solidFill>
          </w14:textFill>
        </w:rPr>
        <w:t>1块）不同</w:t>
      </w:r>
      <w:r>
        <w:rPr>
          <w:color w:val="000000" w:themeColor="text1"/>
          <w:sz w:val="24"/>
          <w14:textFill>
            <w14:solidFill>
              <w14:schemeClr w14:val="tx1"/>
            </w14:solidFill>
          </w14:textFill>
        </w:rPr>
        <w:t>位置的相</w:t>
      </w:r>
      <w:r>
        <w:rPr>
          <w:rFonts w:hint="eastAsia"/>
          <w:color w:val="000000" w:themeColor="text1"/>
          <w:sz w:val="24"/>
          <w14:textFill>
            <w14:solidFill>
              <w14:schemeClr w14:val="tx1"/>
            </w14:solidFill>
          </w14:textFill>
        </w:rPr>
        <w:t>同</w:t>
      </w:r>
      <w:r>
        <w:rPr>
          <w:color w:val="000000" w:themeColor="text1"/>
          <w:sz w:val="24"/>
          <w14:textFill>
            <w14:solidFill>
              <w14:schemeClr w14:val="tx1"/>
            </w14:solidFill>
          </w14:textFill>
        </w:rPr>
        <w:t>玻璃进行现场检测</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取三块玻璃检测结果的算术平均值作为该组玻璃的最终检测结果。</w:t>
      </w:r>
    </w:p>
    <w:p>
      <w:pPr>
        <w:pStyle w:val="2"/>
      </w:pPr>
      <w:r>
        <w:rPr>
          <w:sz w:val="24"/>
        </w:rPr>
        <w:br w:type="page"/>
      </w:r>
      <w:bookmarkStart w:id="160" w:name="_Toc13815744"/>
    </w:p>
    <w:p>
      <w:pPr>
        <w:pStyle w:val="2"/>
        <w:rPr>
          <w:sz w:val="21"/>
          <w:szCs w:val="21"/>
        </w:rPr>
      </w:pPr>
      <w:bookmarkStart w:id="161" w:name="_Toc17811243"/>
      <w:r>
        <w:rPr>
          <w:rFonts w:hint="eastAsia"/>
        </w:rPr>
        <w:t>附录C  保温板粘贴面积比现场</w:t>
      </w:r>
      <w:r>
        <w:t>剥离</w:t>
      </w:r>
      <w:r>
        <w:rPr>
          <w:rFonts w:hint="eastAsia"/>
        </w:rPr>
        <w:t>检测</w:t>
      </w:r>
      <w:r>
        <w:t>方法</w:t>
      </w:r>
      <w:bookmarkEnd w:id="160"/>
      <w:bookmarkEnd w:id="161"/>
    </w:p>
    <w:p>
      <w:pPr>
        <w:spacing w:line="360" w:lineRule="auto"/>
        <w:rPr>
          <w:sz w:val="24"/>
        </w:rPr>
      </w:pPr>
      <w:r>
        <w:rPr>
          <w:rFonts w:hint="eastAsia"/>
          <w:b/>
          <w:sz w:val="24"/>
        </w:rPr>
        <w:t>C.0.1</w:t>
      </w:r>
      <w:r>
        <w:rPr>
          <w:rFonts w:hint="eastAsia"/>
          <w:sz w:val="24"/>
        </w:rPr>
        <w:t xml:space="preserve">  </w:t>
      </w:r>
      <w:r>
        <w:rPr>
          <w:rFonts w:hint="eastAsia"/>
          <w:color w:val="000000" w:themeColor="text1"/>
          <w:sz w:val="24"/>
          <w14:textFill>
            <w14:solidFill>
              <w14:schemeClr w14:val="tx1"/>
            </w14:solidFill>
          </w14:textFill>
        </w:rPr>
        <w:t>本方法适用于外墙保温构造中保温板粘贴面积比现场检测。</w:t>
      </w:r>
    </w:p>
    <w:p>
      <w:pPr>
        <w:spacing w:line="360" w:lineRule="auto"/>
        <w:rPr>
          <w:sz w:val="24"/>
        </w:rPr>
      </w:pPr>
      <w:r>
        <w:rPr>
          <w:rFonts w:hint="eastAsia"/>
          <w:b/>
          <w:sz w:val="24"/>
        </w:rPr>
        <w:t>C.0.2</w:t>
      </w:r>
      <w:r>
        <w:rPr>
          <w:rFonts w:hint="eastAsia"/>
          <w:sz w:val="24"/>
        </w:rPr>
        <w:t xml:space="preserve">  检测应在监理工程师见证下实施。</w:t>
      </w:r>
    </w:p>
    <w:p>
      <w:pPr>
        <w:spacing w:line="360" w:lineRule="auto"/>
        <w:rPr>
          <w:sz w:val="24"/>
        </w:rPr>
      </w:pPr>
      <w:r>
        <w:rPr>
          <w:rFonts w:hint="eastAsia"/>
          <w:b/>
          <w:sz w:val="24"/>
        </w:rPr>
        <w:t>C.0.3</w:t>
      </w:r>
      <w:r>
        <w:rPr>
          <w:rFonts w:hint="eastAsia"/>
          <w:sz w:val="24"/>
        </w:rPr>
        <w:t xml:space="preserve">  检测的取样部位、数量及面积（尺寸），应遵守下列规定：</w:t>
      </w:r>
    </w:p>
    <w:p>
      <w:pPr>
        <w:spacing w:line="360" w:lineRule="auto"/>
        <w:ind w:firstLine="482" w:firstLineChars="200"/>
        <w:rPr>
          <w:sz w:val="24"/>
        </w:rPr>
      </w:pPr>
      <w:r>
        <w:rPr>
          <w:rFonts w:hint="eastAsia"/>
          <w:b/>
          <w:sz w:val="24"/>
        </w:rPr>
        <w:t>1</w:t>
      </w:r>
      <w:r>
        <w:rPr>
          <w:rFonts w:hint="eastAsia"/>
          <w:sz w:val="24"/>
        </w:rPr>
        <w:t xml:space="preserve">  取样部位应由监理与施工等多方共同随机抽样确定，宜兼顾不同朝向和楼层、均匀分布；取样部位必须确保剥离检查时操作安全、方便，不得在外墙施工前预先确定。</w:t>
      </w:r>
    </w:p>
    <w:p>
      <w:pPr>
        <w:spacing w:line="360" w:lineRule="auto"/>
        <w:ind w:firstLine="482" w:firstLineChars="200"/>
        <w:rPr>
          <w:sz w:val="24"/>
        </w:rPr>
      </w:pPr>
      <w:r>
        <w:rPr>
          <w:rFonts w:hint="eastAsia"/>
          <w:b/>
          <w:sz w:val="24"/>
        </w:rPr>
        <w:t>2</w:t>
      </w:r>
      <w:r>
        <w:rPr>
          <w:rFonts w:hint="eastAsia"/>
          <w:sz w:val="24"/>
        </w:rPr>
        <w:t xml:space="preserve">  取样数量为每处不少于3个点。</w:t>
      </w:r>
    </w:p>
    <w:p>
      <w:pPr>
        <w:spacing w:line="360" w:lineRule="auto"/>
        <w:ind w:firstLine="482" w:firstLineChars="200"/>
        <w:rPr>
          <w:sz w:val="24"/>
        </w:rPr>
      </w:pPr>
      <w:r>
        <w:rPr>
          <w:rFonts w:hint="eastAsia"/>
          <w:b/>
          <w:sz w:val="24"/>
        </w:rPr>
        <w:t>3</w:t>
      </w:r>
      <w:r>
        <w:rPr>
          <w:rFonts w:hint="eastAsia"/>
          <w:sz w:val="24"/>
        </w:rPr>
        <w:t xml:space="preserve">  应整板取样，保温板面积（尺寸）应具代表性，兼顾该工程保温板材的大多数规格。</w:t>
      </w:r>
    </w:p>
    <w:p>
      <w:pPr>
        <w:spacing w:line="360" w:lineRule="auto"/>
        <w:rPr>
          <w:sz w:val="24"/>
        </w:rPr>
      </w:pPr>
      <w:r>
        <w:rPr>
          <w:rFonts w:hint="eastAsia"/>
          <w:b/>
          <w:sz w:val="24"/>
        </w:rPr>
        <w:t>C.0.4</w:t>
      </w:r>
      <w:r>
        <w:rPr>
          <w:rFonts w:hint="eastAsia"/>
          <w:sz w:val="24"/>
        </w:rPr>
        <w:t xml:space="preserve">  检测过程如下：</w:t>
      </w:r>
    </w:p>
    <w:p>
      <w:pPr>
        <w:spacing w:line="360" w:lineRule="auto"/>
        <w:ind w:firstLine="482" w:firstLineChars="200"/>
        <w:rPr>
          <w:sz w:val="24"/>
        </w:rPr>
      </w:pPr>
      <w:r>
        <w:rPr>
          <w:rFonts w:hint="eastAsia"/>
          <w:b/>
          <w:sz w:val="24"/>
        </w:rPr>
        <w:t>1</w:t>
      </w:r>
      <w:r>
        <w:rPr>
          <w:rFonts w:hint="eastAsia"/>
          <w:sz w:val="24"/>
        </w:rPr>
        <w:t xml:space="preserve">  将粘贴好的保温板从墙上剥离。</w:t>
      </w:r>
    </w:p>
    <w:p>
      <w:pPr>
        <w:spacing w:line="360" w:lineRule="auto"/>
        <w:ind w:firstLine="482" w:firstLineChars="200"/>
        <w:rPr>
          <w:sz w:val="24"/>
        </w:rPr>
      </w:pPr>
      <w:r>
        <w:rPr>
          <w:rFonts w:hint="eastAsia"/>
          <w:b/>
          <w:sz w:val="24"/>
        </w:rPr>
        <w:t>2</w:t>
      </w:r>
      <w:r>
        <w:rPr>
          <w:rFonts w:hint="eastAsia"/>
          <w:sz w:val="24"/>
        </w:rPr>
        <w:t xml:space="preserve">  使用钢直尺或钢卷尺测量保温板与粘结材料实粘部分的尺寸，具体如下：</w:t>
      </w:r>
    </w:p>
    <w:p>
      <w:pPr>
        <w:spacing w:line="360" w:lineRule="auto"/>
        <w:ind w:left="901" w:leftChars="300" w:hanging="271" w:hangingChars="113"/>
        <w:rPr>
          <w:sz w:val="24"/>
        </w:rPr>
      </w:pPr>
      <w:r>
        <w:rPr>
          <w:rFonts w:hint="eastAsia"/>
          <w:sz w:val="24"/>
        </w:rPr>
        <w:t>1）保温板粘贴方式为点框粘时，测量砂浆框的长度和宽度，同时测量砂浆圆饼的直径；</w:t>
      </w:r>
    </w:p>
    <w:p>
      <w:pPr>
        <w:spacing w:line="360" w:lineRule="auto"/>
        <w:ind w:firstLine="720" w:firstLineChars="300"/>
        <w:rPr>
          <w:sz w:val="24"/>
        </w:rPr>
      </w:pPr>
      <w:r>
        <w:rPr>
          <w:rFonts w:hint="eastAsia"/>
          <w:sz w:val="24"/>
        </w:rPr>
        <w:t xml:space="preserve">2）保温板粘贴方式为条粘时，测量砂浆条的长度和宽度。 </w:t>
      </w:r>
    </w:p>
    <w:p>
      <w:pPr>
        <w:spacing w:line="360" w:lineRule="auto"/>
        <w:ind w:firstLine="482" w:firstLineChars="200"/>
        <w:rPr>
          <w:sz w:val="24"/>
        </w:rPr>
      </w:pPr>
      <w:r>
        <w:rPr>
          <w:rFonts w:hint="eastAsia"/>
          <w:b/>
          <w:sz w:val="24"/>
        </w:rPr>
        <w:t>3</w:t>
      </w:r>
      <w:r>
        <w:rPr>
          <w:rFonts w:hint="eastAsia"/>
          <w:sz w:val="24"/>
        </w:rPr>
        <w:t xml:space="preserve">  计算粘结面积。</w:t>
      </w:r>
    </w:p>
    <w:p>
      <w:pPr>
        <w:spacing w:line="360" w:lineRule="auto"/>
        <w:rPr>
          <w:sz w:val="24"/>
        </w:rPr>
      </w:pPr>
      <w:r>
        <w:rPr>
          <w:rFonts w:hint="eastAsia"/>
          <w:b/>
          <w:sz w:val="24"/>
        </w:rPr>
        <w:t>C.0.5</w:t>
      </w:r>
      <w:r>
        <w:rPr>
          <w:rFonts w:hint="eastAsia"/>
          <w:sz w:val="24"/>
        </w:rPr>
        <w:t xml:space="preserve">  保温板粘贴面积比应按下式计算：</w:t>
      </w:r>
    </w:p>
    <w:p>
      <w:pPr>
        <w:jc w:val="center"/>
        <w:rPr>
          <w:sz w:val="24"/>
        </w:rPr>
      </w:pPr>
      <w:r>
        <w:rPr>
          <w:sz w:val="24"/>
        </w:rPr>
        <w:t>S=</w:t>
      </w:r>
      <w:r>
        <w:rPr>
          <w:position w:val="-24"/>
          <w:sz w:val="24"/>
        </w:rPr>
        <w:object>
          <v:shape id="_x0000_i1032" o:spt="75" type="#_x0000_t75" style="height:48.2pt;width:31.3pt;" o:ole="t" filled="f" o:preferrelative="t" stroked="f" coordsize="21600,21600">
            <v:path/>
            <v:fill on="f" focussize="0,0"/>
            <v:stroke on="f" joinstyle="miter"/>
            <v:imagedata r:id="rId26" o:title=""/>
            <o:lock v:ext="edit" aspectratio="t"/>
            <w10:wrap type="none"/>
            <w10:anchorlock/>
          </v:shape>
          <o:OLEObject Type="Embed" ProgID="Equation.3" ShapeID="_x0000_i1032" DrawAspect="Content" ObjectID="_1468075732" r:id="rId25">
            <o:LockedField>false</o:LockedField>
          </o:OLEObject>
        </w:object>
      </w:r>
      <w:r>
        <w:rPr>
          <w:sz w:val="24"/>
        </w:rPr>
        <w:t xml:space="preserve"> ×100</w:t>
      </w:r>
    </w:p>
    <w:p>
      <w:pPr>
        <w:spacing w:line="360" w:lineRule="auto"/>
        <w:rPr>
          <w:sz w:val="24"/>
        </w:rPr>
      </w:pPr>
      <w:r>
        <w:rPr>
          <w:rFonts w:hint="eastAsia"/>
          <w:sz w:val="24"/>
        </w:rPr>
        <w:t>式中   S—粘结面积与保温板面积的比值， %；</w:t>
      </w:r>
    </w:p>
    <w:p>
      <w:pPr>
        <w:spacing w:line="360" w:lineRule="auto"/>
        <w:rPr>
          <w:sz w:val="24"/>
        </w:rPr>
      </w:pPr>
      <w:r>
        <w:rPr>
          <w:rFonts w:hint="eastAsia"/>
          <w:sz w:val="24"/>
        </w:rPr>
        <w:t xml:space="preserve">       F—保温板的面积，mm</w:t>
      </w:r>
      <w:r>
        <w:rPr>
          <w:rFonts w:hint="eastAsia"/>
          <w:sz w:val="24"/>
          <w:vertAlign w:val="superscript"/>
        </w:rPr>
        <w:t>2</w:t>
      </w:r>
      <w:r>
        <w:rPr>
          <w:rFonts w:hint="eastAsia"/>
          <w:sz w:val="24"/>
        </w:rPr>
        <w:t>；</w:t>
      </w:r>
    </w:p>
    <w:p>
      <w:pPr>
        <w:spacing w:line="360" w:lineRule="auto"/>
        <w:rPr>
          <w:sz w:val="24"/>
        </w:rPr>
      </w:pPr>
      <w:r>
        <w:rPr>
          <w:rFonts w:hint="eastAsia"/>
          <w:sz w:val="24"/>
        </w:rPr>
        <w:t xml:space="preserve">       F</w:t>
      </w:r>
      <w:r>
        <w:rPr>
          <w:rFonts w:hint="eastAsia"/>
          <w:sz w:val="24"/>
          <w:vertAlign w:val="subscript"/>
        </w:rPr>
        <w:t>i</w:t>
      </w:r>
      <w:r>
        <w:rPr>
          <w:rFonts w:hint="eastAsia"/>
          <w:sz w:val="24"/>
        </w:rPr>
        <w:t>—第i块粘浆部分的面积，mm</w:t>
      </w:r>
      <w:r>
        <w:rPr>
          <w:rFonts w:hint="eastAsia"/>
          <w:sz w:val="24"/>
          <w:vertAlign w:val="superscript"/>
        </w:rPr>
        <w:t>2</w:t>
      </w:r>
      <w:r>
        <w:rPr>
          <w:rFonts w:hint="eastAsia"/>
          <w:sz w:val="24"/>
        </w:rPr>
        <w:t>。</w:t>
      </w:r>
    </w:p>
    <w:p>
      <w:pPr>
        <w:spacing w:line="360" w:lineRule="auto"/>
        <w:rPr>
          <w:sz w:val="24"/>
        </w:rPr>
      </w:pPr>
      <w:r>
        <w:rPr>
          <w:rFonts w:hint="eastAsia"/>
          <w:sz w:val="24"/>
        </w:rPr>
        <w:t xml:space="preserve">      计算精确至1%。</w:t>
      </w:r>
    </w:p>
    <w:p>
      <w:pPr>
        <w:spacing w:line="360" w:lineRule="auto"/>
        <w:rPr>
          <w:sz w:val="24"/>
        </w:rPr>
      </w:pPr>
    </w:p>
    <w:p>
      <w:pPr>
        <w:widowControl/>
        <w:jc w:val="left"/>
      </w:pPr>
      <w:r>
        <w:br w:type="page"/>
      </w:r>
    </w:p>
    <w:p>
      <w:pPr>
        <w:pStyle w:val="2"/>
        <w:rPr>
          <w:sz w:val="28"/>
          <w:szCs w:val="28"/>
        </w:rPr>
      </w:pPr>
      <w:bookmarkStart w:id="162" w:name="_Toc13815745"/>
      <w:bookmarkStart w:id="163" w:name="_Toc17811244"/>
      <w:r>
        <w:rPr>
          <w:rFonts w:hint="eastAsia"/>
          <w:sz w:val="28"/>
          <w:szCs w:val="28"/>
        </w:rPr>
        <w:t>附录D  保温板与</w:t>
      </w:r>
      <w:r>
        <w:rPr>
          <w:sz w:val="28"/>
          <w:szCs w:val="28"/>
        </w:rPr>
        <w:t>基层</w:t>
      </w:r>
      <w:r>
        <w:rPr>
          <w:rFonts w:hint="eastAsia"/>
          <w:sz w:val="28"/>
          <w:szCs w:val="28"/>
        </w:rPr>
        <w:t>的</w:t>
      </w:r>
      <w:r>
        <w:rPr>
          <w:sz w:val="28"/>
          <w:szCs w:val="28"/>
        </w:rPr>
        <w:t>拉伸</w:t>
      </w:r>
      <w:r>
        <w:rPr>
          <w:rFonts w:hint="eastAsia"/>
          <w:sz w:val="28"/>
          <w:szCs w:val="28"/>
        </w:rPr>
        <w:t>粘结</w:t>
      </w:r>
      <w:r>
        <w:rPr>
          <w:sz w:val="28"/>
          <w:szCs w:val="28"/>
        </w:rPr>
        <w:t>强度</w:t>
      </w:r>
      <w:r>
        <w:rPr>
          <w:rFonts w:hint="eastAsia"/>
          <w:sz w:val="28"/>
          <w:szCs w:val="28"/>
        </w:rPr>
        <w:t>现场拉拔检测方法</w:t>
      </w:r>
      <w:bookmarkEnd w:id="162"/>
      <w:bookmarkEnd w:id="163"/>
    </w:p>
    <w:p>
      <w:pPr>
        <w:jc w:val="center"/>
        <w:rPr>
          <w:b/>
          <w:sz w:val="28"/>
          <w:szCs w:val="28"/>
        </w:rPr>
      </w:pPr>
      <w:bookmarkStart w:id="164" w:name="_Toc13815746"/>
      <w:bookmarkStart w:id="165" w:name="_Toc526775512"/>
      <w:r>
        <w:rPr>
          <w:rFonts w:hint="eastAsia"/>
          <w:b/>
          <w:sz w:val="28"/>
          <w:szCs w:val="28"/>
        </w:rPr>
        <w:t>D.1</w:t>
      </w:r>
      <w:r>
        <w:rPr>
          <w:b/>
          <w:sz w:val="28"/>
          <w:szCs w:val="28"/>
        </w:rPr>
        <w:t xml:space="preserve">  一般规定</w:t>
      </w:r>
      <w:bookmarkEnd w:id="164"/>
      <w:bookmarkEnd w:id="165"/>
    </w:p>
    <w:p>
      <w:pPr>
        <w:spacing w:line="360" w:lineRule="auto"/>
        <w:rPr>
          <w:sz w:val="24"/>
        </w:rPr>
      </w:pPr>
      <w:r>
        <w:rPr>
          <w:rFonts w:hint="eastAsia"/>
          <w:b/>
          <w:sz w:val="24"/>
        </w:rPr>
        <w:t>D.1.1</w:t>
      </w:r>
      <w:r>
        <w:rPr>
          <w:rFonts w:hint="eastAsia"/>
          <w:sz w:val="24"/>
        </w:rPr>
        <w:t xml:space="preserve">  本方法适用于外墙外保温工程中保温板与粘结材料、粘结材料与基层墙体之间的粘结强度现场检测。</w:t>
      </w:r>
    </w:p>
    <w:p>
      <w:pPr>
        <w:spacing w:line="360" w:lineRule="auto"/>
        <w:rPr>
          <w:sz w:val="24"/>
        </w:rPr>
      </w:pPr>
      <w:r>
        <w:rPr>
          <w:rFonts w:hint="eastAsia"/>
          <w:b/>
          <w:sz w:val="24"/>
        </w:rPr>
        <w:t>D.1.2</w:t>
      </w:r>
      <w:r>
        <w:rPr>
          <w:rFonts w:hint="eastAsia"/>
          <w:sz w:val="24"/>
        </w:rPr>
        <w:t xml:space="preserve">  检测应在</w:t>
      </w:r>
      <w:r>
        <w:rPr>
          <w:rFonts w:hint="eastAsia" w:hAnsi="宋体"/>
          <w:sz w:val="24"/>
        </w:rPr>
        <w:t>监理工程师</w:t>
      </w:r>
      <w:r>
        <w:rPr>
          <w:rFonts w:hint="eastAsia"/>
          <w:sz w:val="24"/>
        </w:rPr>
        <w:t>见证下实施。</w:t>
      </w:r>
    </w:p>
    <w:p>
      <w:pPr>
        <w:spacing w:line="360" w:lineRule="auto"/>
        <w:rPr>
          <w:sz w:val="24"/>
        </w:rPr>
      </w:pPr>
      <w:r>
        <w:rPr>
          <w:rFonts w:hint="eastAsia"/>
          <w:b/>
          <w:sz w:val="24"/>
        </w:rPr>
        <w:t>D.1.3</w:t>
      </w:r>
      <w:r>
        <w:rPr>
          <w:rFonts w:hint="eastAsia"/>
          <w:sz w:val="24"/>
        </w:rPr>
        <w:t xml:space="preserve">  每检验批取6个测试点，取样部位应由监理与施工等多方共同</w:t>
      </w:r>
      <w:r>
        <w:rPr>
          <w:rFonts w:hint="eastAsia" w:hAnsi="宋体"/>
          <w:sz w:val="24"/>
        </w:rPr>
        <w:t>随机抽样确定</w:t>
      </w:r>
      <w:r>
        <w:rPr>
          <w:rFonts w:hint="eastAsia"/>
          <w:sz w:val="24"/>
        </w:rPr>
        <w:t>，宜兼顾不同朝向和楼层、均匀分布；不得在外墙施工前预先确定。取样部位应确保检验时操作安全、方便。</w:t>
      </w:r>
    </w:p>
    <w:p>
      <w:pPr>
        <w:jc w:val="center"/>
        <w:rPr>
          <w:b/>
          <w:sz w:val="28"/>
          <w:szCs w:val="28"/>
        </w:rPr>
      </w:pPr>
      <w:bookmarkStart w:id="166" w:name="_Toc526775513"/>
      <w:bookmarkStart w:id="167" w:name="_Toc13815747"/>
      <w:r>
        <w:rPr>
          <w:rFonts w:hint="eastAsia"/>
          <w:b/>
          <w:sz w:val="28"/>
          <w:szCs w:val="28"/>
        </w:rPr>
        <w:t>D.2  仪器设备</w:t>
      </w:r>
      <w:bookmarkEnd w:id="166"/>
      <w:bookmarkEnd w:id="167"/>
    </w:p>
    <w:p>
      <w:pPr>
        <w:spacing w:line="360" w:lineRule="auto"/>
        <w:rPr>
          <w:sz w:val="24"/>
        </w:rPr>
      </w:pPr>
      <w:r>
        <w:rPr>
          <w:rFonts w:hint="eastAsia"/>
          <w:b/>
          <w:sz w:val="24"/>
        </w:rPr>
        <w:t>D.2.1</w:t>
      </w:r>
      <w:r>
        <w:rPr>
          <w:rFonts w:hint="eastAsia"/>
          <w:sz w:val="24"/>
        </w:rPr>
        <w:t xml:space="preserve">  采用的粘结强度检测仪，应符合行业标准《数显式粘接强度检测仪》JG/T 507的规定。</w:t>
      </w:r>
    </w:p>
    <w:p>
      <w:pPr>
        <w:spacing w:line="360" w:lineRule="auto"/>
        <w:rPr>
          <w:sz w:val="24"/>
        </w:rPr>
      </w:pPr>
      <w:r>
        <w:rPr>
          <w:rFonts w:hint="eastAsia"/>
          <w:b/>
          <w:sz w:val="24"/>
        </w:rPr>
        <w:t>D</w:t>
      </w:r>
      <w:r>
        <w:rPr>
          <w:b/>
          <w:sz w:val="24"/>
        </w:rPr>
        <w:t>.2.2</w:t>
      </w:r>
      <w:r>
        <w:rPr>
          <w:sz w:val="24"/>
        </w:rPr>
        <w:t xml:space="preserve">  </w:t>
      </w:r>
      <w:r>
        <w:rPr>
          <w:rFonts w:hint="eastAsia"/>
          <w:sz w:val="24"/>
        </w:rPr>
        <w:t>钢直尺的分度值应为1mm。</w:t>
      </w:r>
    </w:p>
    <w:p>
      <w:pPr>
        <w:spacing w:line="360" w:lineRule="auto"/>
        <w:rPr>
          <w:sz w:val="24"/>
        </w:rPr>
      </w:pPr>
      <w:r>
        <w:rPr>
          <w:rFonts w:hint="eastAsia"/>
          <w:b/>
          <w:sz w:val="24"/>
        </w:rPr>
        <w:t xml:space="preserve">D.2.3 </w:t>
      </w:r>
      <w:r>
        <w:rPr>
          <w:rFonts w:hint="eastAsia"/>
          <w:sz w:val="24"/>
        </w:rPr>
        <w:t xml:space="preserve"> 标准块尺寸为45</w:t>
      </w:r>
      <w:r>
        <w:rPr>
          <w:sz w:val="24"/>
        </w:rPr>
        <w:t xml:space="preserve"> </w:t>
      </w:r>
      <w:r>
        <w:rPr>
          <w:rFonts w:hint="eastAsia"/>
          <w:sz w:val="24"/>
        </w:rPr>
        <w:t>mm×95</w:t>
      </w:r>
      <w:r>
        <w:rPr>
          <w:sz w:val="24"/>
        </w:rPr>
        <w:t xml:space="preserve"> mm</w:t>
      </w:r>
      <w:r>
        <w:rPr>
          <w:rFonts w:hint="eastAsia"/>
          <w:sz w:val="24"/>
        </w:rPr>
        <w:t>×6</w:t>
      </w:r>
      <w:r>
        <w:rPr>
          <w:sz w:val="24"/>
        </w:rPr>
        <w:t xml:space="preserve"> </w:t>
      </w:r>
      <w:r>
        <w:rPr>
          <w:rFonts w:hint="eastAsia"/>
          <w:sz w:val="24"/>
        </w:rPr>
        <w:t>mm，用钢材制作。</w:t>
      </w:r>
    </w:p>
    <w:p>
      <w:pPr>
        <w:jc w:val="center"/>
        <w:rPr>
          <w:b/>
          <w:sz w:val="28"/>
          <w:szCs w:val="28"/>
        </w:rPr>
      </w:pPr>
      <w:bookmarkStart w:id="168" w:name="_Toc526775514"/>
      <w:bookmarkStart w:id="169" w:name="_Toc13815748"/>
      <w:r>
        <w:rPr>
          <w:rFonts w:hint="eastAsia"/>
          <w:b/>
          <w:sz w:val="28"/>
          <w:szCs w:val="28"/>
        </w:rPr>
        <w:t>D.3  检测过程与</w:t>
      </w:r>
      <w:r>
        <w:rPr>
          <w:b/>
          <w:sz w:val="28"/>
          <w:szCs w:val="28"/>
        </w:rPr>
        <w:t>结果</w:t>
      </w:r>
      <w:bookmarkEnd w:id="168"/>
      <w:bookmarkEnd w:id="169"/>
    </w:p>
    <w:p>
      <w:pPr>
        <w:spacing w:line="360" w:lineRule="auto"/>
        <w:rPr>
          <w:sz w:val="24"/>
        </w:rPr>
      </w:pPr>
      <w:r>
        <w:rPr>
          <w:rFonts w:hint="eastAsia"/>
          <w:b/>
          <w:sz w:val="24"/>
        </w:rPr>
        <w:t>D.3.1</w:t>
      </w:r>
      <w:r>
        <w:rPr>
          <w:rFonts w:hint="eastAsia"/>
          <w:sz w:val="24"/>
        </w:rPr>
        <w:t xml:space="preserve">  保温板与粘结材料之间粘结强度检测：</w:t>
      </w:r>
    </w:p>
    <w:p>
      <w:pPr>
        <w:spacing w:line="360" w:lineRule="auto"/>
        <w:ind w:firstLine="482" w:firstLineChars="200"/>
        <w:rPr>
          <w:sz w:val="24"/>
        </w:rPr>
      </w:pPr>
      <w:r>
        <w:rPr>
          <w:rFonts w:hint="eastAsia"/>
          <w:b/>
          <w:sz w:val="24"/>
        </w:rPr>
        <w:t>1</w:t>
      </w:r>
      <w:r>
        <w:rPr>
          <w:rFonts w:hint="eastAsia"/>
          <w:sz w:val="24"/>
        </w:rPr>
        <w:t xml:space="preserve">  选择满粘处作为检测部位，清理保温板表面，使其清洁、平整。</w:t>
      </w:r>
    </w:p>
    <w:p>
      <w:pPr>
        <w:spacing w:line="360" w:lineRule="auto"/>
        <w:ind w:firstLine="482" w:firstLineChars="200"/>
        <w:rPr>
          <w:sz w:val="24"/>
        </w:rPr>
      </w:pPr>
      <w:r>
        <w:rPr>
          <w:rFonts w:hint="eastAsia"/>
          <w:b/>
          <w:sz w:val="24"/>
        </w:rPr>
        <w:t>2</w:t>
      </w:r>
      <w:r>
        <w:rPr>
          <w:rFonts w:hint="eastAsia"/>
          <w:sz w:val="24"/>
        </w:rPr>
        <w:t xml:space="preserve">  使用高强度粘合剂将标准块粘贴在保温层上，标准块粘贴后应及时做临时固定。</w:t>
      </w:r>
    </w:p>
    <w:p>
      <w:pPr>
        <w:spacing w:line="360" w:lineRule="auto"/>
        <w:ind w:firstLine="482" w:firstLineChars="200"/>
        <w:rPr>
          <w:sz w:val="24"/>
        </w:rPr>
      </w:pPr>
      <w:r>
        <w:rPr>
          <w:rFonts w:hint="eastAsia"/>
          <w:b/>
          <w:sz w:val="24"/>
        </w:rPr>
        <w:t>3</w:t>
      </w:r>
      <w:r>
        <w:rPr>
          <w:rFonts w:hint="eastAsia"/>
          <w:sz w:val="24"/>
        </w:rPr>
        <w:t xml:space="preserve">  粘合剂达到粘结强度要求后，紧贴标准块将保温层切割至粘结材料表面。</w:t>
      </w:r>
    </w:p>
    <w:p>
      <w:pPr>
        <w:spacing w:line="360" w:lineRule="auto"/>
        <w:ind w:firstLine="482" w:firstLineChars="200"/>
        <w:rPr>
          <w:sz w:val="24"/>
        </w:rPr>
      </w:pPr>
      <w:r>
        <w:rPr>
          <w:rFonts w:hint="eastAsia"/>
          <w:b/>
          <w:sz w:val="24"/>
        </w:rPr>
        <w:t>4</w:t>
      </w:r>
      <w:r>
        <w:rPr>
          <w:rFonts w:hint="eastAsia"/>
          <w:sz w:val="24"/>
        </w:rPr>
        <w:t xml:space="preserve">  粘结强度检验仪器安装和测试程序应按行业标准《建筑工程饰面砖粘结强度检验标准》JGJ/T 110规定进行。</w:t>
      </w:r>
    </w:p>
    <w:p>
      <w:pPr>
        <w:spacing w:line="360" w:lineRule="auto"/>
        <w:rPr>
          <w:sz w:val="24"/>
        </w:rPr>
      </w:pPr>
      <w:r>
        <w:rPr>
          <w:rFonts w:hint="eastAsia"/>
          <w:b/>
          <w:sz w:val="24"/>
        </w:rPr>
        <w:t>D.3.2</w:t>
      </w:r>
      <w:r>
        <w:rPr>
          <w:rFonts w:hint="eastAsia"/>
          <w:sz w:val="24"/>
        </w:rPr>
        <w:t xml:space="preserve">  粘结材料与基层墙体之间的粘接强度检测：</w:t>
      </w:r>
    </w:p>
    <w:p>
      <w:pPr>
        <w:spacing w:line="360" w:lineRule="auto"/>
        <w:ind w:firstLine="482" w:firstLineChars="200"/>
        <w:rPr>
          <w:sz w:val="24"/>
        </w:rPr>
      </w:pPr>
      <w:r>
        <w:rPr>
          <w:rFonts w:hint="eastAsia"/>
          <w:b/>
          <w:sz w:val="24"/>
        </w:rPr>
        <w:t>1</w:t>
      </w:r>
      <w:r>
        <w:rPr>
          <w:rStyle w:val="33"/>
          <w:rFonts w:hint="eastAsia" w:ascii="宋体" w:hAnsi="宋体"/>
          <w:sz w:val="24"/>
          <w:szCs w:val="24"/>
        </w:rPr>
        <w:t xml:space="preserve">  </w:t>
      </w:r>
      <w:r>
        <w:rPr>
          <w:rFonts w:hint="eastAsia"/>
          <w:sz w:val="24"/>
        </w:rPr>
        <w:t>清除保温层，露出粘结材料，清理表面，使其清洁、平整。</w:t>
      </w:r>
    </w:p>
    <w:p>
      <w:pPr>
        <w:spacing w:line="360" w:lineRule="auto"/>
        <w:ind w:firstLine="482" w:firstLineChars="200"/>
        <w:rPr>
          <w:sz w:val="24"/>
        </w:rPr>
      </w:pPr>
      <w:r>
        <w:rPr>
          <w:rFonts w:hint="eastAsia"/>
          <w:b/>
          <w:sz w:val="24"/>
        </w:rPr>
        <w:t>2</w:t>
      </w:r>
      <w:r>
        <w:rPr>
          <w:rFonts w:hint="eastAsia"/>
          <w:sz w:val="24"/>
        </w:rPr>
        <w:t xml:space="preserve">  按标准块长度、宽度切割粘结材料至基层墙体。</w:t>
      </w:r>
    </w:p>
    <w:p>
      <w:pPr>
        <w:spacing w:line="360" w:lineRule="auto"/>
        <w:ind w:firstLine="482" w:firstLineChars="200"/>
        <w:rPr>
          <w:rStyle w:val="33"/>
          <w:rFonts w:ascii="宋体" w:hAnsi="宋体"/>
          <w:sz w:val="24"/>
          <w:szCs w:val="24"/>
        </w:rPr>
      </w:pPr>
      <w:r>
        <w:rPr>
          <w:rFonts w:hint="eastAsia"/>
          <w:b/>
          <w:sz w:val="24"/>
        </w:rPr>
        <w:t>3</w:t>
      </w:r>
      <w:r>
        <w:rPr>
          <w:rStyle w:val="33"/>
          <w:rFonts w:hint="eastAsia" w:ascii="宋体" w:hAnsi="宋体"/>
          <w:sz w:val="24"/>
          <w:szCs w:val="24"/>
        </w:rPr>
        <w:t xml:space="preserve">  </w:t>
      </w:r>
      <w:r>
        <w:rPr>
          <w:rFonts w:hint="eastAsia"/>
          <w:sz w:val="24"/>
        </w:rPr>
        <w:t>使用高强度粘合剂将标准块粘贴在试块上，粘合剂达到粘结强度要求后，按行业标准《建筑工程饰面砖粘结强度检验标准》JGJ/T 110规定进行粘结强度检测。</w:t>
      </w:r>
    </w:p>
    <w:p>
      <w:pPr>
        <w:spacing w:line="360" w:lineRule="auto"/>
        <w:rPr>
          <w:sz w:val="24"/>
        </w:rPr>
      </w:pPr>
      <w:r>
        <w:rPr>
          <w:rFonts w:hint="eastAsia"/>
          <w:b/>
          <w:sz w:val="24"/>
        </w:rPr>
        <w:t xml:space="preserve">D.3.3 </w:t>
      </w:r>
      <w:r>
        <w:rPr>
          <w:rFonts w:hint="eastAsia"/>
          <w:sz w:val="24"/>
        </w:rPr>
        <w:t xml:space="preserve"> 粘结强度计算按</w:t>
      </w:r>
      <w:r>
        <w:rPr>
          <w:rFonts w:hint="eastAsia" w:hAnsi="宋体"/>
          <w:sz w:val="24"/>
        </w:rPr>
        <w:t>《建筑工程饰面砖粘结强度检验标准》JGJ/T 110，取</w:t>
      </w:r>
      <w:r>
        <w:rPr>
          <w:rFonts w:hint="eastAsia"/>
          <w:sz w:val="24"/>
        </w:rPr>
        <w:t>中间4个测试数据的算术平均值。</w:t>
      </w:r>
    </w:p>
    <w:p>
      <w:pPr>
        <w:widowControl/>
        <w:jc w:val="left"/>
      </w:pPr>
      <w:r>
        <w:br w:type="page"/>
      </w:r>
    </w:p>
    <w:p>
      <w:pPr>
        <w:pStyle w:val="2"/>
        <w:tabs>
          <w:tab w:val="left" w:pos="1080"/>
        </w:tabs>
        <w:snapToGrid w:val="0"/>
        <w:spacing w:before="312" w:beforeLines="100" w:after="312" w:afterLines="100" w:line="300" w:lineRule="auto"/>
        <w:rPr>
          <w:sz w:val="28"/>
          <w:szCs w:val="28"/>
        </w:rPr>
      </w:pPr>
      <w:bookmarkStart w:id="170" w:name="_Toc17811245"/>
      <w:r>
        <w:rPr>
          <w:rFonts w:hint="eastAsia"/>
          <w:sz w:val="28"/>
          <w:szCs w:val="28"/>
        </w:rPr>
        <w:t>附录E  保温砂浆导热系数</w:t>
      </w:r>
      <w:r>
        <w:rPr>
          <w:sz w:val="28"/>
          <w:szCs w:val="28"/>
        </w:rPr>
        <w:t>、</w:t>
      </w:r>
      <w:r>
        <w:rPr>
          <w:rFonts w:hint="eastAsia"/>
          <w:sz w:val="28"/>
          <w:szCs w:val="28"/>
        </w:rPr>
        <w:t>干密度</w:t>
      </w:r>
      <w:r>
        <w:rPr>
          <w:sz w:val="28"/>
          <w:szCs w:val="28"/>
        </w:rPr>
        <w:t>、</w:t>
      </w:r>
      <w:r>
        <w:rPr>
          <w:rFonts w:hint="eastAsia"/>
          <w:sz w:val="28"/>
          <w:szCs w:val="28"/>
        </w:rPr>
        <w:t>抗压强度同条件养护检测方法</w:t>
      </w:r>
      <w:bookmarkEnd w:id="170"/>
    </w:p>
    <w:p>
      <w:pPr>
        <w:jc w:val="center"/>
        <w:rPr>
          <w:b/>
          <w:sz w:val="28"/>
          <w:szCs w:val="28"/>
        </w:rPr>
      </w:pPr>
      <w:bookmarkStart w:id="171" w:name="_Toc526775516"/>
      <w:bookmarkStart w:id="172" w:name="_Toc13815750"/>
      <w:r>
        <w:rPr>
          <w:rFonts w:hint="eastAsia"/>
          <w:b/>
          <w:sz w:val="28"/>
          <w:szCs w:val="28"/>
        </w:rPr>
        <w:t>E.1  仪器设备</w:t>
      </w:r>
      <w:bookmarkEnd w:id="171"/>
      <w:bookmarkEnd w:id="172"/>
    </w:p>
    <w:p>
      <w:pPr>
        <w:spacing w:line="360" w:lineRule="auto"/>
        <w:rPr>
          <w:sz w:val="24"/>
        </w:rPr>
      </w:pPr>
      <w:r>
        <w:rPr>
          <w:rFonts w:hint="eastAsia"/>
          <w:b/>
          <w:sz w:val="24"/>
        </w:rPr>
        <w:t xml:space="preserve">E.1.1 </w:t>
      </w:r>
      <w:r>
        <w:rPr>
          <w:rFonts w:hint="eastAsia"/>
          <w:sz w:val="24"/>
        </w:rPr>
        <w:t xml:space="preserve"> 抗压强度试模：70.7</w:t>
      </w:r>
      <w:r>
        <w:rPr>
          <w:sz w:val="24"/>
        </w:rPr>
        <w:t xml:space="preserve"> </w:t>
      </w:r>
      <w:r>
        <w:rPr>
          <w:rFonts w:hint="eastAsia"/>
          <w:sz w:val="24"/>
        </w:rPr>
        <w:t>mm×70.7</w:t>
      </w:r>
      <w:r>
        <w:rPr>
          <w:sz w:val="24"/>
        </w:rPr>
        <w:t xml:space="preserve"> </w:t>
      </w:r>
      <w:r>
        <w:rPr>
          <w:rFonts w:hint="eastAsia"/>
          <w:sz w:val="24"/>
        </w:rPr>
        <w:t>mm×70.7</w:t>
      </w:r>
      <w:r>
        <w:rPr>
          <w:sz w:val="24"/>
        </w:rPr>
        <w:t xml:space="preserve"> </w:t>
      </w:r>
      <w:r>
        <w:rPr>
          <w:rFonts w:hint="eastAsia"/>
          <w:sz w:val="24"/>
        </w:rPr>
        <w:t>mm钢质有底试模，应具有足够的刚度并拆装方便。</w:t>
      </w:r>
    </w:p>
    <w:p>
      <w:pPr>
        <w:spacing w:line="360" w:lineRule="auto"/>
        <w:rPr>
          <w:sz w:val="24"/>
        </w:rPr>
      </w:pPr>
      <w:r>
        <w:rPr>
          <w:rFonts w:hint="eastAsia"/>
          <w:b/>
          <w:sz w:val="24"/>
        </w:rPr>
        <w:t xml:space="preserve">E.1.2 </w:t>
      </w:r>
      <w:r>
        <w:rPr>
          <w:rFonts w:hint="eastAsia"/>
          <w:sz w:val="24"/>
        </w:rPr>
        <w:t xml:space="preserve"> 导热系数试模：钢质有底试模，几何尺寸按导热系数测试仪器要求确定。</w:t>
      </w:r>
    </w:p>
    <w:p>
      <w:pPr>
        <w:jc w:val="center"/>
        <w:rPr>
          <w:b/>
          <w:sz w:val="28"/>
          <w:szCs w:val="28"/>
        </w:rPr>
      </w:pPr>
      <w:bookmarkStart w:id="173" w:name="_Toc526775517"/>
      <w:bookmarkStart w:id="174" w:name="_Toc13815751"/>
      <w:r>
        <w:rPr>
          <w:rFonts w:hint="eastAsia"/>
          <w:b/>
          <w:sz w:val="28"/>
          <w:szCs w:val="28"/>
        </w:rPr>
        <w:t>E.2  试件的制备</w:t>
      </w:r>
      <w:bookmarkEnd w:id="173"/>
      <w:bookmarkEnd w:id="174"/>
    </w:p>
    <w:p>
      <w:pPr>
        <w:spacing w:line="360" w:lineRule="auto"/>
        <w:rPr>
          <w:sz w:val="24"/>
        </w:rPr>
      </w:pPr>
      <w:r>
        <w:rPr>
          <w:rFonts w:hint="eastAsia"/>
          <w:b/>
          <w:sz w:val="24"/>
        </w:rPr>
        <w:t xml:space="preserve">E.2.1 </w:t>
      </w:r>
      <w:r>
        <w:rPr>
          <w:rFonts w:hint="eastAsia"/>
          <w:sz w:val="24"/>
        </w:rPr>
        <w:t xml:space="preserve"> 检测保温浆料干密度、抗压强度、导热系数的试样应在现场搅拌的同一拌合物中提取。</w:t>
      </w:r>
    </w:p>
    <w:p>
      <w:pPr>
        <w:spacing w:line="360" w:lineRule="auto"/>
        <w:rPr>
          <w:sz w:val="24"/>
        </w:rPr>
      </w:pPr>
      <w:r>
        <w:rPr>
          <w:rFonts w:hint="eastAsia"/>
          <w:b/>
          <w:sz w:val="24"/>
        </w:rPr>
        <w:t xml:space="preserve">E.2.2 </w:t>
      </w:r>
      <w:r>
        <w:rPr>
          <w:rFonts w:hint="eastAsia"/>
          <w:sz w:val="24"/>
        </w:rPr>
        <w:t xml:space="preserve"> 试模内壁涂刷薄层脱模剂。</w:t>
      </w:r>
    </w:p>
    <w:p>
      <w:pPr>
        <w:spacing w:line="360" w:lineRule="auto"/>
        <w:rPr>
          <w:sz w:val="24"/>
        </w:rPr>
      </w:pPr>
      <w:r>
        <w:rPr>
          <w:rFonts w:hint="eastAsia"/>
          <w:b/>
          <w:sz w:val="24"/>
        </w:rPr>
        <w:t>E</w:t>
      </w:r>
      <w:r>
        <w:rPr>
          <w:b/>
          <w:sz w:val="24"/>
        </w:rPr>
        <w:t>.2.3</w:t>
      </w:r>
      <w:r>
        <w:rPr>
          <w:sz w:val="24"/>
        </w:rPr>
        <w:t xml:space="preserve">  </w:t>
      </w:r>
      <w:r>
        <w:rPr>
          <w:rFonts w:hint="eastAsia"/>
          <w:sz w:val="24"/>
        </w:rPr>
        <w:t>抗压强度试件数量为6个，导热系数试件数量为2个。</w:t>
      </w:r>
    </w:p>
    <w:p>
      <w:pPr>
        <w:spacing w:line="360" w:lineRule="auto"/>
        <w:rPr>
          <w:sz w:val="24"/>
        </w:rPr>
      </w:pPr>
      <w:r>
        <w:rPr>
          <w:rFonts w:hint="eastAsia"/>
          <w:b/>
          <w:sz w:val="24"/>
        </w:rPr>
        <w:t>E.2.4</w:t>
      </w:r>
      <w:r>
        <w:rPr>
          <w:rFonts w:hint="eastAsia"/>
          <w:sz w:val="24"/>
        </w:rPr>
        <w:t xml:space="preserve">  将在现场搅拌的拌合物一次注满试模，并略高于其上表面，用捣棒均匀由外向里按螺旋方向轻轻插捣25次，插捣时用力不应过大，不破坏其保温骨料。试件表面应平整，可用油灰刀沿模壁插捣数次或用橡皮锤轻轻敲击试模四周，直至插捣棒留下的空洞消失，最后将高出部分的拌合物沿试模顶面削去抹平。</w:t>
      </w:r>
    </w:p>
    <w:p>
      <w:pPr>
        <w:spacing w:line="360" w:lineRule="auto"/>
        <w:rPr>
          <w:sz w:val="24"/>
        </w:rPr>
      </w:pPr>
      <w:r>
        <w:rPr>
          <w:rFonts w:hint="eastAsia"/>
          <w:b/>
          <w:sz w:val="24"/>
        </w:rPr>
        <w:t xml:space="preserve">E.2.5 </w:t>
      </w:r>
      <w:r>
        <w:rPr>
          <w:rFonts w:hint="eastAsia"/>
          <w:sz w:val="24"/>
        </w:rPr>
        <w:t xml:space="preserve"> 试件制作后用木箱或钢筋笼放置于保温墙体处，其养护条件与保温墙体相同。龄期按日平均温度逐日累计达到600℃</w:t>
      </w:r>
      <w:r>
        <w:rPr>
          <w:sz w:val="24"/>
        </w:rPr>
        <w:t>d</w:t>
      </w:r>
      <w:r>
        <w:rPr>
          <w:rFonts w:hint="eastAsia"/>
          <w:sz w:val="24"/>
        </w:rPr>
        <w:t>时所对应的天数（0℃以下的龄期、温度不能计入），同时要求，等效养护龄期不应小于</w:t>
      </w:r>
      <w:r>
        <w:rPr>
          <w:sz w:val="24"/>
        </w:rPr>
        <w:t>14天，也不宜大于60天。</w:t>
      </w:r>
    </w:p>
    <w:p>
      <w:pPr>
        <w:jc w:val="center"/>
        <w:rPr>
          <w:b/>
          <w:sz w:val="28"/>
          <w:szCs w:val="28"/>
        </w:rPr>
      </w:pPr>
      <w:r>
        <w:rPr>
          <w:rFonts w:hint="eastAsia"/>
          <w:b/>
          <w:sz w:val="28"/>
          <w:szCs w:val="28"/>
        </w:rPr>
        <w:t>E.3  检测</w:t>
      </w:r>
      <w:r>
        <w:rPr>
          <w:b/>
          <w:sz w:val="28"/>
          <w:szCs w:val="28"/>
        </w:rPr>
        <w:t>方法</w:t>
      </w:r>
    </w:p>
    <w:p>
      <w:pPr>
        <w:spacing w:line="360" w:lineRule="auto"/>
        <w:rPr>
          <w:sz w:val="24"/>
        </w:rPr>
      </w:pPr>
      <w:r>
        <w:rPr>
          <w:rFonts w:hint="eastAsia"/>
          <w:b/>
          <w:sz w:val="24"/>
        </w:rPr>
        <w:t>E.3.1</w:t>
      </w:r>
      <w:r>
        <w:rPr>
          <w:rFonts w:hint="eastAsia"/>
          <w:sz w:val="24"/>
        </w:rPr>
        <w:t xml:space="preserve">  干密度检测使用抗压强度试件按国家标准《无机硬质绝热制品试验方法》GB/T 5486的规定进行，检测结果取6个试件的算术平均值。</w:t>
      </w:r>
    </w:p>
    <w:p>
      <w:pPr>
        <w:spacing w:line="360" w:lineRule="auto"/>
        <w:rPr>
          <w:sz w:val="24"/>
        </w:rPr>
      </w:pPr>
      <w:r>
        <w:rPr>
          <w:rFonts w:hint="eastAsia"/>
          <w:b/>
          <w:sz w:val="24"/>
        </w:rPr>
        <w:t xml:space="preserve">E.3.2 </w:t>
      </w:r>
      <w:r>
        <w:rPr>
          <w:rFonts w:hint="eastAsia"/>
          <w:sz w:val="24"/>
        </w:rPr>
        <w:t xml:space="preserve"> 抗压强度检测使用干密度试验后的试件按国家标准《无机硬质绝热制品试验方法》GB/T 5486的规定进行，检测结果取中间4个测试数据的算术平均值。</w:t>
      </w:r>
    </w:p>
    <w:p>
      <w:pPr>
        <w:spacing w:line="360" w:lineRule="auto"/>
        <w:rPr>
          <w:rStyle w:val="33"/>
          <w:b/>
          <w:sz w:val="24"/>
          <w:szCs w:val="24"/>
        </w:rPr>
      </w:pPr>
      <w:r>
        <w:rPr>
          <w:rFonts w:hint="eastAsia"/>
          <w:b/>
          <w:sz w:val="24"/>
        </w:rPr>
        <w:t>E</w:t>
      </w:r>
      <w:r>
        <w:rPr>
          <w:b/>
          <w:sz w:val="24"/>
        </w:rPr>
        <w:t xml:space="preserve">.3.3  </w:t>
      </w:r>
      <w:r>
        <w:rPr>
          <w:rFonts w:hint="eastAsia"/>
          <w:sz w:val="24"/>
        </w:rPr>
        <w:t>导热系数检测按国家标准《绝热材料稳态热阻及有关特性的测定 防护热板法》GB/T 10294的规定进行，允许按国家标准《绝热材料稳态热阻及有关特性的测定 热流计法》GB/T 10295的规定进行，如有异议，以国家标准《绝热材料稳态热阻及有关特性的测定 防护热板法》GB/T 10294作为仲裁检测方法。</w:t>
      </w:r>
    </w:p>
    <w:p>
      <w:pPr>
        <w:pStyle w:val="2"/>
        <w:rPr>
          <w:sz w:val="28"/>
          <w:szCs w:val="28"/>
        </w:rPr>
      </w:pPr>
      <w:bookmarkStart w:id="175" w:name="_Toc13815754"/>
      <w:bookmarkStart w:id="176" w:name="_Toc17811246"/>
      <w:r>
        <w:rPr>
          <w:rFonts w:hint="eastAsia"/>
          <w:sz w:val="28"/>
          <w:szCs w:val="28"/>
        </w:rPr>
        <w:t>附录F  外墙</w:t>
      </w:r>
      <w:r>
        <w:rPr>
          <w:sz w:val="28"/>
          <w:szCs w:val="28"/>
        </w:rPr>
        <w:t>节能</w:t>
      </w:r>
      <w:r>
        <w:rPr>
          <w:rFonts w:hint="eastAsia"/>
          <w:sz w:val="28"/>
          <w:szCs w:val="28"/>
        </w:rPr>
        <w:t>构造</w:t>
      </w:r>
      <w:r>
        <w:rPr>
          <w:sz w:val="28"/>
          <w:szCs w:val="28"/>
        </w:rPr>
        <w:t>钻</w:t>
      </w:r>
      <w:r>
        <w:rPr>
          <w:rFonts w:hint="eastAsia"/>
          <w:sz w:val="28"/>
          <w:szCs w:val="28"/>
        </w:rPr>
        <w:t>芯检测</w:t>
      </w:r>
      <w:r>
        <w:rPr>
          <w:sz w:val="28"/>
          <w:szCs w:val="28"/>
        </w:rPr>
        <w:t>方法</w:t>
      </w:r>
      <w:bookmarkEnd w:id="175"/>
      <w:bookmarkEnd w:id="176"/>
    </w:p>
    <w:p>
      <w:pPr>
        <w:spacing w:line="360" w:lineRule="auto"/>
        <w:rPr>
          <w:sz w:val="24"/>
        </w:rPr>
      </w:pPr>
      <w:r>
        <w:rPr>
          <w:b/>
          <w:sz w:val="24"/>
        </w:rPr>
        <w:t>F</w:t>
      </w:r>
      <w:r>
        <w:rPr>
          <w:rFonts w:hint="eastAsia"/>
          <w:b/>
          <w:sz w:val="24"/>
        </w:rPr>
        <w:t>.0.1</w:t>
      </w:r>
      <w:r>
        <w:rPr>
          <w:rFonts w:hint="eastAsia"/>
          <w:sz w:val="24"/>
        </w:rPr>
        <w:t xml:space="preserve">  本方法适用于带有保温层建筑外墙的节能构造钻芯检测。</w:t>
      </w:r>
    </w:p>
    <w:p>
      <w:pPr>
        <w:spacing w:line="360" w:lineRule="auto"/>
        <w:rPr>
          <w:sz w:val="24"/>
        </w:rPr>
      </w:pPr>
      <w:r>
        <w:rPr>
          <w:b/>
          <w:sz w:val="24"/>
        </w:rPr>
        <w:t>F</w:t>
      </w:r>
      <w:r>
        <w:rPr>
          <w:rFonts w:hint="eastAsia"/>
          <w:b/>
          <w:sz w:val="24"/>
        </w:rPr>
        <w:t>.0.2</w:t>
      </w:r>
      <w:r>
        <w:rPr>
          <w:rFonts w:hint="eastAsia"/>
          <w:sz w:val="24"/>
        </w:rPr>
        <w:t xml:space="preserve">  检测应在监理工程师见证下实施。</w:t>
      </w:r>
    </w:p>
    <w:p>
      <w:pPr>
        <w:spacing w:line="360" w:lineRule="auto"/>
        <w:rPr>
          <w:sz w:val="24"/>
        </w:rPr>
      </w:pPr>
      <w:r>
        <w:rPr>
          <w:b/>
          <w:sz w:val="24"/>
        </w:rPr>
        <w:t>F</w:t>
      </w:r>
      <w:r>
        <w:rPr>
          <w:rFonts w:hint="eastAsia"/>
          <w:b/>
          <w:sz w:val="24"/>
        </w:rPr>
        <w:t xml:space="preserve">.0.3 </w:t>
      </w:r>
      <w:r>
        <w:rPr>
          <w:rFonts w:hint="eastAsia"/>
          <w:sz w:val="24"/>
        </w:rPr>
        <w:t xml:space="preserve"> 钻芯检验外墙节能构造的取样部位，应遵守下列规定：</w:t>
      </w:r>
    </w:p>
    <w:p>
      <w:pPr>
        <w:spacing w:line="360" w:lineRule="auto"/>
        <w:ind w:firstLine="482" w:firstLineChars="200"/>
        <w:rPr>
          <w:sz w:val="24"/>
        </w:rPr>
      </w:pPr>
      <w:r>
        <w:rPr>
          <w:rFonts w:hint="eastAsia"/>
          <w:b/>
          <w:sz w:val="24"/>
        </w:rPr>
        <w:t>1</w:t>
      </w:r>
      <w:r>
        <w:rPr>
          <w:rFonts w:hint="eastAsia"/>
          <w:sz w:val="24"/>
        </w:rPr>
        <w:t xml:space="preserve">  取样部位应由</w:t>
      </w:r>
      <w:r>
        <w:rPr>
          <w:rFonts w:hint="eastAsia" w:ascii="宋体" w:hAnsi="宋体"/>
          <w:sz w:val="24"/>
        </w:rPr>
        <w:t>检测人员随机抽样确定</w:t>
      </w:r>
      <w:r>
        <w:rPr>
          <w:rFonts w:hint="eastAsia"/>
          <w:sz w:val="24"/>
        </w:rPr>
        <w:t>，不得在外墙施工前预先确定。</w:t>
      </w:r>
    </w:p>
    <w:p>
      <w:pPr>
        <w:spacing w:line="360" w:lineRule="auto"/>
        <w:ind w:firstLine="482" w:firstLineChars="200"/>
        <w:rPr>
          <w:sz w:val="24"/>
        </w:rPr>
      </w:pPr>
      <w:r>
        <w:rPr>
          <w:rFonts w:hint="eastAsia"/>
          <w:b/>
          <w:sz w:val="24"/>
        </w:rPr>
        <w:t>2</w:t>
      </w:r>
      <w:r>
        <w:rPr>
          <w:rFonts w:hint="eastAsia"/>
          <w:sz w:val="24"/>
        </w:rPr>
        <w:t xml:space="preserve">  取样部位应选取节能构造有代表性的外墙上相对隐蔽的部位，并宜兼顾不同朝向和楼层；取样部位必须确保钻芯操作安全，且应方便操作。</w:t>
      </w:r>
    </w:p>
    <w:p>
      <w:pPr>
        <w:spacing w:line="360" w:lineRule="auto"/>
        <w:rPr>
          <w:sz w:val="24"/>
        </w:rPr>
      </w:pPr>
      <w:r>
        <w:rPr>
          <w:b/>
          <w:sz w:val="24"/>
        </w:rPr>
        <w:t>F</w:t>
      </w:r>
      <w:r>
        <w:rPr>
          <w:rFonts w:hint="eastAsia"/>
          <w:b/>
          <w:sz w:val="24"/>
        </w:rPr>
        <w:t>.0.4</w:t>
      </w:r>
      <w:r>
        <w:rPr>
          <w:rFonts w:hint="eastAsia"/>
          <w:sz w:val="24"/>
        </w:rPr>
        <w:t xml:space="preserve">  钻芯检验外墙节能构造可采用空心钻头，从保温层一侧钻取直径70mm的芯样。钻取芯样深度为钻透保温层到达结构层或基层表面，必要时也可钻透墙体。</w:t>
      </w:r>
    </w:p>
    <w:p>
      <w:pPr>
        <w:spacing w:line="360" w:lineRule="auto"/>
        <w:ind w:firstLine="480" w:firstLineChars="200"/>
        <w:rPr>
          <w:sz w:val="24"/>
        </w:rPr>
      </w:pPr>
      <w:r>
        <w:rPr>
          <w:rFonts w:hint="eastAsia"/>
          <w:sz w:val="24"/>
        </w:rPr>
        <w:t>当外墙的表层坚硬不易钻透时，也可局部剔除坚硬的面层后钻取芯样。但钻取芯样后应恢复原有外墙的表面装饰层。</w:t>
      </w:r>
    </w:p>
    <w:p>
      <w:pPr>
        <w:spacing w:line="360" w:lineRule="auto"/>
        <w:rPr>
          <w:sz w:val="24"/>
        </w:rPr>
      </w:pPr>
      <w:r>
        <w:rPr>
          <w:b/>
          <w:sz w:val="24"/>
        </w:rPr>
        <w:t>F</w:t>
      </w:r>
      <w:r>
        <w:rPr>
          <w:rFonts w:hint="eastAsia"/>
          <w:b/>
          <w:sz w:val="24"/>
        </w:rPr>
        <w:t xml:space="preserve">.0.5 </w:t>
      </w:r>
      <w:r>
        <w:rPr>
          <w:rFonts w:hint="eastAsia"/>
          <w:sz w:val="24"/>
        </w:rPr>
        <w:t xml:space="preserve"> 钻取芯样时应尽量避免冷却水流入墙体内及污染墙面。从空心钻头中取出芯样时应谨慎操作，以保持芯样完整。当芯样严重破损难以准确判断节能构造或保温层厚度时，应重新取样检验。</w:t>
      </w:r>
    </w:p>
    <w:p>
      <w:pPr>
        <w:spacing w:line="360" w:lineRule="auto"/>
        <w:rPr>
          <w:sz w:val="24"/>
        </w:rPr>
      </w:pPr>
      <w:r>
        <w:rPr>
          <w:rFonts w:hint="eastAsia"/>
          <w:b/>
          <w:sz w:val="24"/>
        </w:rPr>
        <w:t>F.0.6</w:t>
      </w:r>
      <w:r>
        <w:rPr>
          <w:rFonts w:hint="eastAsia"/>
          <w:sz w:val="24"/>
        </w:rPr>
        <w:t xml:space="preserve">  对钻取的芯样，应按照下列规定进行检查：</w:t>
      </w:r>
    </w:p>
    <w:p>
      <w:pPr>
        <w:spacing w:line="360" w:lineRule="auto"/>
        <w:ind w:firstLine="482" w:firstLineChars="200"/>
        <w:rPr>
          <w:sz w:val="24"/>
        </w:rPr>
      </w:pPr>
      <w:r>
        <w:rPr>
          <w:rFonts w:hint="eastAsia"/>
          <w:b/>
          <w:sz w:val="24"/>
        </w:rPr>
        <w:t>1</w:t>
      </w:r>
      <w:r>
        <w:rPr>
          <w:rFonts w:hint="eastAsia"/>
          <w:sz w:val="24"/>
        </w:rPr>
        <w:t xml:space="preserve">  对照设计图纸观察、判断保温材料种类是否符合设计要求；必要时也可采用其他方法加以判断；</w:t>
      </w:r>
    </w:p>
    <w:p>
      <w:pPr>
        <w:spacing w:line="360" w:lineRule="auto"/>
        <w:ind w:firstLine="482" w:firstLineChars="200"/>
        <w:rPr>
          <w:sz w:val="24"/>
        </w:rPr>
      </w:pPr>
      <w:r>
        <w:rPr>
          <w:rFonts w:hint="eastAsia"/>
          <w:b/>
          <w:sz w:val="24"/>
        </w:rPr>
        <w:t>2</w:t>
      </w:r>
      <w:r>
        <w:rPr>
          <w:rFonts w:hint="eastAsia"/>
          <w:sz w:val="24"/>
        </w:rPr>
        <w:t xml:space="preserve">  用分度值为1mm的钢尺，在垂直于芯样表面（外墙面）的方向上量取保温层厚度，精确到1mm； </w:t>
      </w:r>
    </w:p>
    <w:p>
      <w:pPr>
        <w:spacing w:line="360" w:lineRule="auto"/>
        <w:ind w:firstLine="482" w:firstLineChars="200"/>
        <w:rPr>
          <w:sz w:val="24"/>
        </w:rPr>
      </w:pPr>
      <w:r>
        <w:rPr>
          <w:rFonts w:hint="eastAsia"/>
          <w:b/>
          <w:sz w:val="24"/>
        </w:rPr>
        <w:t>3</w:t>
      </w:r>
      <w:r>
        <w:rPr>
          <w:rFonts w:hint="eastAsia"/>
          <w:sz w:val="24"/>
        </w:rPr>
        <w:t xml:space="preserve">  观察或剖开检查保温层构造做法是否符合设计和施工方案要求。</w:t>
      </w:r>
    </w:p>
    <w:p>
      <w:pPr>
        <w:spacing w:line="360" w:lineRule="auto"/>
        <w:rPr>
          <w:sz w:val="24"/>
        </w:rPr>
      </w:pPr>
      <w:r>
        <w:rPr>
          <w:b/>
          <w:sz w:val="24"/>
        </w:rPr>
        <w:t>F</w:t>
      </w:r>
      <w:r>
        <w:rPr>
          <w:rFonts w:hint="eastAsia"/>
          <w:b/>
          <w:sz w:val="24"/>
        </w:rPr>
        <w:t>.0.7</w:t>
      </w:r>
      <w:r>
        <w:rPr>
          <w:rFonts w:hint="eastAsia"/>
          <w:sz w:val="24"/>
        </w:rPr>
        <w:t xml:space="preserve">  在垂直于芯样表面（外墙面）的方向上实测芯样保温层厚度，当实测厚度的平均值达到设计厚度的95%及以上时，应判定保温层厚度符合设计要求；否则，应判定保温层厚度不符合设计要求。</w:t>
      </w:r>
    </w:p>
    <w:p>
      <w:pPr>
        <w:widowControl/>
        <w:jc w:val="left"/>
      </w:pPr>
      <w:r>
        <w:br w:type="page"/>
      </w:r>
    </w:p>
    <w:p>
      <w:pPr>
        <w:pStyle w:val="2"/>
      </w:pPr>
      <w:bookmarkStart w:id="177" w:name="_Toc17811247"/>
      <w:r>
        <w:rPr>
          <w:rFonts w:hint="eastAsia"/>
        </w:rPr>
        <w:t>本标准用词说明</w:t>
      </w:r>
      <w:bookmarkEnd w:id="177"/>
    </w:p>
    <w:p>
      <w:pPr>
        <w:spacing w:line="360" w:lineRule="auto"/>
        <w:ind w:firstLine="480" w:firstLineChars="200"/>
        <w:rPr>
          <w:sz w:val="24"/>
        </w:rPr>
      </w:pPr>
    </w:p>
    <w:p>
      <w:pPr>
        <w:spacing w:line="360" w:lineRule="auto"/>
        <w:ind w:firstLine="480" w:firstLineChars="200"/>
        <w:rPr>
          <w:sz w:val="24"/>
        </w:rPr>
      </w:pPr>
      <w:r>
        <w:rPr>
          <w:rFonts w:hint="eastAsia"/>
          <w:sz w:val="24"/>
        </w:rPr>
        <w:t>1  为便于在执行本标准条文时区别对待，对要求严格程度不同的用词说明如下：</w:t>
      </w:r>
    </w:p>
    <w:p>
      <w:pPr>
        <w:spacing w:line="360" w:lineRule="auto"/>
        <w:ind w:firstLine="960" w:firstLineChars="400"/>
        <w:rPr>
          <w:sz w:val="24"/>
        </w:rPr>
      </w:pPr>
      <w:r>
        <w:rPr>
          <w:rFonts w:hint="eastAsia"/>
          <w:sz w:val="24"/>
        </w:rPr>
        <w:t>1） 表示很严格，非这样做不可的：</w:t>
      </w:r>
    </w:p>
    <w:p>
      <w:pPr>
        <w:spacing w:line="360" w:lineRule="auto"/>
        <w:ind w:firstLine="1416" w:firstLineChars="590"/>
        <w:rPr>
          <w:sz w:val="24"/>
        </w:rPr>
      </w:pPr>
      <w:r>
        <w:rPr>
          <w:rFonts w:hint="eastAsia"/>
          <w:sz w:val="24"/>
        </w:rPr>
        <w:t>正面词采用“必须”，反面词采用“严禁”；</w:t>
      </w:r>
    </w:p>
    <w:p>
      <w:pPr>
        <w:spacing w:line="360" w:lineRule="auto"/>
        <w:ind w:firstLine="960" w:firstLineChars="400"/>
        <w:rPr>
          <w:sz w:val="24"/>
        </w:rPr>
      </w:pPr>
      <w:r>
        <w:rPr>
          <w:rFonts w:hint="eastAsia"/>
          <w:sz w:val="24"/>
        </w:rPr>
        <w:t>2） 表示严格，在正常情况下均应这样做的：</w:t>
      </w:r>
    </w:p>
    <w:p>
      <w:pPr>
        <w:spacing w:line="360" w:lineRule="auto"/>
        <w:ind w:firstLine="1440" w:firstLineChars="600"/>
        <w:rPr>
          <w:sz w:val="24"/>
        </w:rPr>
      </w:pPr>
      <w:r>
        <w:rPr>
          <w:rFonts w:hint="eastAsia"/>
          <w:sz w:val="24"/>
        </w:rPr>
        <w:t>正面词采用“应”，反面词采用“不应”或“不得”；</w:t>
      </w:r>
    </w:p>
    <w:p>
      <w:pPr>
        <w:spacing w:line="360" w:lineRule="auto"/>
        <w:ind w:firstLine="960" w:firstLineChars="400"/>
        <w:rPr>
          <w:sz w:val="24"/>
        </w:rPr>
      </w:pPr>
      <w:r>
        <w:rPr>
          <w:rFonts w:hint="eastAsia"/>
          <w:sz w:val="24"/>
        </w:rPr>
        <w:t>3） 表示允许稍有选择，在条件许可时首先应这样做的：</w:t>
      </w:r>
    </w:p>
    <w:p>
      <w:pPr>
        <w:spacing w:line="360" w:lineRule="auto"/>
        <w:ind w:firstLine="1440" w:firstLineChars="600"/>
        <w:rPr>
          <w:sz w:val="24"/>
        </w:rPr>
      </w:pPr>
      <w:r>
        <w:rPr>
          <w:rFonts w:hint="eastAsia"/>
          <w:sz w:val="24"/>
        </w:rPr>
        <w:t>正面词采用“宜”，反面词采用“不宜”；</w:t>
      </w:r>
    </w:p>
    <w:p>
      <w:pPr>
        <w:spacing w:line="360" w:lineRule="auto"/>
        <w:ind w:firstLine="960" w:firstLineChars="400"/>
        <w:rPr>
          <w:sz w:val="24"/>
        </w:rPr>
      </w:pPr>
      <w:r>
        <w:rPr>
          <w:rFonts w:hint="eastAsia"/>
          <w:sz w:val="24"/>
        </w:rPr>
        <w:t>4） 表示有选择，在一定条件下可以这样做的采用“可”。</w:t>
      </w:r>
    </w:p>
    <w:p>
      <w:pPr>
        <w:spacing w:line="360" w:lineRule="auto"/>
        <w:ind w:firstLine="480" w:firstLineChars="200"/>
        <w:rPr>
          <w:sz w:val="24"/>
        </w:rPr>
      </w:pPr>
      <w:r>
        <w:rPr>
          <w:rFonts w:hint="eastAsia"/>
          <w:sz w:val="24"/>
        </w:rPr>
        <w:t>2  条文中指明应按其他有关标准执行的写法为：“应符合</w:t>
      </w:r>
      <w:r>
        <w:rPr>
          <w:rFonts w:ascii="Cambria Math" w:hAnsi="Cambria Math" w:cs="Cambria Math"/>
          <w:sz w:val="24"/>
        </w:rPr>
        <w:t>⋯⋯</w:t>
      </w:r>
      <w:r>
        <w:rPr>
          <w:rFonts w:hint="eastAsia"/>
          <w:sz w:val="24"/>
        </w:rPr>
        <w:t>的规定”或“应按</w:t>
      </w:r>
      <w:r>
        <w:rPr>
          <w:rFonts w:ascii="Cambria Math" w:hAnsi="Cambria Math" w:cs="Cambria Math"/>
          <w:sz w:val="24"/>
        </w:rPr>
        <w:t>⋯⋯</w:t>
      </w:r>
      <w:r>
        <w:rPr>
          <w:rFonts w:hint="eastAsia"/>
          <w:sz w:val="24"/>
        </w:rPr>
        <w:t>执行”。</w:t>
      </w:r>
    </w:p>
    <w:p>
      <w:pPr>
        <w:widowControl/>
        <w:jc w:val="left"/>
        <w:rPr>
          <w:sz w:val="24"/>
        </w:rPr>
      </w:pPr>
      <w:r>
        <w:rPr>
          <w:sz w:val="24"/>
        </w:rPr>
        <w:br w:type="page"/>
      </w:r>
    </w:p>
    <w:p>
      <w:pPr>
        <w:pStyle w:val="2"/>
      </w:pPr>
      <w:bookmarkStart w:id="178" w:name="_Toc17811248"/>
      <w:r>
        <w:rPr>
          <w:rFonts w:hint="eastAsia"/>
        </w:rPr>
        <w:t>引用标准名录</w:t>
      </w:r>
      <w:bookmarkEnd w:id="178"/>
    </w:p>
    <w:p>
      <w:pPr>
        <w:spacing w:line="360" w:lineRule="auto"/>
        <w:ind w:firstLine="480" w:firstLineChars="200"/>
        <w:rPr>
          <w:sz w:val="24"/>
        </w:rPr>
      </w:pPr>
      <w:r>
        <w:rPr>
          <w:rFonts w:hint="eastAsia"/>
          <w:sz w:val="24"/>
        </w:rPr>
        <w:t>1  《民用建筑隔声设计规范》GB 50118</w:t>
      </w:r>
    </w:p>
    <w:p>
      <w:pPr>
        <w:spacing w:line="360" w:lineRule="auto"/>
        <w:ind w:firstLine="480" w:firstLineChars="200"/>
        <w:rPr>
          <w:sz w:val="24"/>
        </w:rPr>
      </w:pPr>
      <w:r>
        <w:rPr>
          <w:rFonts w:hint="eastAsia"/>
          <w:sz w:val="24"/>
        </w:rPr>
        <w:t>2  《建筑照明设计标准》GB 50034</w:t>
      </w:r>
    </w:p>
    <w:p>
      <w:pPr>
        <w:spacing w:line="360" w:lineRule="auto"/>
        <w:ind w:firstLine="480" w:firstLineChars="200"/>
        <w:rPr>
          <w:sz w:val="24"/>
        </w:rPr>
      </w:pPr>
      <w:r>
        <w:rPr>
          <w:rFonts w:hint="eastAsia"/>
          <w:sz w:val="24"/>
        </w:rPr>
        <w:t xml:space="preserve">3  </w:t>
      </w:r>
      <w:r>
        <w:rPr>
          <w:sz w:val="24"/>
        </w:rPr>
        <w:t>《建筑采光设计标准》GB 50033</w:t>
      </w:r>
    </w:p>
    <w:p>
      <w:pPr>
        <w:spacing w:line="360" w:lineRule="auto"/>
        <w:ind w:firstLine="480" w:firstLineChars="200"/>
        <w:rPr>
          <w:sz w:val="24"/>
        </w:rPr>
      </w:pPr>
      <w:r>
        <w:rPr>
          <w:rFonts w:hint="eastAsia"/>
          <w:sz w:val="24"/>
        </w:rPr>
        <w:t>4  《民用建筑热工设计规范》GB 50176</w:t>
      </w:r>
    </w:p>
    <w:p>
      <w:pPr>
        <w:spacing w:line="360" w:lineRule="auto"/>
        <w:ind w:firstLine="480" w:firstLineChars="200"/>
        <w:rPr>
          <w:sz w:val="24"/>
        </w:rPr>
      </w:pPr>
      <w:r>
        <w:rPr>
          <w:rFonts w:hint="eastAsia"/>
          <w:sz w:val="24"/>
        </w:rPr>
        <w:t>5  《公共建筑节能设计标准》GB 50189</w:t>
      </w:r>
    </w:p>
    <w:p>
      <w:pPr>
        <w:spacing w:line="360" w:lineRule="auto"/>
        <w:ind w:firstLine="480" w:firstLineChars="200"/>
        <w:rPr>
          <w:sz w:val="24"/>
        </w:rPr>
      </w:pPr>
      <w:r>
        <w:rPr>
          <w:rFonts w:hint="eastAsia"/>
          <w:sz w:val="24"/>
        </w:rPr>
        <w:t>6  《建筑节能工程施工质量验收规范》GB 50411</w:t>
      </w:r>
    </w:p>
    <w:p>
      <w:pPr>
        <w:spacing w:line="360" w:lineRule="auto"/>
        <w:ind w:firstLine="480" w:firstLineChars="200"/>
        <w:rPr>
          <w:sz w:val="24"/>
        </w:rPr>
      </w:pPr>
      <w:r>
        <w:rPr>
          <w:rFonts w:hint="eastAsia"/>
          <w:sz w:val="24"/>
        </w:rPr>
        <w:t>7  《声环境质量标准》GB 3096</w:t>
      </w:r>
    </w:p>
    <w:p>
      <w:pPr>
        <w:spacing w:line="360" w:lineRule="auto"/>
        <w:ind w:firstLine="480" w:firstLineChars="200"/>
        <w:rPr>
          <w:sz w:val="24"/>
        </w:rPr>
      </w:pPr>
      <w:r>
        <w:rPr>
          <w:rFonts w:hint="eastAsia"/>
          <w:sz w:val="24"/>
        </w:rPr>
        <w:t>8  《电磁环境控制限值》</w:t>
      </w:r>
      <w:r>
        <w:rPr>
          <w:sz w:val="24"/>
        </w:rPr>
        <w:t>GB 8702</w:t>
      </w:r>
    </w:p>
    <w:p>
      <w:pPr>
        <w:spacing w:line="360" w:lineRule="auto"/>
        <w:ind w:firstLine="480" w:firstLineChars="200"/>
        <w:rPr>
          <w:sz w:val="24"/>
        </w:rPr>
      </w:pPr>
      <w:r>
        <w:rPr>
          <w:rFonts w:hint="eastAsia"/>
          <w:sz w:val="24"/>
        </w:rPr>
        <w:t>9  《生活饮用水水质标准》GB5749</w:t>
      </w:r>
    </w:p>
    <w:p>
      <w:pPr>
        <w:spacing w:line="360" w:lineRule="auto"/>
        <w:ind w:firstLine="480" w:firstLineChars="200"/>
        <w:rPr>
          <w:sz w:val="24"/>
        </w:rPr>
      </w:pPr>
      <w:r>
        <w:rPr>
          <w:rFonts w:hint="eastAsia"/>
          <w:sz w:val="24"/>
        </w:rPr>
        <w:t>10  《游泳场所卫生标准》GB 9667</w:t>
      </w:r>
    </w:p>
    <w:p>
      <w:pPr>
        <w:spacing w:line="360" w:lineRule="auto"/>
        <w:ind w:firstLine="480" w:firstLineChars="200"/>
        <w:rPr>
          <w:sz w:val="24"/>
        </w:rPr>
      </w:pPr>
      <w:r>
        <w:rPr>
          <w:rFonts w:hint="eastAsia"/>
          <w:sz w:val="24"/>
        </w:rPr>
        <w:t>11 《污水综合排放标准》GB 8978</w:t>
      </w:r>
    </w:p>
    <w:p>
      <w:pPr>
        <w:spacing w:line="360" w:lineRule="auto"/>
        <w:ind w:firstLine="480" w:firstLineChars="200"/>
        <w:rPr>
          <w:sz w:val="24"/>
        </w:rPr>
      </w:pPr>
      <w:r>
        <w:rPr>
          <w:rFonts w:hint="eastAsia"/>
          <w:color w:val="000000" w:themeColor="text1"/>
          <w:sz w:val="24"/>
          <w14:textFill>
            <w14:solidFill>
              <w14:schemeClr w14:val="tx1"/>
            </w14:solidFill>
          </w14:textFill>
        </w:rPr>
        <w:t>12 《厅堂扩声系统设计规范》GB 50371</w:t>
      </w:r>
    </w:p>
    <w:p>
      <w:pPr>
        <w:spacing w:line="360" w:lineRule="auto"/>
        <w:ind w:firstLine="480" w:firstLineChars="200"/>
        <w:rPr>
          <w:sz w:val="24"/>
        </w:rPr>
      </w:pPr>
      <w:r>
        <w:rPr>
          <w:rFonts w:hint="eastAsia"/>
          <w:sz w:val="24"/>
        </w:rPr>
        <w:t>13 《玻璃幕墙光热性能》GB 18091</w:t>
      </w:r>
    </w:p>
    <w:p>
      <w:pPr>
        <w:spacing w:line="360" w:lineRule="auto"/>
        <w:ind w:firstLine="480" w:firstLineChars="200"/>
        <w:rPr>
          <w:sz w:val="24"/>
        </w:rPr>
      </w:pPr>
      <w:r>
        <w:rPr>
          <w:rFonts w:hint="eastAsia"/>
          <w:sz w:val="24"/>
        </w:rPr>
        <w:t>14 《民用建筑工程室内环境污染控制规范》GB 50325</w:t>
      </w:r>
    </w:p>
    <w:p>
      <w:pPr>
        <w:spacing w:line="360" w:lineRule="auto"/>
        <w:ind w:firstLine="480" w:firstLineChars="200"/>
        <w:rPr>
          <w:sz w:val="24"/>
        </w:rPr>
      </w:pPr>
      <w:r>
        <w:rPr>
          <w:rFonts w:hint="eastAsia"/>
          <w:sz w:val="24"/>
        </w:rPr>
        <w:t xml:space="preserve">15 </w:t>
      </w:r>
      <w:r>
        <w:rPr>
          <w:sz w:val="24"/>
        </w:rPr>
        <w:t>《</w:t>
      </w:r>
      <w:r>
        <w:fldChar w:fldCharType="begin"/>
      </w:r>
      <w:r>
        <w:instrText xml:space="preserve"> HYPERLINK "http://192.168.0.42:9090/zbooklib/book/detail/show?SiteID=1&amp;bookID=57611" \t "http://192.168.0.42:9090/zbooklib/_blank" </w:instrText>
      </w:r>
      <w:r>
        <w:fldChar w:fldCharType="separate"/>
      </w:r>
      <w:r>
        <w:rPr>
          <w:sz w:val="24"/>
        </w:rPr>
        <w:t>电梯工程施工质量验收规范</w:t>
      </w:r>
      <w:r>
        <w:rPr>
          <w:sz w:val="24"/>
        </w:rPr>
        <w:fldChar w:fldCharType="end"/>
      </w:r>
      <w:r>
        <w:rPr>
          <w:sz w:val="24"/>
        </w:rPr>
        <w:t>》GB50310</w:t>
      </w:r>
    </w:p>
    <w:p>
      <w:pPr>
        <w:spacing w:line="360" w:lineRule="auto"/>
        <w:ind w:firstLine="480" w:firstLineChars="200"/>
        <w:rPr>
          <w:sz w:val="24"/>
        </w:rPr>
      </w:pPr>
      <w:r>
        <w:rPr>
          <w:rFonts w:hint="eastAsia"/>
          <w:sz w:val="24"/>
        </w:rPr>
        <w:t>16 《绿色建筑评价标准》</w:t>
      </w:r>
      <w:r>
        <w:rPr>
          <w:sz w:val="24"/>
        </w:rPr>
        <w:t>GB</w:t>
      </w:r>
      <w:r>
        <w:rPr>
          <w:rFonts w:hint="eastAsia"/>
          <w:sz w:val="24"/>
        </w:rPr>
        <w:t>/</w:t>
      </w:r>
      <w:r>
        <w:rPr>
          <w:sz w:val="24"/>
        </w:rPr>
        <w:t>T 50378</w:t>
      </w:r>
    </w:p>
    <w:p>
      <w:pPr>
        <w:spacing w:line="360" w:lineRule="auto"/>
        <w:ind w:firstLine="480" w:firstLineChars="200"/>
        <w:rPr>
          <w:sz w:val="24"/>
        </w:rPr>
      </w:pPr>
      <w:r>
        <w:rPr>
          <w:rFonts w:hint="eastAsia"/>
          <w:sz w:val="24"/>
        </w:rPr>
        <w:t>17 《可再生能源建筑应用工程评价标准》GB/T 50801</w:t>
      </w:r>
    </w:p>
    <w:p>
      <w:pPr>
        <w:spacing w:line="360" w:lineRule="auto"/>
        <w:ind w:firstLine="480" w:firstLineChars="200"/>
        <w:rPr>
          <w:sz w:val="24"/>
        </w:rPr>
      </w:pPr>
      <w:r>
        <w:rPr>
          <w:rFonts w:hint="eastAsia"/>
          <w:sz w:val="24"/>
        </w:rPr>
        <w:t>18 《民用建筑太阳能热水系统应用技术标准》GB 50364</w:t>
      </w:r>
    </w:p>
    <w:p>
      <w:pPr>
        <w:spacing w:line="360" w:lineRule="auto"/>
        <w:ind w:firstLine="480" w:firstLineChars="200"/>
        <w:rPr>
          <w:sz w:val="24"/>
        </w:rPr>
      </w:pPr>
      <w:r>
        <w:rPr>
          <w:rFonts w:hint="eastAsia"/>
          <w:sz w:val="24"/>
        </w:rPr>
        <w:t>19 《空气-空气能量回收装置》GB/T 21087</w:t>
      </w:r>
    </w:p>
    <w:p>
      <w:pPr>
        <w:spacing w:line="360" w:lineRule="auto"/>
        <w:ind w:firstLine="480" w:firstLineChars="200"/>
        <w:rPr>
          <w:sz w:val="24"/>
        </w:rPr>
      </w:pPr>
      <w:r>
        <w:rPr>
          <w:rFonts w:hint="eastAsia"/>
          <w:sz w:val="24"/>
        </w:rPr>
        <w:t>20 《蓄冷空调系统的测试和评价方法》GB/T 19412</w:t>
      </w:r>
    </w:p>
    <w:p>
      <w:pPr>
        <w:spacing w:line="360" w:lineRule="auto"/>
        <w:ind w:firstLine="480" w:firstLineChars="200"/>
        <w:rPr>
          <w:sz w:val="24"/>
        </w:rPr>
      </w:pPr>
      <w:r>
        <w:rPr>
          <w:rFonts w:hint="eastAsia"/>
          <w:sz w:val="24"/>
        </w:rPr>
        <w:t>21 《采光测量方法》GB/T 5699</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22 《室内空气质量标准》GB/T 18883</w:t>
      </w:r>
    </w:p>
    <w:p>
      <w:pPr>
        <w:spacing w:line="360" w:lineRule="auto"/>
        <w:ind w:firstLine="480" w:firstLineChars="200"/>
        <w:rPr>
          <w:sz w:val="24"/>
        </w:rPr>
      </w:pPr>
      <w:r>
        <w:rPr>
          <w:rFonts w:hint="eastAsia"/>
          <w:sz w:val="24"/>
        </w:rPr>
        <w:t>23 《无机硬质绝热制品试验方法》GB/T 5486</w:t>
      </w:r>
    </w:p>
    <w:p>
      <w:pPr>
        <w:spacing w:line="360" w:lineRule="auto"/>
        <w:ind w:firstLine="480" w:firstLineChars="200"/>
        <w:rPr>
          <w:sz w:val="24"/>
        </w:rPr>
      </w:pPr>
      <w:r>
        <w:rPr>
          <w:rFonts w:hint="eastAsia"/>
          <w:sz w:val="24"/>
        </w:rPr>
        <w:t>24 《绝热材料稳态热阻及有关特性的测定 防护热板法》GB/T 10294</w:t>
      </w:r>
    </w:p>
    <w:p>
      <w:pPr>
        <w:spacing w:line="360" w:lineRule="auto"/>
        <w:ind w:firstLine="480" w:firstLineChars="200"/>
        <w:rPr>
          <w:sz w:val="24"/>
        </w:rPr>
      </w:pPr>
      <w:r>
        <w:rPr>
          <w:rFonts w:hint="eastAsia"/>
          <w:sz w:val="24"/>
        </w:rPr>
        <w:t>25 《绝热材料稳态热阻及有关特性的测定 热流计法》GB/T 10295</w:t>
      </w:r>
    </w:p>
    <w:p>
      <w:pPr>
        <w:spacing w:line="360" w:lineRule="auto"/>
        <w:ind w:firstLine="480" w:firstLineChars="200"/>
        <w:rPr>
          <w:sz w:val="24"/>
        </w:rPr>
      </w:pPr>
      <w:r>
        <w:rPr>
          <w:rFonts w:hint="eastAsia"/>
          <w:sz w:val="24"/>
        </w:rPr>
        <w:t>26 《照明测量方法》GB/T 5700</w:t>
      </w:r>
    </w:p>
    <w:p>
      <w:pPr>
        <w:spacing w:line="360" w:lineRule="auto"/>
        <w:ind w:firstLine="480" w:firstLineChars="200"/>
        <w:rPr>
          <w:sz w:val="24"/>
        </w:rPr>
      </w:pPr>
      <w:r>
        <w:rPr>
          <w:rFonts w:hint="eastAsia"/>
          <w:sz w:val="24"/>
        </w:rPr>
        <w:t>27 《光源显色性评价方法》GB/T 5702</w:t>
      </w:r>
    </w:p>
    <w:p>
      <w:pPr>
        <w:spacing w:line="360" w:lineRule="auto"/>
        <w:ind w:firstLine="480" w:firstLineChars="200"/>
        <w:rPr>
          <w:sz w:val="24"/>
        </w:rPr>
      </w:pPr>
      <w:r>
        <w:rPr>
          <w:rFonts w:hint="eastAsia"/>
          <w:sz w:val="24"/>
        </w:rPr>
        <w:t>28 《照明光源颜色的测量方法》GB/T 7922</w:t>
      </w:r>
    </w:p>
    <w:p>
      <w:pPr>
        <w:spacing w:line="360" w:lineRule="auto"/>
        <w:ind w:firstLine="480" w:firstLineChars="200"/>
        <w:rPr>
          <w:sz w:val="24"/>
        </w:rPr>
      </w:pPr>
      <w:r>
        <w:rPr>
          <w:rFonts w:hint="eastAsia"/>
          <w:sz w:val="24"/>
        </w:rPr>
        <w:t>29 《生活饮用水标准检验方法》GB</w:t>
      </w:r>
      <w:r>
        <w:rPr>
          <w:sz w:val="24"/>
        </w:rPr>
        <w:t>/</w:t>
      </w:r>
      <w:r>
        <w:rPr>
          <w:rFonts w:hint="eastAsia"/>
          <w:sz w:val="24"/>
        </w:rPr>
        <w:t>T 5750</w:t>
      </w:r>
    </w:p>
    <w:p>
      <w:pPr>
        <w:spacing w:line="360" w:lineRule="auto"/>
        <w:ind w:firstLine="480" w:firstLineChars="200"/>
        <w:rPr>
          <w:sz w:val="24"/>
        </w:rPr>
      </w:pPr>
      <w:r>
        <w:rPr>
          <w:rFonts w:hint="eastAsia"/>
          <w:sz w:val="24"/>
        </w:rPr>
        <w:t>30 《公共场所卫生检验方法 第1部分：物理因素》GB/T 18204.1</w:t>
      </w:r>
    </w:p>
    <w:p>
      <w:pPr>
        <w:pStyle w:val="27"/>
        <w:ind w:firstLine="480"/>
        <w:rPr>
          <w:rFonts w:eastAsia="宋体"/>
          <w:color w:val="auto"/>
          <w:sz w:val="24"/>
        </w:rPr>
      </w:pPr>
      <w:r>
        <w:rPr>
          <w:rFonts w:hint="eastAsia" w:eastAsia="宋体"/>
          <w:color w:val="auto"/>
          <w:sz w:val="24"/>
        </w:rPr>
        <w:t>31 《游泳池水微生物检验方法细菌总数测定》GB/T 18204.9</w:t>
      </w:r>
    </w:p>
    <w:p>
      <w:pPr>
        <w:pStyle w:val="27"/>
        <w:ind w:firstLine="480"/>
        <w:rPr>
          <w:rFonts w:eastAsia="宋体"/>
          <w:color w:val="auto"/>
          <w:sz w:val="24"/>
        </w:rPr>
      </w:pPr>
      <w:r>
        <w:rPr>
          <w:rFonts w:hint="eastAsia" w:eastAsia="宋体"/>
          <w:color w:val="auto"/>
          <w:sz w:val="24"/>
        </w:rPr>
        <w:t>32 《游泳池水微生物检验方法大肠菌群测定》GB/T 18204.1</w:t>
      </w:r>
      <w:r>
        <w:rPr>
          <w:rFonts w:eastAsia="宋体"/>
          <w:color w:val="auto"/>
          <w:sz w:val="24"/>
        </w:rPr>
        <w:t xml:space="preserve">0 </w:t>
      </w:r>
    </w:p>
    <w:p>
      <w:pPr>
        <w:spacing w:line="360" w:lineRule="auto"/>
        <w:ind w:firstLine="480" w:firstLineChars="200"/>
        <w:rPr>
          <w:sz w:val="24"/>
        </w:rPr>
      </w:pPr>
      <w:r>
        <w:rPr>
          <w:rFonts w:hint="eastAsia"/>
          <w:sz w:val="24"/>
        </w:rPr>
        <w:t>33 《城市污水再生利用 城市杂用水水质》GB/T 18920</w:t>
      </w:r>
    </w:p>
    <w:p>
      <w:pPr>
        <w:spacing w:line="360" w:lineRule="auto"/>
        <w:ind w:firstLine="480" w:firstLineChars="200"/>
        <w:rPr>
          <w:sz w:val="24"/>
        </w:rPr>
      </w:pPr>
      <w:r>
        <w:rPr>
          <w:rFonts w:hint="eastAsia"/>
          <w:sz w:val="24"/>
        </w:rPr>
        <w:t>34 《城市污水再生利用 景观环境用水水质》GB/T 18921</w:t>
      </w:r>
    </w:p>
    <w:p>
      <w:pPr>
        <w:spacing w:line="360" w:lineRule="auto"/>
        <w:ind w:firstLine="480" w:firstLineChars="200"/>
        <w:rPr>
          <w:sz w:val="24"/>
        </w:rPr>
      </w:pPr>
      <w:r>
        <w:rPr>
          <w:rFonts w:hint="eastAsia"/>
          <w:sz w:val="24"/>
        </w:rPr>
        <w:t>35 《声学 建筑和建筑构件隔声测量 第4部分：房间之间空气声隔声的现场测量》GB/T 19889.4</w:t>
      </w:r>
    </w:p>
    <w:p>
      <w:pPr>
        <w:spacing w:line="360" w:lineRule="auto"/>
        <w:ind w:firstLine="480" w:firstLineChars="200"/>
        <w:rPr>
          <w:sz w:val="24"/>
        </w:rPr>
      </w:pPr>
      <w:r>
        <w:rPr>
          <w:rFonts w:hint="eastAsia"/>
          <w:sz w:val="24"/>
        </w:rPr>
        <w:t>36 《声学 建筑和建筑构件隔声测量 第7部分：楼板撞击声隔声的现场测量》GB/T 19889.7</w:t>
      </w:r>
    </w:p>
    <w:p>
      <w:pPr>
        <w:spacing w:line="360" w:lineRule="auto"/>
        <w:ind w:firstLine="480" w:firstLineChars="200"/>
        <w:rPr>
          <w:sz w:val="24"/>
        </w:rPr>
      </w:pPr>
      <w:r>
        <w:rPr>
          <w:rFonts w:hint="eastAsia"/>
          <w:sz w:val="24"/>
        </w:rPr>
        <w:t>37 《建筑门窗空气声隔声性能分级及检测方法》 GB/T 8485-2008</w:t>
      </w:r>
    </w:p>
    <w:p>
      <w:pPr>
        <w:spacing w:line="360" w:lineRule="auto"/>
        <w:ind w:firstLine="480" w:firstLineChars="200"/>
        <w:rPr>
          <w:sz w:val="24"/>
        </w:rPr>
      </w:pPr>
      <w:r>
        <w:rPr>
          <w:rFonts w:hint="eastAsia"/>
          <w:sz w:val="24"/>
        </w:rPr>
        <w:t>38 《厅堂扩声特性测量方法》GB/T 4959</w:t>
      </w:r>
    </w:p>
    <w:p>
      <w:pPr>
        <w:spacing w:line="360" w:lineRule="auto"/>
        <w:ind w:firstLine="480" w:firstLineChars="200"/>
        <w:rPr>
          <w:sz w:val="24"/>
        </w:rPr>
      </w:pPr>
      <w:r>
        <w:rPr>
          <w:rFonts w:hint="eastAsia"/>
          <w:sz w:val="24"/>
        </w:rPr>
        <w:t>39 《电梯试验方法》 GB/T 10059</w:t>
      </w:r>
    </w:p>
    <w:p>
      <w:pPr>
        <w:spacing w:line="360" w:lineRule="auto"/>
        <w:ind w:firstLine="480" w:firstLineChars="200"/>
        <w:rPr>
          <w:sz w:val="24"/>
        </w:rPr>
      </w:pPr>
      <w:r>
        <w:rPr>
          <w:rFonts w:hint="eastAsia"/>
          <w:sz w:val="24"/>
        </w:rPr>
        <w:t>40 《室外照明干扰光限制规范》</w:t>
      </w:r>
      <w:r>
        <w:rPr>
          <w:sz w:val="24"/>
        </w:rPr>
        <w:t>GB</w:t>
      </w:r>
      <w:r>
        <w:rPr>
          <w:rFonts w:hint="eastAsia"/>
          <w:sz w:val="24"/>
        </w:rPr>
        <w:t>/</w:t>
      </w:r>
      <w:r>
        <w:rPr>
          <w:sz w:val="24"/>
        </w:rPr>
        <w:t>T 35626</w:t>
      </w:r>
    </w:p>
    <w:p>
      <w:pPr>
        <w:spacing w:line="360" w:lineRule="auto"/>
        <w:ind w:firstLine="480" w:firstLineChars="200"/>
        <w:rPr>
          <w:sz w:val="24"/>
        </w:rPr>
      </w:pPr>
      <w:r>
        <w:rPr>
          <w:rFonts w:hint="eastAsia"/>
          <w:sz w:val="24"/>
        </w:rPr>
        <w:t>41 《建筑玻璃 可见光透射比、太阳光直接透射比、太阳能总透射比、紫外线透射比及有关窗玻璃参数的测定》GB/T 2680</w:t>
      </w:r>
    </w:p>
    <w:p>
      <w:pPr>
        <w:spacing w:line="360" w:lineRule="auto"/>
        <w:ind w:firstLine="480" w:firstLineChars="200"/>
        <w:rPr>
          <w:sz w:val="24"/>
        </w:rPr>
      </w:pPr>
      <w:r>
        <w:rPr>
          <w:rFonts w:hint="eastAsia"/>
          <w:sz w:val="24"/>
        </w:rPr>
        <w:t>42 《混凝土路面砖》GB/T 28635</w:t>
      </w:r>
    </w:p>
    <w:p>
      <w:pPr>
        <w:spacing w:line="360" w:lineRule="auto"/>
        <w:ind w:firstLine="480" w:firstLineChars="200"/>
        <w:rPr>
          <w:sz w:val="24"/>
        </w:rPr>
      </w:pPr>
      <w:r>
        <w:rPr>
          <w:rFonts w:hint="eastAsia"/>
          <w:sz w:val="24"/>
        </w:rPr>
        <w:t>43 《机械通风冷却塔第1部分：中小型开式冷却塔》GB/T 7190.1</w:t>
      </w:r>
    </w:p>
    <w:p>
      <w:pPr>
        <w:spacing w:line="360" w:lineRule="auto"/>
        <w:ind w:firstLine="480" w:firstLineChars="200"/>
        <w:rPr>
          <w:sz w:val="24"/>
        </w:rPr>
      </w:pPr>
      <w:r>
        <w:rPr>
          <w:rFonts w:hint="eastAsia"/>
          <w:sz w:val="24"/>
        </w:rPr>
        <w:t>44 《公共建筑节能检测标准》</w:t>
      </w:r>
      <w:r>
        <w:rPr>
          <w:sz w:val="24"/>
        </w:rPr>
        <w:t>JGJ/T</w:t>
      </w:r>
      <w:r>
        <w:rPr>
          <w:rFonts w:hint="eastAsia"/>
          <w:sz w:val="24"/>
        </w:rPr>
        <w:t xml:space="preserve"> </w:t>
      </w:r>
      <w:r>
        <w:rPr>
          <w:sz w:val="24"/>
        </w:rPr>
        <w:t>177</w:t>
      </w:r>
    </w:p>
    <w:p>
      <w:pPr>
        <w:spacing w:line="360" w:lineRule="auto"/>
        <w:ind w:firstLine="480" w:firstLineChars="200"/>
        <w:rPr>
          <w:sz w:val="24"/>
        </w:rPr>
      </w:pPr>
      <w:r>
        <w:rPr>
          <w:rFonts w:hint="eastAsia"/>
          <w:sz w:val="24"/>
        </w:rPr>
        <w:t>45 《居住建筑节能检测标准》</w:t>
      </w:r>
      <w:r>
        <w:rPr>
          <w:sz w:val="24"/>
        </w:rPr>
        <w:t>JGJ/T</w:t>
      </w:r>
      <w:r>
        <w:rPr>
          <w:rFonts w:hint="eastAsia"/>
          <w:sz w:val="24"/>
        </w:rPr>
        <w:t xml:space="preserve"> </w:t>
      </w:r>
      <w:r>
        <w:rPr>
          <w:sz w:val="24"/>
        </w:rPr>
        <w:t>132</w:t>
      </w:r>
    </w:p>
    <w:p>
      <w:pPr>
        <w:spacing w:line="360" w:lineRule="auto"/>
        <w:ind w:firstLine="480" w:firstLineChars="200"/>
        <w:rPr>
          <w:sz w:val="24"/>
        </w:rPr>
      </w:pPr>
      <w:r>
        <w:rPr>
          <w:rFonts w:hint="eastAsia"/>
          <w:sz w:val="24"/>
        </w:rPr>
        <w:t>46 《采暖通风与空气调节工程检测技术规程》</w:t>
      </w:r>
      <w:r>
        <w:rPr>
          <w:sz w:val="24"/>
        </w:rPr>
        <w:t>JGJ/T 260</w:t>
      </w:r>
    </w:p>
    <w:p>
      <w:pPr>
        <w:spacing w:line="360" w:lineRule="auto"/>
        <w:ind w:firstLine="480" w:firstLineChars="200"/>
        <w:rPr>
          <w:sz w:val="24"/>
        </w:rPr>
      </w:pPr>
      <w:r>
        <w:rPr>
          <w:rFonts w:hint="eastAsia"/>
          <w:sz w:val="24"/>
        </w:rPr>
        <w:t>47 《建筑通风效果测试与评价标准》JGJ/T 309</w:t>
      </w:r>
    </w:p>
    <w:p>
      <w:pPr>
        <w:spacing w:line="360" w:lineRule="auto"/>
        <w:ind w:firstLine="480" w:firstLineChars="200"/>
        <w:rPr>
          <w:sz w:val="24"/>
        </w:rPr>
      </w:pPr>
      <w:r>
        <w:rPr>
          <w:rFonts w:hint="eastAsia"/>
          <w:sz w:val="24"/>
        </w:rPr>
        <w:t>48 《</w:t>
      </w:r>
      <w:r>
        <w:rPr>
          <w:sz w:val="24"/>
        </w:rPr>
        <w:t>建筑地面工程防滑技术规程</w:t>
      </w:r>
      <w:r>
        <w:rPr>
          <w:rFonts w:hint="eastAsia"/>
          <w:sz w:val="24"/>
        </w:rPr>
        <w:t>》</w:t>
      </w:r>
      <w:r>
        <w:rPr>
          <w:sz w:val="24"/>
        </w:rPr>
        <w:t>JGJ/T</w:t>
      </w:r>
      <w:r>
        <w:rPr>
          <w:rFonts w:hint="eastAsia"/>
          <w:sz w:val="24"/>
        </w:rPr>
        <w:t xml:space="preserve"> </w:t>
      </w:r>
      <w:r>
        <w:rPr>
          <w:sz w:val="24"/>
        </w:rPr>
        <w:t>331</w:t>
      </w:r>
    </w:p>
    <w:p>
      <w:pPr>
        <w:spacing w:line="360" w:lineRule="auto"/>
        <w:ind w:firstLine="480" w:firstLineChars="200"/>
        <w:rPr>
          <w:sz w:val="24"/>
        </w:rPr>
      </w:pPr>
      <w:r>
        <w:rPr>
          <w:rFonts w:hint="eastAsia"/>
          <w:sz w:val="24"/>
        </w:rPr>
        <w:t>49 《地面石材防滑性能等级划分及试验方法》JC/T 1050</w:t>
      </w:r>
    </w:p>
    <w:p>
      <w:pPr>
        <w:spacing w:line="360" w:lineRule="auto"/>
        <w:ind w:firstLine="480" w:firstLineChars="200"/>
        <w:rPr>
          <w:sz w:val="24"/>
        </w:rPr>
      </w:pPr>
      <w:r>
        <w:rPr>
          <w:rFonts w:hint="eastAsia"/>
          <w:sz w:val="24"/>
        </w:rPr>
        <w:t>50 《建筑工程地质勘探与取样技术规程》JGJ/T 87</w:t>
      </w:r>
    </w:p>
    <w:p>
      <w:pPr>
        <w:spacing w:line="360" w:lineRule="auto"/>
        <w:ind w:firstLine="480" w:firstLineChars="200"/>
        <w:rPr>
          <w:sz w:val="24"/>
        </w:rPr>
      </w:pPr>
      <w:r>
        <w:rPr>
          <w:rFonts w:hint="eastAsia"/>
          <w:sz w:val="24"/>
        </w:rPr>
        <w:t>51 《透水砖路面技术规程》CJJ/T 188</w:t>
      </w:r>
    </w:p>
    <w:p>
      <w:pPr>
        <w:spacing w:line="360" w:lineRule="auto"/>
        <w:ind w:firstLine="480" w:firstLineChars="200"/>
        <w:rPr>
          <w:sz w:val="24"/>
        </w:rPr>
      </w:pPr>
      <w:r>
        <w:rPr>
          <w:rFonts w:hint="eastAsia"/>
          <w:sz w:val="24"/>
        </w:rPr>
        <w:t>52 《透水沥青路面技术规程》CJJ/T 190</w:t>
      </w:r>
    </w:p>
    <w:p>
      <w:pPr>
        <w:spacing w:line="360" w:lineRule="auto"/>
        <w:ind w:firstLine="480" w:firstLineChars="200"/>
        <w:rPr>
          <w:sz w:val="24"/>
        </w:rPr>
      </w:pPr>
      <w:r>
        <w:rPr>
          <w:rFonts w:hint="eastAsia"/>
          <w:sz w:val="24"/>
        </w:rPr>
        <w:t>53 《透水水泥混凝土路面技术规程》CJJ/T 135</w:t>
      </w:r>
    </w:p>
    <w:p>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54 </w:t>
      </w:r>
      <w:r>
        <w:rPr>
          <w:color w:val="000000" w:themeColor="text1"/>
          <w:sz w:val="24"/>
          <w14:textFill>
            <w14:solidFill>
              <w14:schemeClr w14:val="tx1"/>
            </w14:solidFill>
          </w14:textFill>
        </w:rPr>
        <w:t>《建筑门窗玻璃幕墙热工计算规程》JGJ/T 151</w:t>
      </w:r>
    </w:p>
    <w:p>
      <w:pPr>
        <w:spacing w:line="360" w:lineRule="auto"/>
        <w:ind w:firstLine="480" w:firstLineChars="200"/>
        <w:rPr>
          <w:sz w:val="24"/>
        </w:rPr>
      </w:pPr>
      <w:r>
        <w:rPr>
          <w:rFonts w:hint="eastAsia"/>
          <w:sz w:val="24"/>
        </w:rPr>
        <w:t>55 《建筑工程饰面砖粘结强度检验标准》JGJ/T 110</w:t>
      </w:r>
    </w:p>
    <w:p>
      <w:pPr>
        <w:spacing w:line="360" w:lineRule="auto"/>
        <w:ind w:firstLine="480" w:firstLineChars="200"/>
        <w:rPr>
          <w:sz w:val="24"/>
        </w:rPr>
      </w:pPr>
      <w:r>
        <w:rPr>
          <w:rFonts w:hint="eastAsia"/>
          <w:sz w:val="24"/>
        </w:rPr>
        <w:t>56 《城镇供水管网漏水探测技术规程》CJJ 159</w:t>
      </w:r>
    </w:p>
    <w:p>
      <w:pPr>
        <w:spacing w:line="360" w:lineRule="auto"/>
        <w:ind w:firstLine="480" w:firstLineChars="200"/>
        <w:rPr>
          <w:sz w:val="24"/>
        </w:rPr>
      </w:pPr>
      <w:r>
        <w:rPr>
          <w:rFonts w:hint="eastAsia"/>
          <w:sz w:val="24"/>
        </w:rPr>
        <w:t>57 《城镇供水管网漏损控制及评定标准》CJJ 92</w:t>
      </w:r>
    </w:p>
    <w:p>
      <w:pPr>
        <w:spacing w:line="360" w:lineRule="auto"/>
        <w:ind w:firstLine="480" w:firstLineChars="200"/>
        <w:rPr>
          <w:sz w:val="24"/>
        </w:rPr>
      </w:pPr>
      <w:r>
        <w:rPr>
          <w:rFonts w:hint="eastAsia"/>
          <w:sz w:val="24"/>
        </w:rPr>
        <w:t>58 《城市道路照明设计标准》CJJ 45</w:t>
      </w:r>
    </w:p>
    <w:p>
      <w:pPr>
        <w:spacing w:line="360" w:lineRule="auto"/>
        <w:ind w:firstLine="480" w:firstLineChars="200"/>
        <w:rPr>
          <w:sz w:val="24"/>
        </w:rPr>
      </w:pPr>
      <w:r>
        <w:rPr>
          <w:rFonts w:hint="eastAsia"/>
          <w:sz w:val="24"/>
        </w:rPr>
        <w:t>59</w:t>
      </w:r>
      <w:r>
        <w:rPr>
          <w:sz w:val="24"/>
        </w:rPr>
        <w:tab/>
      </w:r>
      <w:r>
        <w:rPr>
          <w:rFonts w:hint="eastAsia"/>
          <w:sz w:val="24"/>
        </w:rPr>
        <w:t>《广东省绿色建筑评价标准》</w:t>
      </w:r>
      <w:r>
        <w:rPr>
          <w:sz w:val="24"/>
        </w:rPr>
        <w:t>DBJ</w:t>
      </w:r>
      <w:r>
        <w:rPr>
          <w:rFonts w:hint="eastAsia"/>
          <w:sz w:val="24"/>
        </w:rPr>
        <w:t>/</w:t>
      </w:r>
      <w:r>
        <w:rPr>
          <w:sz w:val="24"/>
        </w:rPr>
        <w:t>T 15-83</w:t>
      </w:r>
    </w:p>
    <w:p>
      <w:pPr>
        <w:spacing w:line="360" w:lineRule="auto"/>
        <w:ind w:firstLine="480" w:firstLineChars="200"/>
        <w:rPr>
          <w:sz w:val="24"/>
        </w:rPr>
      </w:pPr>
      <w:r>
        <w:rPr>
          <w:rFonts w:hint="eastAsia"/>
          <w:color w:val="000000" w:themeColor="text1"/>
          <w:sz w:val="24"/>
          <w14:textFill>
            <w14:solidFill>
              <w14:schemeClr w14:val="tx1"/>
            </w14:solidFill>
          </w14:textFill>
        </w:rPr>
        <w:t xml:space="preserve">60 </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水污染物</w:t>
      </w:r>
      <w:r>
        <w:rPr>
          <w:color w:val="000000" w:themeColor="text1"/>
          <w:sz w:val="24"/>
          <w14:textFill>
            <w14:solidFill>
              <w14:schemeClr w14:val="tx1"/>
            </w14:solidFill>
          </w14:textFill>
        </w:rPr>
        <w:t>排放限值》</w:t>
      </w:r>
      <w:r>
        <w:rPr>
          <w:rFonts w:hint="eastAsia"/>
          <w:color w:val="000000" w:themeColor="text1"/>
          <w:sz w:val="24"/>
          <w14:textFill>
            <w14:solidFill>
              <w14:schemeClr w14:val="tx1"/>
            </w14:solidFill>
          </w14:textFill>
        </w:rPr>
        <w:t>DB44</w:t>
      </w:r>
      <w:r>
        <w:rPr>
          <w:color w:val="000000" w:themeColor="text1"/>
          <w:sz w:val="24"/>
          <w14:textFill>
            <w14:solidFill>
              <w14:schemeClr w14:val="tx1"/>
            </w14:solidFill>
          </w14:textFill>
        </w:rPr>
        <w:t>/26</w:t>
      </w:r>
    </w:p>
    <w:p>
      <w:pPr>
        <w:spacing w:line="360" w:lineRule="auto"/>
        <w:ind w:firstLine="480" w:firstLineChars="200"/>
        <w:rPr>
          <w:sz w:val="24"/>
        </w:rPr>
      </w:pPr>
      <w:r>
        <w:rPr>
          <w:rFonts w:hint="eastAsia"/>
          <w:sz w:val="24"/>
        </w:rPr>
        <w:t>61 《住宅排气道系统应用技术规程》CECS 390</w:t>
      </w:r>
    </w:p>
    <w:p>
      <w:pPr>
        <w:spacing w:line="360" w:lineRule="auto"/>
        <w:ind w:firstLine="480" w:firstLineChars="200"/>
        <w:rPr>
          <w:sz w:val="24"/>
        </w:rPr>
      </w:pPr>
      <w:r>
        <w:rPr>
          <w:rFonts w:hint="eastAsia"/>
          <w:sz w:val="24"/>
        </w:rPr>
        <w:t>62 《辐射环境保护管理导则 电磁辐射监测仪器和方法》HJ/T 10.2</w:t>
      </w:r>
    </w:p>
    <w:p>
      <w:pPr>
        <w:spacing w:line="360" w:lineRule="auto"/>
        <w:ind w:firstLine="480" w:firstLineChars="200"/>
        <w:rPr>
          <w:sz w:val="24"/>
        </w:rPr>
      </w:pPr>
      <w:r>
        <w:rPr>
          <w:rFonts w:hint="eastAsia"/>
          <w:sz w:val="24"/>
        </w:rPr>
        <w:t>63 《交流输变电工程电磁环境监测方法（试行）》HJ 681</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等线 Light">
    <w:altName w:val="宋体"/>
    <w:panose1 w:val="02010600030101010101"/>
    <w:charset w:val="86"/>
    <w:family w:val="auto"/>
    <w:pitch w:val="default"/>
    <w:sig w:usb0="00000000" w:usb1="00000000" w:usb2="00000016" w:usb3="00000000" w:csb0="0004000F" w:csb1="00000000"/>
  </w:font>
  <w:font w:name="楷体">
    <w:panose1 w:val="02010609060101010101"/>
    <w:charset w:val="86"/>
    <w:family w:val="modern"/>
    <w:pitch w:val="default"/>
    <w:sig w:usb0="800002BF" w:usb1="38CF7CFA" w:usb2="00000016" w:usb3="00000000" w:csb0="00040001" w:csb1="00000000"/>
  </w:font>
  <w:font w:name="Microsoft JhengHei">
    <w:panose1 w:val="020B0604030504040204"/>
    <w:charset w:val="88"/>
    <w:family w:val="swiss"/>
    <w:pitch w:val="default"/>
    <w:sig w:usb0="00000087" w:usb1="28AF4000" w:usb2="00000016" w:usb3="00000000" w:csb0="00100009" w:csb1="00000000"/>
  </w:font>
  <w:font w:name="Cambria Math">
    <w:panose1 w:val="02040503050406030204"/>
    <w:charset w:val="00"/>
    <w:family w:val="roman"/>
    <w:pitch w:val="default"/>
    <w:sig w:usb0="E00002FF" w:usb1="420024FF" w:usb2="00000000" w:usb3="00000000" w:csb0="2000019F" w:csb1="00000000"/>
  </w:font>
  <w:font w:name="Arial">
    <w:panose1 w:val="020B0604020202020204"/>
    <w:charset w:val="00"/>
    <w:family w:val="swiss"/>
    <w:pitch w:val="default"/>
    <w:sig w:usb0="E0002AFF" w:usb1="C0007843" w:usb2="00000009" w:usb3="00000000" w:csb0="400001FF" w:csb1="FFFF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98290580"/>
      <w:docPartObj>
        <w:docPartGallery w:val="autotext"/>
      </w:docPartObj>
    </w:sdtPr>
    <w:sdtContent>
      <w:p>
        <w:pPr>
          <w:pStyle w:val="10"/>
          <w:jc w:val="center"/>
        </w:pPr>
        <w:r>
          <w:fldChar w:fldCharType="begin"/>
        </w:r>
        <w:r>
          <w:instrText xml:space="preserve">PAGE   \* MERGEFORMAT</w:instrText>
        </w:r>
        <w:r>
          <w:fldChar w:fldCharType="separate"/>
        </w:r>
        <w:r>
          <w:rPr>
            <w:lang w:val="zh-CN"/>
          </w:rPr>
          <w:t>2</w:t>
        </w:r>
        <w: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50748304"/>
      <w:docPartObj>
        <w:docPartGallery w:val="autotext"/>
      </w:docPartObj>
    </w:sdtPr>
    <w:sdtContent>
      <w:p>
        <w:pPr>
          <w:pStyle w:val="10"/>
          <w:jc w:val="center"/>
        </w:pPr>
        <w:r>
          <w:fldChar w:fldCharType="begin"/>
        </w:r>
        <w:r>
          <w:instrText xml:space="preserve">PAGE   \* MERGEFORMAT</w:instrText>
        </w:r>
        <w:r>
          <w:fldChar w:fldCharType="separate"/>
        </w:r>
        <w:r>
          <w:rPr>
            <w:lang w:val="zh-CN"/>
          </w:rPr>
          <w:t>71</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1734"/>
    <w:rsid w:val="00007531"/>
    <w:rsid w:val="00010AF3"/>
    <w:rsid w:val="0001200D"/>
    <w:rsid w:val="00012089"/>
    <w:rsid w:val="000146A2"/>
    <w:rsid w:val="0001564D"/>
    <w:rsid w:val="0002348D"/>
    <w:rsid w:val="00025486"/>
    <w:rsid w:val="00032262"/>
    <w:rsid w:val="00035D85"/>
    <w:rsid w:val="00040515"/>
    <w:rsid w:val="0004092F"/>
    <w:rsid w:val="000516C0"/>
    <w:rsid w:val="00061490"/>
    <w:rsid w:val="0006218A"/>
    <w:rsid w:val="00065837"/>
    <w:rsid w:val="00067B4F"/>
    <w:rsid w:val="0007554C"/>
    <w:rsid w:val="00077B41"/>
    <w:rsid w:val="0008334F"/>
    <w:rsid w:val="000842CF"/>
    <w:rsid w:val="000850DD"/>
    <w:rsid w:val="00087467"/>
    <w:rsid w:val="00087574"/>
    <w:rsid w:val="000A136C"/>
    <w:rsid w:val="000B483A"/>
    <w:rsid w:val="000B4A4B"/>
    <w:rsid w:val="000B4B85"/>
    <w:rsid w:val="000B67F7"/>
    <w:rsid w:val="000C178D"/>
    <w:rsid w:val="000C488D"/>
    <w:rsid w:val="000C6054"/>
    <w:rsid w:val="000C6640"/>
    <w:rsid w:val="000D3150"/>
    <w:rsid w:val="000D7702"/>
    <w:rsid w:val="000E287F"/>
    <w:rsid w:val="000F1FBE"/>
    <w:rsid w:val="000F4034"/>
    <w:rsid w:val="000F6729"/>
    <w:rsid w:val="000F7139"/>
    <w:rsid w:val="00101542"/>
    <w:rsid w:val="00104747"/>
    <w:rsid w:val="0011032E"/>
    <w:rsid w:val="00113333"/>
    <w:rsid w:val="001138BB"/>
    <w:rsid w:val="00121895"/>
    <w:rsid w:val="00122F90"/>
    <w:rsid w:val="001238ED"/>
    <w:rsid w:val="001246EA"/>
    <w:rsid w:val="00134252"/>
    <w:rsid w:val="00134585"/>
    <w:rsid w:val="001523EB"/>
    <w:rsid w:val="00153A0F"/>
    <w:rsid w:val="00153EF9"/>
    <w:rsid w:val="001552D5"/>
    <w:rsid w:val="00157DDD"/>
    <w:rsid w:val="00160B46"/>
    <w:rsid w:val="001646EA"/>
    <w:rsid w:val="001715FA"/>
    <w:rsid w:val="0017226B"/>
    <w:rsid w:val="00174B5C"/>
    <w:rsid w:val="00181F76"/>
    <w:rsid w:val="001824F3"/>
    <w:rsid w:val="001875CA"/>
    <w:rsid w:val="00187F84"/>
    <w:rsid w:val="0019185E"/>
    <w:rsid w:val="001A0EFC"/>
    <w:rsid w:val="001A15DB"/>
    <w:rsid w:val="001A3C93"/>
    <w:rsid w:val="001A4DE0"/>
    <w:rsid w:val="001B1D91"/>
    <w:rsid w:val="001B3C79"/>
    <w:rsid w:val="001B66EB"/>
    <w:rsid w:val="001C4D3B"/>
    <w:rsid w:val="001D1475"/>
    <w:rsid w:val="001D2077"/>
    <w:rsid w:val="001D3338"/>
    <w:rsid w:val="001D6B33"/>
    <w:rsid w:val="001E4D8C"/>
    <w:rsid w:val="001F57FB"/>
    <w:rsid w:val="001F5BD6"/>
    <w:rsid w:val="00200EAC"/>
    <w:rsid w:val="00203FF9"/>
    <w:rsid w:val="00212FDE"/>
    <w:rsid w:val="00213FA9"/>
    <w:rsid w:val="00217554"/>
    <w:rsid w:val="002178E8"/>
    <w:rsid w:val="002276C3"/>
    <w:rsid w:val="00233D56"/>
    <w:rsid w:val="00237465"/>
    <w:rsid w:val="00237691"/>
    <w:rsid w:val="00242A15"/>
    <w:rsid w:val="00243D27"/>
    <w:rsid w:val="00246251"/>
    <w:rsid w:val="00251B39"/>
    <w:rsid w:val="002559CF"/>
    <w:rsid w:val="002617F6"/>
    <w:rsid w:val="00266F12"/>
    <w:rsid w:val="00273135"/>
    <w:rsid w:val="00286A30"/>
    <w:rsid w:val="00291B1B"/>
    <w:rsid w:val="00291CF7"/>
    <w:rsid w:val="002935C8"/>
    <w:rsid w:val="00297229"/>
    <w:rsid w:val="002A0309"/>
    <w:rsid w:val="002A0884"/>
    <w:rsid w:val="002A2D06"/>
    <w:rsid w:val="002B03D1"/>
    <w:rsid w:val="002B2185"/>
    <w:rsid w:val="002B60F9"/>
    <w:rsid w:val="002C69C4"/>
    <w:rsid w:val="002D3188"/>
    <w:rsid w:val="002D59CA"/>
    <w:rsid w:val="002E1EBA"/>
    <w:rsid w:val="002E3A3B"/>
    <w:rsid w:val="002F14E0"/>
    <w:rsid w:val="002F4165"/>
    <w:rsid w:val="00304D20"/>
    <w:rsid w:val="003109CD"/>
    <w:rsid w:val="00310CB7"/>
    <w:rsid w:val="00313B89"/>
    <w:rsid w:val="00322894"/>
    <w:rsid w:val="00324B70"/>
    <w:rsid w:val="003254CB"/>
    <w:rsid w:val="00327053"/>
    <w:rsid w:val="00333EF7"/>
    <w:rsid w:val="00336908"/>
    <w:rsid w:val="00337CC1"/>
    <w:rsid w:val="003401A9"/>
    <w:rsid w:val="003420F0"/>
    <w:rsid w:val="00344C20"/>
    <w:rsid w:val="00345677"/>
    <w:rsid w:val="00355EE4"/>
    <w:rsid w:val="00357E04"/>
    <w:rsid w:val="003659A9"/>
    <w:rsid w:val="00374D7B"/>
    <w:rsid w:val="00381620"/>
    <w:rsid w:val="00384134"/>
    <w:rsid w:val="00391B6C"/>
    <w:rsid w:val="00392119"/>
    <w:rsid w:val="00392C57"/>
    <w:rsid w:val="00393132"/>
    <w:rsid w:val="00394FDD"/>
    <w:rsid w:val="00396AC4"/>
    <w:rsid w:val="00397E08"/>
    <w:rsid w:val="003A323E"/>
    <w:rsid w:val="003A4DCC"/>
    <w:rsid w:val="003A58C8"/>
    <w:rsid w:val="003A66DD"/>
    <w:rsid w:val="003B0A02"/>
    <w:rsid w:val="003B6B95"/>
    <w:rsid w:val="003C0032"/>
    <w:rsid w:val="003C2875"/>
    <w:rsid w:val="003C494B"/>
    <w:rsid w:val="003D0BB1"/>
    <w:rsid w:val="003D64FC"/>
    <w:rsid w:val="003E1723"/>
    <w:rsid w:val="003E30CB"/>
    <w:rsid w:val="003E4745"/>
    <w:rsid w:val="003E4DDF"/>
    <w:rsid w:val="003F7E28"/>
    <w:rsid w:val="00406A24"/>
    <w:rsid w:val="00407DAF"/>
    <w:rsid w:val="00410A3F"/>
    <w:rsid w:val="004230AE"/>
    <w:rsid w:val="00423217"/>
    <w:rsid w:val="00423D4F"/>
    <w:rsid w:val="004268DE"/>
    <w:rsid w:val="00426E6C"/>
    <w:rsid w:val="00432C7D"/>
    <w:rsid w:val="00435751"/>
    <w:rsid w:val="00436A3E"/>
    <w:rsid w:val="0044528C"/>
    <w:rsid w:val="00456D5C"/>
    <w:rsid w:val="00460264"/>
    <w:rsid w:val="00462C94"/>
    <w:rsid w:val="00463907"/>
    <w:rsid w:val="00463ACD"/>
    <w:rsid w:val="00466764"/>
    <w:rsid w:val="004A6CB4"/>
    <w:rsid w:val="004B3139"/>
    <w:rsid w:val="004B3A04"/>
    <w:rsid w:val="004B5AF2"/>
    <w:rsid w:val="004B67C8"/>
    <w:rsid w:val="004B7306"/>
    <w:rsid w:val="004C6472"/>
    <w:rsid w:val="004C66DE"/>
    <w:rsid w:val="004E06F6"/>
    <w:rsid w:val="004E260C"/>
    <w:rsid w:val="004F2A27"/>
    <w:rsid w:val="004F69A9"/>
    <w:rsid w:val="00502E77"/>
    <w:rsid w:val="005044C6"/>
    <w:rsid w:val="00505757"/>
    <w:rsid w:val="0051315B"/>
    <w:rsid w:val="00514701"/>
    <w:rsid w:val="00516919"/>
    <w:rsid w:val="005200F7"/>
    <w:rsid w:val="005231D6"/>
    <w:rsid w:val="00524B93"/>
    <w:rsid w:val="00532D50"/>
    <w:rsid w:val="0053382B"/>
    <w:rsid w:val="00535523"/>
    <w:rsid w:val="00543C17"/>
    <w:rsid w:val="00543E79"/>
    <w:rsid w:val="00545021"/>
    <w:rsid w:val="00553376"/>
    <w:rsid w:val="00553C23"/>
    <w:rsid w:val="00555131"/>
    <w:rsid w:val="005553C3"/>
    <w:rsid w:val="00562B7C"/>
    <w:rsid w:val="00567777"/>
    <w:rsid w:val="00567CE4"/>
    <w:rsid w:val="00571171"/>
    <w:rsid w:val="00572877"/>
    <w:rsid w:val="00574932"/>
    <w:rsid w:val="00576603"/>
    <w:rsid w:val="005868D2"/>
    <w:rsid w:val="005A1EBD"/>
    <w:rsid w:val="005A1FDA"/>
    <w:rsid w:val="005B75A4"/>
    <w:rsid w:val="005C5B75"/>
    <w:rsid w:val="005D2845"/>
    <w:rsid w:val="005E3EBA"/>
    <w:rsid w:val="005E53AA"/>
    <w:rsid w:val="005E6F34"/>
    <w:rsid w:val="005E7FE1"/>
    <w:rsid w:val="005F3367"/>
    <w:rsid w:val="005F7785"/>
    <w:rsid w:val="0060034D"/>
    <w:rsid w:val="006029C5"/>
    <w:rsid w:val="0061143E"/>
    <w:rsid w:val="00622118"/>
    <w:rsid w:val="00623FF2"/>
    <w:rsid w:val="00633996"/>
    <w:rsid w:val="00633C43"/>
    <w:rsid w:val="0063540C"/>
    <w:rsid w:val="006410EE"/>
    <w:rsid w:val="006412BE"/>
    <w:rsid w:val="00643502"/>
    <w:rsid w:val="006435C2"/>
    <w:rsid w:val="00644262"/>
    <w:rsid w:val="0064541B"/>
    <w:rsid w:val="00645D96"/>
    <w:rsid w:val="006512CE"/>
    <w:rsid w:val="00657204"/>
    <w:rsid w:val="00657707"/>
    <w:rsid w:val="006636A2"/>
    <w:rsid w:val="0066644D"/>
    <w:rsid w:val="006708B9"/>
    <w:rsid w:val="006712F1"/>
    <w:rsid w:val="0067218D"/>
    <w:rsid w:val="00674187"/>
    <w:rsid w:val="00682496"/>
    <w:rsid w:val="00683F3A"/>
    <w:rsid w:val="00685A57"/>
    <w:rsid w:val="00692923"/>
    <w:rsid w:val="006938E6"/>
    <w:rsid w:val="00694454"/>
    <w:rsid w:val="00695937"/>
    <w:rsid w:val="006A1EEE"/>
    <w:rsid w:val="006A23E2"/>
    <w:rsid w:val="006B0A32"/>
    <w:rsid w:val="006B12EF"/>
    <w:rsid w:val="006B75DD"/>
    <w:rsid w:val="006C01B8"/>
    <w:rsid w:val="006C0B8D"/>
    <w:rsid w:val="006C4403"/>
    <w:rsid w:val="006C65FF"/>
    <w:rsid w:val="006D190F"/>
    <w:rsid w:val="007000CA"/>
    <w:rsid w:val="0070752B"/>
    <w:rsid w:val="0071631C"/>
    <w:rsid w:val="00724E1A"/>
    <w:rsid w:val="007312F5"/>
    <w:rsid w:val="0073157D"/>
    <w:rsid w:val="00736DC9"/>
    <w:rsid w:val="0074296B"/>
    <w:rsid w:val="00743DF4"/>
    <w:rsid w:val="00744C6E"/>
    <w:rsid w:val="00744FAE"/>
    <w:rsid w:val="0074555E"/>
    <w:rsid w:val="00745B6A"/>
    <w:rsid w:val="007565B1"/>
    <w:rsid w:val="0076128C"/>
    <w:rsid w:val="00762468"/>
    <w:rsid w:val="00763865"/>
    <w:rsid w:val="007638F0"/>
    <w:rsid w:val="00764C3E"/>
    <w:rsid w:val="00767EEA"/>
    <w:rsid w:val="00770A3F"/>
    <w:rsid w:val="00774C56"/>
    <w:rsid w:val="0077646F"/>
    <w:rsid w:val="007776C0"/>
    <w:rsid w:val="007856DE"/>
    <w:rsid w:val="007876E0"/>
    <w:rsid w:val="007A006D"/>
    <w:rsid w:val="007A0EC2"/>
    <w:rsid w:val="007A44B6"/>
    <w:rsid w:val="007A5012"/>
    <w:rsid w:val="007B0876"/>
    <w:rsid w:val="007B1649"/>
    <w:rsid w:val="007C03A7"/>
    <w:rsid w:val="007D0127"/>
    <w:rsid w:val="007D1441"/>
    <w:rsid w:val="007D36C3"/>
    <w:rsid w:val="007D40C8"/>
    <w:rsid w:val="007E3B78"/>
    <w:rsid w:val="007E4390"/>
    <w:rsid w:val="007E782B"/>
    <w:rsid w:val="007F08D8"/>
    <w:rsid w:val="00801734"/>
    <w:rsid w:val="00803E42"/>
    <w:rsid w:val="00804261"/>
    <w:rsid w:val="00806E4B"/>
    <w:rsid w:val="00810B05"/>
    <w:rsid w:val="00827DED"/>
    <w:rsid w:val="0083408A"/>
    <w:rsid w:val="0083683F"/>
    <w:rsid w:val="008478B6"/>
    <w:rsid w:val="00853FF5"/>
    <w:rsid w:val="00855EB9"/>
    <w:rsid w:val="008619D0"/>
    <w:rsid w:val="008A27AE"/>
    <w:rsid w:val="008A4DD5"/>
    <w:rsid w:val="008A5E24"/>
    <w:rsid w:val="008A7B22"/>
    <w:rsid w:val="008B096C"/>
    <w:rsid w:val="008B18D2"/>
    <w:rsid w:val="008B2BCA"/>
    <w:rsid w:val="008B2FA6"/>
    <w:rsid w:val="008B60A0"/>
    <w:rsid w:val="008C34EC"/>
    <w:rsid w:val="008C67F3"/>
    <w:rsid w:val="008C683F"/>
    <w:rsid w:val="008D1B93"/>
    <w:rsid w:val="008E1CBE"/>
    <w:rsid w:val="008F21D6"/>
    <w:rsid w:val="008F2D5B"/>
    <w:rsid w:val="008F4CEE"/>
    <w:rsid w:val="009031DC"/>
    <w:rsid w:val="00916F86"/>
    <w:rsid w:val="00917BA8"/>
    <w:rsid w:val="00921DC4"/>
    <w:rsid w:val="00922C1E"/>
    <w:rsid w:val="00926BBC"/>
    <w:rsid w:val="00943F29"/>
    <w:rsid w:val="00947BCF"/>
    <w:rsid w:val="00952B17"/>
    <w:rsid w:val="00953011"/>
    <w:rsid w:val="00962CDB"/>
    <w:rsid w:val="0096336C"/>
    <w:rsid w:val="009646D5"/>
    <w:rsid w:val="00964811"/>
    <w:rsid w:val="0097117F"/>
    <w:rsid w:val="00976D01"/>
    <w:rsid w:val="00985B21"/>
    <w:rsid w:val="00986CEE"/>
    <w:rsid w:val="00990DA7"/>
    <w:rsid w:val="00992AD7"/>
    <w:rsid w:val="009A1A29"/>
    <w:rsid w:val="009A6400"/>
    <w:rsid w:val="009B4570"/>
    <w:rsid w:val="009C05E8"/>
    <w:rsid w:val="009C31DB"/>
    <w:rsid w:val="009C3EA0"/>
    <w:rsid w:val="009C4A9F"/>
    <w:rsid w:val="009C616E"/>
    <w:rsid w:val="009D390A"/>
    <w:rsid w:val="009E059B"/>
    <w:rsid w:val="009E5E37"/>
    <w:rsid w:val="009E6971"/>
    <w:rsid w:val="009F071D"/>
    <w:rsid w:val="009F0E58"/>
    <w:rsid w:val="009F3FC9"/>
    <w:rsid w:val="009F7F34"/>
    <w:rsid w:val="00A03567"/>
    <w:rsid w:val="00A0722E"/>
    <w:rsid w:val="00A14EFD"/>
    <w:rsid w:val="00A16BCD"/>
    <w:rsid w:val="00A27998"/>
    <w:rsid w:val="00A34715"/>
    <w:rsid w:val="00A40428"/>
    <w:rsid w:val="00A458ED"/>
    <w:rsid w:val="00A46804"/>
    <w:rsid w:val="00A5212A"/>
    <w:rsid w:val="00A53347"/>
    <w:rsid w:val="00A546C4"/>
    <w:rsid w:val="00A57A75"/>
    <w:rsid w:val="00A63CB8"/>
    <w:rsid w:val="00A65CBB"/>
    <w:rsid w:val="00A703D3"/>
    <w:rsid w:val="00A70D97"/>
    <w:rsid w:val="00A72A09"/>
    <w:rsid w:val="00A74685"/>
    <w:rsid w:val="00A7473C"/>
    <w:rsid w:val="00A75097"/>
    <w:rsid w:val="00A755A1"/>
    <w:rsid w:val="00A84698"/>
    <w:rsid w:val="00A90178"/>
    <w:rsid w:val="00A92D5E"/>
    <w:rsid w:val="00A95590"/>
    <w:rsid w:val="00A96233"/>
    <w:rsid w:val="00A97E13"/>
    <w:rsid w:val="00AA0017"/>
    <w:rsid w:val="00AA2DFC"/>
    <w:rsid w:val="00AA427F"/>
    <w:rsid w:val="00AA778A"/>
    <w:rsid w:val="00AB326D"/>
    <w:rsid w:val="00AB7B0F"/>
    <w:rsid w:val="00AC716A"/>
    <w:rsid w:val="00AE1315"/>
    <w:rsid w:val="00AF0FFC"/>
    <w:rsid w:val="00AF1EED"/>
    <w:rsid w:val="00B049F0"/>
    <w:rsid w:val="00B05316"/>
    <w:rsid w:val="00B07E09"/>
    <w:rsid w:val="00B20258"/>
    <w:rsid w:val="00B24455"/>
    <w:rsid w:val="00B36273"/>
    <w:rsid w:val="00B40298"/>
    <w:rsid w:val="00B43517"/>
    <w:rsid w:val="00B445FC"/>
    <w:rsid w:val="00B45497"/>
    <w:rsid w:val="00B534AD"/>
    <w:rsid w:val="00B63858"/>
    <w:rsid w:val="00B74424"/>
    <w:rsid w:val="00B748A4"/>
    <w:rsid w:val="00B82356"/>
    <w:rsid w:val="00B83DA2"/>
    <w:rsid w:val="00B83E9D"/>
    <w:rsid w:val="00B8691C"/>
    <w:rsid w:val="00B924CE"/>
    <w:rsid w:val="00B92795"/>
    <w:rsid w:val="00BA2975"/>
    <w:rsid w:val="00BB0F2B"/>
    <w:rsid w:val="00BB5FBA"/>
    <w:rsid w:val="00BB697B"/>
    <w:rsid w:val="00BC0D9C"/>
    <w:rsid w:val="00BC5F0B"/>
    <w:rsid w:val="00BC68CB"/>
    <w:rsid w:val="00BD1B1D"/>
    <w:rsid w:val="00BD710A"/>
    <w:rsid w:val="00BD7D39"/>
    <w:rsid w:val="00BE1992"/>
    <w:rsid w:val="00BE1F51"/>
    <w:rsid w:val="00BE1FDC"/>
    <w:rsid w:val="00BE3137"/>
    <w:rsid w:val="00BE36C3"/>
    <w:rsid w:val="00BE3CA3"/>
    <w:rsid w:val="00BE75A7"/>
    <w:rsid w:val="00BF4D5E"/>
    <w:rsid w:val="00C03C64"/>
    <w:rsid w:val="00C040A6"/>
    <w:rsid w:val="00C0414C"/>
    <w:rsid w:val="00C0465B"/>
    <w:rsid w:val="00C1747B"/>
    <w:rsid w:val="00C208B0"/>
    <w:rsid w:val="00C23228"/>
    <w:rsid w:val="00C241F9"/>
    <w:rsid w:val="00C2469C"/>
    <w:rsid w:val="00C26D9D"/>
    <w:rsid w:val="00C27342"/>
    <w:rsid w:val="00C31A79"/>
    <w:rsid w:val="00C32F34"/>
    <w:rsid w:val="00C42446"/>
    <w:rsid w:val="00C459D0"/>
    <w:rsid w:val="00C46F6D"/>
    <w:rsid w:val="00C54C83"/>
    <w:rsid w:val="00C63491"/>
    <w:rsid w:val="00C6570E"/>
    <w:rsid w:val="00C65C90"/>
    <w:rsid w:val="00C71246"/>
    <w:rsid w:val="00C75E17"/>
    <w:rsid w:val="00C849FF"/>
    <w:rsid w:val="00C95A56"/>
    <w:rsid w:val="00C97195"/>
    <w:rsid w:val="00CA4B9D"/>
    <w:rsid w:val="00CB2383"/>
    <w:rsid w:val="00CB6E4D"/>
    <w:rsid w:val="00CC5609"/>
    <w:rsid w:val="00CC589F"/>
    <w:rsid w:val="00CD330C"/>
    <w:rsid w:val="00CD7AF9"/>
    <w:rsid w:val="00CE0939"/>
    <w:rsid w:val="00CE1BB0"/>
    <w:rsid w:val="00CE3D30"/>
    <w:rsid w:val="00CE5451"/>
    <w:rsid w:val="00CE7EC7"/>
    <w:rsid w:val="00CF3E14"/>
    <w:rsid w:val="00D024D5"/>
    <w:rsid w:val="00D04DCA"/>
    <w:rsid w:val="00D11DF6"/>
    <w:rsid w:val="00D15ED5"/>
    <w:rsid w:val="00D225F9"/>
    <w:rsid w:val="00D277EA"/>
    <w:rsid w:val="00D34CF1"/>
    <w:rsid w:val="00D41734"/>
    <w:rsid w:val="00D41A5A"/>
    <w:rsid w:val="00D5686A"/>
    <w:rsid w:val="00D61D5A"/>
    <w:rsid w:val="00D62F72"/>
    <w:rsid w:val="00D64183"/>
    <w:rsid w:val="00D65DFE"/>
    <w:rsid w:val="00D73263"/>
    <w:rsid w:val="00D73B13"/>
    <w:rsid w:val="00D82C4E"/>
    <w:rsid w:val="00D84DBC"/>
    <w:rsid w:val="00D90F51"/>
    <w:rsid w:val="00D94CDC"/>
    <w:rsid w:val="00DA0169"/>
    <w:rsid w:val="00DA2143"/>
    <w:rsid w:val="00DA5B12"/>
    <w:rsid w:val="00DA5FDC"/>
    <w:rsid w:val="00DB27BC"/>
    <w:rsid w:val="00DB41B2"/>
    <w:rsid w:val="00DB72A8"/>
    <w:rsid w:val="00DC2A06"/>
    <w:rsid w:val="00DC6236"/>
    <w:rsid w:val="00DD044C"/>
    <w:rsid w:val="00DD467E"/>
    <w:rsid w:val="00DD5E62"/>
    <w:rsid w:val="00DD7835"/>
    <w:rsid w:val="00DE3B1D"/>
    <w:rsid w:val="00DE79C1"/>
    <w:rsid w:val="00DF2287"/>
    <w:rsid w:val="00E10A7F"/>
    <w:rsid w:val="00E13EE5"/>
    <w:rsid w:val="00E211A3"/>
    <w:rsid w:val="00E25045"/>
    <w:rsid w:val="00E251B5"/>
    <w:rsid w:val="00E27479"/>
    <w:rsid w:val="00E36BE8"/>
    <w:rsid w:val="00E40444"/>
    <w:rsid w:val="00E41BF3"/>
    <w:rsid w:val="00E42691"/>
    <w:rsid w:val="00E42D95"/>
    <w:rsid w:val="00E45DBD"/>
    <w:rsid w:val="00E57C5C"/>
    <w:rsid w:val="00E6255D"/>
    <w:rsid w:val="00E71ED2"/>
    <w:rsid w:val="00E84E16"/>
    <w:rsid w:val="00E917C1"/>
    <w:rsid w:val="00E92DB0"/>
    <w:rsid w:val="00E9671E"/>
    <w:rsid w:val="00E975DB"/>
    <w:rsid w:val="00EA487E"/>
    <w:rsid w:val="00EA6BB8"/>
    <w:rsid w:val="00EA7322"/>
    <w:rsid w:val="00EA7590"/>
    <w:rsid w:val="00EB05B1"/>
    <w:rsid w:val="00EB2829"/>
    <w:rsid w:val="00EB3055"/>
    <w:rsid w:val="00EB4249"/>
    <w:rsid w:val="00EB7FD8"/>
    <w:rsid w:val="00EC1636"/>
    <w:rsid w:val="00EC28A4"/>
    <w:rsid w:val="00EC5880"/>
    <w:rsid w:val="00ED0822"/>
    <w:rsid w:val="00ED0EB3"/>
    <w:rsid w:val="00ED1B83"/>
    <w:rsid w:val="00ED2BA8"/>
    <w:rsid w:val="00ED7966"/>
    <w:rsid w:val="00EE240E"/>
    <w:rsid w:val="00EE493B"/>
    <w:rsid w:val="00EF0E47"/>
    <w:rsid w:val="00EF27CD"/>
    <w:rsid w:val="00EF3834"/>
    <w:rsid w:val="00EF43EB"/>
    <w:rsid w:val="00F01F65"/>
    <w:rsid w:val="00F11D90"/>
    <w:rsid w:val="00F1226C"/>
    <w:rsid w:val="00F17285"/>
    <w:rsid w:val="00F23DB9"/>
    <w:rsid w:val="00F25E73"/>
    <w:rsid w:val="00F3147A"/>
    <w:rsid w:val="00F3236E"/>
    <w:rsid w:val="00F33F9A"/>
    <w:rsid w:val="00F341E1"/>
    <w:rsid w:val="00F36F39"/>
    <w:rsid w:val="00F36FD4"/>
    <w:rsid w:val="00F4077B"/>
    <w:rsid w:val="00F41C0E"/>
    <w:rsid w:val="00F62EB1"/>
    <w:rsid w:val="00F76A6C"/>
    <w:rsid w:val="00F866F7"/>
    <w:rsid w:val="00F92AD7"/>
    <w:rsid w:val="00F96FA0"/>
    <w:rsid w:val="00F972D5"/>
    <w:rsid w:val="00FA5DC9"/>
    <w:rsid w:val="00FA7AEF"/>
    <w:rsid w:val="00FA7C76"/>
    <w:rsid w:val="00FB25A0"/>
    <w:rsid w:val="00FB4F68"/>
    <w:rsid w:val="00FC5F41"/>
    <w:rsid w:val="00FD3FBC"/>
    <w:rsid w:val="00FE2412"/>
    <w:rsid w:val="00FE3D91"/>
    <w:rsid w:val="00FE4821"/>
    <w:rsid w:val="00FE72B6"/>
    <w:rsid w:val="00FF469A"/>
    <w:rsid w:val="00FF5403"/>
    <w:rsid w:val="00FF5B0B"/>
    <w:rsid w:val="03CC39F8"/>
    <w:rsid w:val="0B4F0AE7"/>
    <w:rsid w:val="2EC854E0"/>
    <w:rsid w:val="34E157D2"/>
    <w:rsid w:val="56D60648"/>
    <w:rsid w:val="635B49DE"/>
    <w:rsid w:val="7DAA5F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semiHidden="0" w:name="toc 1"/>
    <w:lsdException w:uiPriority="39" w:semiHidden="0" w:name="toc 2"/>
    <w:lsdException w:qFormat="1" w:uiPriority="39" w:semiHidden="0" w:name="toc 3"/>
    <w:lsdException w:uiPriority="39" w:semiHidden="0" w:name="toc 4"/>
    <w:lsdException w:qFormat="1" w:uiPriority="39" w:semiHidden="0" w:name="toc 5"/>
    <w:lsdException w:uiPriority="39" w:semiHidden="0" w:name="toc 6"/>
    <w:lsdException w:uiPriority="39" w:semiHidden="0" w:name="toc 7"/>
    <w:lsdException w:qFormat="1" w:uiPriority="39" w:semiHidden="0" w:name="toc 8"/>
    <w:lsdException w:uiPriority="39" w:semiHidden="0"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4"/>
    <w:qFormat/>
    <w:uiPriority w:val="9"/>
    <w:pPr>
      <w:keepNext/>
      <w:keepLines/>
      <w:spacing w:before="150" w:after="150" w:line="480" w:lineRule="auto"/>
      <w:jc w:val="center"/>
      <w:outlineLvl w:val="0"/>
    </w:pPr>
    <w:rPr>
      <w:b/>
      <w:bCs/>
      <w:kern w:val="44"/>
      <w:sz w:val="32"/>
      <w:szCs w:val="44"/>
    </w:rPr>
  </w:style>
  <w:style w:type="paragraph" w:styleId="3">
    <w:name w:val="heading 2"/>
    <w:basedOn w:val="1"/>
    <w:next w:val="1"/>
    <w:link w:val="28"/>
    <w:unhideWhenUsed/>
    <w:qFormat/>
    <w:uiPriority w:val="9"/>
    <w:pPr>
      <w:keepNext/>
      <w:keepLines/>
      <w:spacing w:before="150" w:after="150" w:line="360" w:lineRule="auto"/>
      <w:jc w:val="center"/>
      <w:outlineLvl w:val="1"/>
    </w:pPr>
    <w:rPr>
      <w:rFonts w:ascii="宋体" w:hAnsi="宋体" w:cstheme="majorBidi"/>
      <w:b/>
      <w:bCs/>
      <w:sz w:val="28"/>
      <w:szCs w:val="32"/>
    </w:rPr>
  </w:style>
  <w:style w:type="character" w:default="1" w:styleId="17">
    <w:name w:val="Default Paragraph Font"/>
    <w:semiHidden/>
    <w:unhideWhenUsed/>
    <w:uiPriority w:val="1"/>
  </w:style>
  <w:style w:type="table" w:default="1" w:styleId="19">
    <w:name w:val="Normal Table"/>
    <w:semiHidden/>
    <w:unhideWhenUsed/>
    <w:uiPriority w:val="99"/>
    <w:tblPr>
      <w:tblLayout w:type="fixed"/>
      <w:tblCellMar>
        <w:top w:w="0" w:type="dxa"/>
        <w:left w:w="108" w:type="dxa"/>
        <w:bottom w:w="0" w:type="dxa"/>
        <w:right w:w="108" w:type="dxa"/>
      </w:tblCellMar>
    </w:tblPr>
  </w:style>
  <w:style w:type="paragraph" w:styleId="4">
    <w:name w:val="toc 7"/>
    <w:basedOn w:val="1"/>
    <w:next w:val="1"/>
    <w:unhideWhenUsed/>
    <w:uiPriority w:val="39"/>
    <w:pPr>
      <w:ind w:left="2520" w:leftChars="1200"/>
    </w:pPr>
    <w:rPr>
      <w:rFonts w:asciiTheme="minorHAnsi" w:hAnsiTheme="minorHAnsi" w:eastAsiaTheme="minorEastAsia" w:cstheme="minorBidi"/>
      <w:szCs w:val="22"/>
    </w:rPr>
  </w:style>
  <w:style w:type="paragraph" w:styleId="5">
    <w:name w:val="toc 5"/>
    <w:basedOn w:val="1"/>
    <w:next w:val="1"/>
    <w:unhideWhenUsed/>
    <w:qFormat/>
    <w:uiPriority w:val="39"/>
    <w:pPr>
      <w:ind w:left="1680" w:leftChars="800"/>
    </w:pPr>
    <w:rPr>
      <w:rFonts w:asciiTheme="minorHAnsi" w:hAnsiTheme="minorHAnsi" w:eastAsiaTheme="minorEastAsia" w:cstheme="minorBidi"/>
      <w:szCs w:val="22"/>
    </w:rPr>
  </w:style>
  <w:style w:type="paragraph" w:styleId="6">
    <w:name w:val="toc 3"/>
    <w:basedOn w:val="1"/>
    <w:next w:val="1"/>
    <w:unhideWhenUsed/>
    <w:qFormat/>
    <w:uiPriority w:val="39"/>
    <w:pPr>
      <w:ind w:left="840" w:leftChars="400"/>
    </w:pPr>
    <w:rPr>
      <w:rFonts w:asciiTheme="minorHAnsi" w:hAnsiTheme="minorHAnsi" w:eastAsiaTheme="minorEastAsia" w:cstheme="minorBidi"/>
      <w:szCs w:val="22"/>
    </w:rPr>
  </w:style>
  <w:style w:type="paragraph" w:styleId="7">
    <w:name w:val="toc 8"/>
    <w:basedOn w:val="1"/>
    <w:next w:val="1"/>
    <w:unhideWhenUsed/>
    <w:qFormat/>
    <w:uiPriority w:val="39"/>
    <w:pPr>
      <w:ind w:left="2940" w:leftChars="1400"/>
    </w:pPr>
    <w:rPr>
      <w:rFonts w:asciiTheme="minorHAnsi" w:hAnsiTheme="minorHAnsi" w:eastAsiaTheme="minorEastAsia" w:cstheme="minorBidi"/>
      <w:szCs w:val="22"/>
    </w:rPr>
  </w:style>
  <w:style w:type="paragraph" w:styleId="8">
    <w:name w:val="Date"/>
    <w:basedOn w:val="1"/>
    <w:next w:val="1"/>
    <w:link w:val="29"/>
    <w:semiHidden/>
    <w:unhideWhenUsed/>
    <w:uiPriority w:val="99"/>
    <w:pPr>
      <w:ind w:left="100" w:leftChars="2500"/>
    </w:pPr>
  </w:style>
  <w:style w:type="paragraph" w:styleId="9">
    <w:name w:val="Balloon Text"/>
    <w:basedOn w:val="1"/>
    <w:link w:val="21"/>
    <w:semiHidden/>
    <w:unhideWhenUsed/>
    <w:uiPriority w:val="99"/>
    <w:rPr>
      <w:sz w:val="18"/>
      <w:szCs w:val="18"/>
    </w:rPr>
  </w:style>
  <w:style w:type="paragraph" w:styleId="10">
    <w:name w:val="footer"/>
    <w:basedOn w:val="1"/>
    <w:link w:val="23"/>
    <w:unhideWhenUsed/>
    <w:uiPriority w:val="99"/>
    <w:pPr>
      <w:tabs>
        <w:tab w:val="center" w:pos="4153"/>
        <w:tab w:val="right" w:pos="8306"/>
      </w:tabs>
      <w:snapToGrid w:val="0"/>
      <w:jc w:val="left"/>
    </w:pPr>
    <w:rPr>
      <w:sz w:val="18"/>
      <w:szCs w:val="18"/>
    </w:rPr>
  </w:style>
  <w:style w:type="paragraph" w:styleId="11">
    <w:name w:val="header"/>
    <w:basedOn w:val="1"/>
    <w:link w:val="22"/>
    <w:unhideWhenUsed/>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unhideWhenUsed/>
    <w:uiPriority w:val="39"/>
  </w:style>
  <w:style w:type="paragraph" w:styleId="13">
    <w:name w:val="toc 4"/>
    <w:basedOn w:val="1"/>
    <w:next w:val="1"/>
    <w:unhideWhenUsed/>
    <w:uiPriority w:val="39"/>
    <w:pPr>
      <w:ind w:left="1260" w:leftChars="600"/>
    </w:pPr>
    <w:rPr>
      <w:rFonts w:asciiTheme="minorHAnsi" w:hAnsiTheme="minorHAnsi" w:eastAsiaTheme="minorEastAsia" w:cstheme="minorBidi"/>
      <w:szCs w:val="22"/>
    </w:rPr>
  </w:style>
  <w:style w:type="paragraph" w:styleId="14">
    <w:name w:val="toc 6"/>
    <w:basedOn w:val="1"/>
    <w:next w:val="1"/>
    <w:unhideWhenUsed/>
    <w:uiPriority w:val="39"/>
    <w:pPr>
      <w:ind w:left="2100" w:leftChars="1000"/>
    </w:pPr>
    <w:rPr>
      <w:rFonts w:asciiTheme="minorHAnsi" w:hAnsiTheme="minorHAnsi" w:eastAsiaTheme="minorEastAsia" w:cstheme="minorBidi"/>
      <w:szCs w:val="22"/>
    </w:rPr>
  </w:style>
  <w:style w:type="paragraph" w:styleId="15">
    <w:name w:val="toc 2"/>
    <w:basedOn w:val="1"/>
    <w:next w:val="1"/>
    <w:unhideWhenUsed/>
    <w:uiPriority w:val="39"/>
    <w:pPr>
      <w:ind w:left="420" w:leftChars="200"/>
    </w:pPr>
  </w:style>
  <w:style w:type="paragraph" w:styleId="16">
    <w:name w:val="toc 9"/>
    <w:basedOn w:val="1"/>
    <w:next w:val="1"/>
    <w:unhideWhenUsed/>
    <w:uiPriority w:val="39"/>
    <w:pPr>
      <w:ind w:left="3360" w:leftChars="1600"/>
    </w:pPr>
    <w:rPr>
      <w:rFonts w:asciiTheme="minorHAnsi" w:hAnsiTheme="minorHAnsi" w:eastAsiaTheme="minorEastAsia" w:cstheme="minorBidi"/>
      <w:szCs w:val="22"/>
    </w:rPr>
  </w:style>
  <w:style w:type="character" w:styleId="18">
    <w:name w:val="Hyperlink"/>
    <w:basedOn w:val="17"/>
    <w:unhideWhenUsed/>
    <w:uiPriority w:val="99"/>
    <w:rPr>
      <w:color w:val="0563C1" w:themeColor="hyperlink"/>
      <w:u w:val="single"/>
      <w14:textFill>
        <w14:solidFill>
          <w14:schemeClr w14:val="hlink"/>
        </w14:solidFill>
      </w14:textFill>
    </w:rPr>
  </w:style>
  <w:style w:type="table" w:styleId="20">
    <w:name w:val="Table Grid"/>
    <w:basedOn w:val="19"/>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21">
    <w:name w:val="批注框文本 Char"/>
    <w:basedOn w:val="17"/>
    <w:link w:val="9"/>
    <w:semiHidden/>
    <w:uiPriority w:val="99"/>
    <w:rPr>
      <w:rFonts w:ascii="Times New Roman" w:hAnsi="Times New Roman" w:eastAsia="宋体" w:cs="Times New Roman"/>
      <w:sz w:val="18"/>
      <w:szCs w:val="18"/>
    </w:rPr>
  </w:style>
  <w:style w:type="character" w:customStyle="1" w:styleId="22">
    <w:name w:val="页眉 Char"/>
    <w:basedOn w:val="17"/>
    <w:link w:val="11"/>
    <w:qFormat/>
    <w:uiPriority w:val="99"/>
    <w:rPr>
      <w:rFonts w:ascii="Times New Roman" w:hAnsi="Times New Roman" w:eastAsia="宋体" w:cs="Times New Roman"/>
      <w:sz w:val="18"/>
      <w:szCs w:val="18"/>
    </w:rPr>
  </w:style>
  <w:style w:type="character" w:customStyle="1" w:styleId="23">
    <w:name w:val="页脚 Char"/>
    <w:basedOn w:val="17"/>
    <w:link w:val="10"/>
    <w:uiPriority w:val="99"/>
    <w:rPr>
      <w:rFonts w:ascii="Times New Roman" w:hAnsi="Times New Roman" w:eastAsia="宋体" w:cs="Times New Roman"/>
      <w:sz w:val="18"/>
      <w:szCs w:val="18"/>
    </w:rPr>
  </w:style>
  <w:style w:type="character" w:customStyle="1" w:styleId="24">
    <w:name w:val="标题 1 Char"/>
    <w:basedOn w:val="17"/>
    <w:link w:val="2"/>
    <w:qFormat/>
    <w:uiPriority w:val="9"/>
    <w:rPr>
      <w:rFonts w:ascii="Times New Roman" w:hAnsi="Times New Roman" w:eastAsia="宋体" w:cs="Times New Roman"/>
      <w:b/>
      <w:bCs/>
      <w:kern w:val="44"/>
      <w:sz w:val="32"/>
      <w:szCs w:val="44"/>
    </w:rPr>
  </w:style>
  <w:style w:type="paragraph" w:customStyle="1" w:styleId="25">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Cs w:val="32"/>
    </w:rPr>
  </w:style>
  <w:style w:type="paragraph" w:styleId="26">
    <w:name w:val="List Paragraph"/>
    <w:basedOn w:val="1"/>
    <w:qFormat/>
    <w:uiPriority w:val="34"/>
    <w:pPr>
      <w:ind w:firstLine="420" w:firstLineChars="200"/>
    </w:pPr>
  </w:style>
  <w:style w:type="paragraph" w:styleId="27">
    <w:name w:val="No Spacing"/>
    <w:qFormat/>
    <w:uiPriority w:val="0"/>
    <w:pPr>
      <w:widowControl w:val="0"/>
      <w:spacing w:line="360" w:lineRule="auto"/>
      <w:ind w:firstLine="200" w:firstLineChars="200"/>
      <w:jc w:val="both"/>
    </w:pPr>
    <w:rPr>
      <w:rFonts w:ascii="Times New Roman" w:hAnsi="Times New Roman" w:eastAsia="楷体" w:cs="Times New Roman"/>
      <w:color w:val="3016EE"/>
      <w:kern w:val="2"/>
      <w:sz w:val="21"/>
      <w:szCs w:val="24"/>
      <w:lang w:val="en-US" w:eastAsia="zh-CN" w:bidi="ar-SA"/>
    </w:rPr>
  </w:style>
  <w:style w:type="character" w:customStyle="1" w:styleId="28">
    <w:name w:val="标题 2 Char"/>
    <w:basedOn w:val="17"/>
    <w:link w:val="3"/>
    <w:qFormat/>
    <w:uiPriority w:val="9"/>
    <w:rPr>
      <w:rFonts w:ascii="宋体" w:hAnsi="宋体" w:eastAsia="宋体" w:cstheme="majorBidi"/>
      <w:b/>
      <w:bCs/>
      <w:sz w:val="28"/>
      <w:szCs w:val="32"/>
    </w:rPr>
  </w:style>
  <w:style w:type="character" w:customStyle="1" w:styleId="29">
    <w:name w:val="日期 Char"/>
    <w:basedOn w:val="17"/>
    <w:link w:val="8"/>
    <w:semiHidden/>
    <w:uiPriority w:val="99"/>
    <w:rPr>
      <w:rFonts w:ascii="Times New Roman" w:hAnsi="Times New Roman" w:eastAsia="宋体" w:cs="Times New Roman"/>
      <w:szCs w:val="24"/>
    </w:rPr>
  </w:style>
  <w:style w:type="character" w:styleId="30">
    <w:name w:val="Placeholder Text"/>
    <w:basedOn w:val="17"/>
    <w:semiHidden/>
    <w:qFormat/>
    <w:uiPriority w:val="99"/>
    <w:rPr>
      <w:color w:val="808080"/>
    </w:rPr>
  </w:style>
  <w:style w:type="paragraph" w:customStyle="1" w:styleId="31">
    <w:name w:val="段"/>
    <w:link w:val="32"/>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2">
    <w:name w:val="段 Char Char"/>
    <w:basedOn w:val="17"/>
    <w:link w:val="31"/>
    <w:qFormat/>
    <w:uiPriority w:val="0"/>
    <w:rPr>
      <w:rFonts w:ascii="宋体" w:hAnsi="Times New Roman" w:eastAsia="宋体" w:cs="Times New Roman"/>
      <w:kern w:val="0"/>
      <w:szCs w:val="20"/>
    </w:rPr>
  </w:style>
  <w:style w:type="character" w:customStyle="1" w:styleId="33">
    <w:name w:val="正文 + 四号 Char"/>
    <w:qFormat/>
    <w:uiPriority w:val="0"/>
    <w:rPr>
      <w:rFonts w:eastAsia="宋体"/>
      <w:kern w:val="2"/>
      <w:sz w:val="28"/>
      <w:szCs w:val="28"/>
      <w:lang w:val="en-US" w:eastAsia="zh-CN" w:bidi="ar-SA"/>
    </w:rPr>
  </w:style>
  <w:style w:type="character" w:customStyle="1" w:styleId="34">
    <w:name w:val="前言 字符"/>
    <w:link w:val="35"/>
    <w:qFormat/>
    <w:uiPriority w:val="0"/>
    <w:rPr>
      <w:kern w:val="2"/>
      <w:sz w:val="28"/>
      <w:szCs w:val="28"/>
    </w:rPr>
  </w:style>
  <w:style w:type="paragraph" w:customStyle="1" w:styleId="35">
    <w:name w:val="前言"/>
    <w:basedOn w:val="1"/>
    <w:link w:val="34"/>
    <w:qFormat/>
    <w:uiPriority w:val="0"/>
    <w:pPr>
      <w:spacing w:line="360" w:lineRule="auto"/>
      <w:ind w:firstLine="200" w:firstLineChars="200"/>
    </w:pPr>
    <w:rPr>
      <w:rFonts w:asciiTheme="minorHAnsi" w:hAnsiTheme="minorHAnsi" w:eastAsiaTheme="minorEastAsia" w:cstheme="minorBidi"/>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2.wmf"/><Relationship Id="rId8" Type="http://schemas.openxmlformats.org/officeDocument/2006/relationships/oleObject" Target="embeddings/oleObject1.bin"/><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customXml" Target="../customXml/item1.xml"/><Relationship Id="rId26" Type="http://schemas.openxmlformats.org/officeDocument/2006/relationships/image" Target="media/image12.wmf"/><Relationship Id="rId25" Type="http://schemas.openxmlformats.org/officeDocument/2006/relationships/oleObject" Target="embeddings/oleObject8.bin"/><Relationship Id="rId24" Type="http://schemas.openxmlformats.org/officeDocument/2006/relationships/image" Target="media/image11.png"/><Relationship Id="rId23" Type="http://schemas.openxmlformats.org/officeDocument/2006/relationships/image" Target="media/image10.jpeg"/><Relationship Id="rId22" Type="http://schemas.openxmlformats.org/officeDocument/2006/relationships/image" Target="media/image9.jpeg"/><Relationship Id="rId21" Type="http://schemas.openxmlformats.org/officeDocument/2006/relationships/image" Target="media/image8.wmf"/><Relationship Id="rId20" Type="http://schemas.openxmlformats.org/officeDocument/2006/relationships/oleObject" Target="embeddings/oleObject7.bin"/><Relationship Id="rId2" Type="http://schemas.openxmlformats.org/officeDocument/2006/relationships/settings" Target="settings.xml"/><Relationship Id="rId19" Type="http://schemas.openxmlformats.org/officeDocument/2006/relationships/image" Target="media/image7.wmf"/><Relationship Id="rId18" Type="http://schemas.openxmlformats.org/officeDocument/2006/relationships/oleObject" Target="embeddings/oleObject6.bin"/><Relationship Id="rId17" Type="http://schemas.openxmlformats.org/officeDocument/2006/relationships/image" Target="media/image6.wmf"/><Relationship Id="rId16" Type="http://schemas.openxmlformats.org/officeDocument/2006/relationships/oleObject" Target="embeddings/oleObject5.bin"/><Relationship Id="rId15" Type="http://schemas.openxmlformats.org/officeDocument/2006/relationships/image" Target="media/image5.wmf"/><Relationship Id="rId14" Type="http://schemas.openxmlformats.org/officeDocument/2006/relationships/oleObject" Target="embeddings/oleObject4.bin"/><Relationship Id="rId13" Type="http://schemas.openxmlformats.org/officeDocument/2006/relationships/image" Target="media/image4.wmf"/><Relationship Id="rId12" Type="http://schemas.openxmlformats.org/officeDocument/2006/relationships/oleObject" Target="embeddings/oleObject3.bin"/><Relationship Id="rId11" Type="http://schemas.openxmlformats.org/officeDocument/2006/relationships/image" Target="media/image3.wmf"/><Relationship Id="rId10" Type="http://schemas.openxmlformats.org/officeDocument/2006/relationships/oleObject" Target="embeddings/oleObject2.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B516A52-A826-4D7A-99DA-78C3FE19C107}">
  <ds:schemaRefs/>
</ds:datastoreItem>
</file>

<file path=docProps/app.xml><?xml version="1.0" encoding="utf-8"?>
<Properties xmlns="http://schemas.openxmlformats.org/officeDocument/2006/extended-properties" xmlns:vt="http://schemas.openxmlformats.org/officeDocument/2006/docPropsVTypes">
  <Template>Normal.dotm</Template>
  <Pages>80</Pages>
  <Words>9324</Words>
  <Characters>53148</Characters>
  <Lines>442</Lines>
  <Paragraphs>124</Paragraphs>
  <TotalTime>234</TotalTime>
  <ScaleCrop>false</ScaleCrop>
  <LinksUpToDate>false</LinksUpToDate>
  <CharactersWithSpaces>62348</CharactersWithSpaces>
  <Application>WPS Office_10.8.2.7027_F1E327BC-269C-435d-A152-05C5408002CA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2019-08-26T02:00:00Z</dcterms:created>
  <dc:creator>RYTH CHENG</dc:creator>
  <cp:lastModifiedBy>jzt</cp:lastModifiedBy>
  <cp:lastPrinted>2019-09-03T08:00:00Z</cp:lastPrinted>
  <dcterms:modified xsi:type="dcterms:W3CDTF">2019-09-11T10:23:15Z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2052-10.8.2.7027</vt:lpwstr>
  </property>
  <property fmtid="{D5CDD505-2E9C-101B-9397-08002B2CF9AE}" pid="3" name="ribbonExt">
    <vt:lpwstr>{"WPSExtOfficeTab":{"OnGetEnabled":false,"OnGetVisible":false}}</vt:lpwstr>
  </property>
</Properties>
</file>